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6E9BB" w14:textId="0015B1CE" w:rsidR="00B86681" w:rsidRPr="00285D58" w:rsidRDefault="00B86681" w:rsidP="00E82B67">
      <w:pPr>
        <w:spacing w:line="276" w:lineRule="auto"/>
        <w:jc w:val="center"/>
        <w:rPr>
          <w:rFonts w:asciiTheme="minorHAnsi" w:hAnsiTheme="minorHAnsi" w:cstheme="minorHAnsi"/>
          <w:b/>
          <w:bCs/>
          <w:sz w:val="28"/>
          <w:szCs w:val="28"/>
        </w:rPr>
      </w:pPr>
      <w:r w:rsidRPr="00285D58">
        <w:rPr>
          <w:rFonts w:asciiTheme="minorHAnsi" w:hAnsiTheme="minorHAnsi" w:cstheme="minorHAnsi"/>
          <w:b/>
          <w:bCs/>
          <w:sz w:val="28"/>
          <w:szCs w:val="28"/>
        </w:rPr>
        <w:t>ANEXOS DE LA VERSI</w:t>
      </w:r>
      <w:r w:rsidR="005D3BD8" w:rsidRPr="00285D58">
        <w:rPr>
          <w:rFonts w:asciiTheme="minorHAnsi" w:hAnsiTheme="minorHAnsi" w:cstheme="minorHAnsi"/>
          <w:b/>
          <w:bCs/>
          <w:sz w:val="28"/>
          <w:szCs w:val="28"/>
        </w:rPr>
        <w:t>Ó</w:t>
      </w:r>
      <w:r w:rsidRPr="00285D58">
        <w:rPr>
          <w:rFonts w:asciiTheme="minorHAnsi" w:hAnsiTheme="minorHAnsi" w:cstheme="minorHAnsi"/>
          <w:b/>
          <w:bCs/>
          <w:sz w:val="28"/>
          <w:szCs w:val="28"/>
        </w:rPr>
        <w:t>N INICIAL DEL CONTRATO</w:t>
      </w:r>
    </w:p>
    <w:p w14:paraId="1D11AD68" w14:textId="183F5162" w:rsidR="00771A0E" w:rsidRPr="00285D58" w:rsidRDefault="00771A0E" w:rsidP="008D1FFF">
      <w:pPr>
        <w:spacing w:line="276" w:lineRule="auto"/>
        <w:jc w:val="both"/>
        <w:rPr>
          <w:rFonts w:asciiTheme="minorHAnsi" w:hAnsiTheme="minorHAnsi" w:cstheme="minorHAnsi"/>
        </w:rPr>
      </w:pPr>
    </w:p>
    <w:sdt>
      <w:sdtPr>
        <w:rPr>
          <w:rFonts w:asciiTheme="minorHAnsi" w:hAnsiTheme="minorHAnsi" w:cstheme="minorBidi"/>
        </w:rPr>
        <w:id w:val="-1238243127"/>
        <w:docPartObj>
          <w:docPartGallery w:val="Table of Contents"/>
          <w:docPartUnique/>
        </w:docPartObj>
      </w:sdtPr>
      <w:sdtEndPr>
        <w:rPr>
          <w:b/>
          <w:bCs/>
        </w:rPr>
      </w:sdtEndPr>
      <w:sdtContent>
        <w:p w14:paraId="703AF275" w14:textId="3EE2C7A4" w:rsidR="006049C1" w:rsidRPr="00285D58" w:rsidRDefault="006049C1" w:rsidP="008D1FFF">
          <w:pPr>
            <w:spacing w:line="276" w:lineRule="auto"/>
            <w:jc w:val="both"/>
            <w:rPr>
              <w:rFonts w:asciiTheme="minorHAnsi" w:hAnsiTheme="minorHAnsi" w:cstheme="minorHAnsi"/>
            </w:rPr>
          </w:pPr>
          <w:r w:rsidRPr="00285D58">
            <w:rPr>
              <w:rFonts w:asciiTheme="minorHAnsi" w:hAnsiTheme="minorHAnsi" w:cstheme="minorHAnsi"/>
            </w:rPr>
            <w:t>Contenido</w:t>
          </w:r>
        </w:p>
        <w:p w14:paraId="7700B5EC" w14:textId="2725336A" w:rsidR="004633A3" w:rsidRDefault="006049C1">
          <w:pPr>
            <w:pStyle w:val="TDC1"/>
            <w:tabs>
              <w:tab w:val="right" w:leader="dot" w:pos="8494"/>
            </w:tabs>
            <w:rPr>
              <w:rFonts w:eastAsiaTheme="minorEastAsia" w:cstheme="minorBidi"/>
              <w:bCs w:val="0"/>
              <w:i w:val="0"/>
              <w:iCs w:val="0"/>
              <w:noProof/>
              <w:kern w:val="2"/>
              <w:lang w:val="es-PE" w:eastAsia="es-PE"/>
              <w14:ligatures w14:val="standardContextual"/>
            </w:rPr>
          </w:pPr>
          <w:r w:rsidRPr="00285D58">
            <w:fldChar w:fldCharType="begin"/>
          </w:r>
          <w:r w:rsidRPr="00285D58">
            <w:instrText xml:space="preserve"> TOC \o "1-3" \h \z \u </w:instrText>
          </w:r>
          <w:r w:rsidRPr="00285D58">
            <w:fldChar w:fldCharType="separate"/>
          </w:r>
          <w:hyperlink w:anchor="_Toc193979263" w:history="1">
            <w:r w:rsidR="004633A3" w:rsidRPr="000E3AD5">
              <w:rPr>
                <w:rStyle w:val="Hipervnculo"/>
                <w:rFonts w:eastAsia="Calibri"/>
                <w:b/>
                <w:noProof/>
              </w:rPr>
              <w:t xml:space="preserve">ANEXO 01: DEFINICIONES     </w:t>
            </w:r>
            <w:r w:rsidR="004633A3">
              <w:rPr>
                <w:noProof/>
                <w:webHidden/>
              </w:rPr>
              <w:tab/>
            </w:r>
            <w:r w:rsidR="004633A3">
              <w:rPr>
                <w:noProof/>
                <w:webHidden/>
              </w:rPr>
              <w:fldChar w:fldCharType="begin"/>
            </w:r>
            <w:r w:rsidR="004633A3">
              <w:rPr>
                <w:noProof/>
                <w:webHidden/>
              </w:rPr>
              <w:instrText xml:space="preserve"> PAGEREF _Toc193979263 \h </w:instrText>
            </w:r>
            <w:r w:rsidR="004633A3">
              <w:rPr>
                <w:noProof/>
                <w:webHidden/>
              </w:rPr>
            </w:r>
            <w:r w:rsidR="004633A3">
              <w:rPr>
                <w:noProof/>
                <w:webHidden/>
              </w:rPr>
              <w:fldChar w:fldCharType="separate"/>
            </w:r>
            <w:r w:rsidR="00AC7F15">
              <w:rPr>
                <w:noProof/>
                <w:webHidden/>
              </w:rPr>
              <w:t>179</w:t>
            </w:r>
            <w:r w:rsidR="004633A3">
              <w:rPr>
                <w:noProof/>
                <w:webHidden/>
              </w:rPr>
              <w:fldChar w:fldCharType="end"/>
            </w:r>
          </w:hyperlink>
        </w:p>
        <w:p w14:paraId="715017D1" w14:textId="7620D817"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4" w:history="1">
            <w:r w:rsidRPr="000E3AD5">
              <w:rPr>
                <w:rStyle w:val="Hipervnculo"/>
                <w:rFonts w:eastAsia="Calibri"/>
                <w:b/>
                <w:noProof/>
              </w:rPr>
              <w:t>ANEXO 02: ÁR</w:t>
            </w:r>
            <w:r w:rsidRPr="000E3AD5">
              <w:rPr>
                <w:rStyle w:val="Hipervnculo"/>
                <w:rFonts w:eastAsia="Calibri"/>
                <w:b/>
                <w:noProof/>
              </w:rPr>
              <w:t>E</w:t>
            </w:r>
            <w:r w:rsidRPr="000E3AD5">
              <w:rPr>
                <w:rStyle w:val="Hipervnculo"/>
                <w:rFonts w:eastAsia="Calibri"/>
                <w:b/>
                <w:noProof/>
              </w:rPr>
              <w:t>AS DE LA CONCESIÓN</w:t>
            </w:r>
            <w:r>
              <w:rPr>
                <w:noProof/>
                <w:webHidden/>
              </w:rPr>
              <w:tab/>
            </w:r>
            <w:r>
              <w:rPr>
                <w:noProof/>
                <w:webHidden/>
              </w:rPr>
              <w:fldChar w:fldCharType="begin"/>
            </w:r>
            <w:r>
              <w:rPr>
                <w:noProof/>
                <w:webHidden/>
              </w:rPr>
              <w:instrText xml:space="preserve"> PAGEREF _Toc193979264 \h </w:instrText>
            </w:r>
            <w:r>
              <w:rPr>
                <w:noProof/>
                <w:webHidden/>
              </w:rPr>
            </w:r>
            <w:r>
              <w:rPr>
                <w:noProof/>
                <w:webHidden/>
              </w:rPr>
              <w:fldChar w:fldCharType="separate"/>
            </w:r>
            <w:r w:rsidR="00AC7F15">
              <w:rPr>
                <w:noProof/>
                <w:webHidden/>
              </w:rPr>
              <w:t>203</w:t>
            </w:r>
            <w:r>
              <w:rPr>
                <w:noProof/>
                <w:webHidden/>
              </w:rPr>
              <w:fldChar w:fldCharType="end"/>
            </w:r>
          </w:hyperlink>
        </w:p>
        <w:p w14:paraId="28AEB23A" w14:textId="074C4D15"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5" w:history="1">
            <w:r w:rsidRPr="000E3AD5">
              <w:rPr>
                <w:rStyle w:val="Hipervnculo"/>
                <w:rFonts w:eastAsia="Calibri"/>
                <w:b/>
                <w:noProof/>
              </w:rPr>
              <w:t>ANEXO 03: CIERRE FINANCIERO</w:t>
            </w:r>
            <w:r>
              <w:rPr>
                <w:noProof/>
                <w:webHidden/>
              </w:rPr>
              <w:tab/>
            </w:r>
            <w:r>
              <w:rPr>
                <w:noProof/>
                <w:webHidden/>
              </w:rPr>
              <w:fldChar w:fldCharType="begin"/>
            </w:r>
            <w:r>
              <w:rPr>
                <w:noProof/>
                <w:webHidden/>
              </w:rPr>
              <w:instrText xml:space="preserve"> PAGEREF _Toc193979265 \h </w:instrText>
            </w:r>
            <w:r>
              <w:rPr>
                <w:noProof/>
                <w:webHidden/>
              </w:rPr>
            </w:r>
            <w:r>
              <w:rPr>
                <w:noProof/>
                <w:webHidden/>
              </w:rPr>
              <w:fldChar w:fldCharType="separate"/>
            </w:r>
            <w:r w:rsidR="00AC7F15">
              <w:rPr>
                <w:noProof/>
                <w:webHidden/>
              </w:rPr>
              <w:t>220</w:t>
            </w:r>
            <w:r>
              <w:rPr>
                <w:noProof/>
                <w:webHidden/>
              </w:rPr>
              <w:fldChar w:fldCharType="end"/>
            </w:r>
          </w:hyperlink>
        </w:p>
        <w:p w14:paraId="50F813F1" w14:textId="4A9F6071" w:rsidR="004633A3" w:rsidRDefault="004633A3">
          <w:pPr>
            <w:pStyle w:val="TDC2"/>
            <w:rPr>
              <w:rFonts w:eastAsiaTheme="minorEastAsia" w:cstheme="minorBidi"/>
              <w:bCs w:val="0"/>
              <w:noProof/>
              <w:kern w:val="2"/>
              <w:sz w:val="24"/>
              <w:szCs w:val="24"/>
              <w:lang w:val="es-PE"/>
              <w14:ligatures w14:val="standardContextual"/>
            </w:rPr>
          </w:pPr>
          <w:hyperlink w:anchor="_Toc193979266" w:history="1">
            <w:r w:rsidRPr="000E3AD5">
              <w:rPr>
                <w:rStyle w:val="Hipervnculo"/>
                <w:rFonts w:eastAsia="Calibri" w:cstheme="minorHAnsi"/>
                <w:b/>
                <w:noProof/>
              </w:rPr>
              <w:t>ANEXO 03- APÉNDICE 1 - MODELO DE DECLARACIÓN JURADA PARA OBTENER LA CALIFICACIÓN DE ACREEDOR PERMITIDO</w:t>
            </w:r>
            <w:r>
              <w:rPr>
                <w:noProof/>
                <w:webHidden/>
              </w:rPr>
              <w:tab/>
            </w:r>
            <w:r>
              <w:rPr>
                <w:noProof/>
                <w:webHidden/>
              </w:rPr>
              <w:fldChar w:fldCharType="begin"/>
            </w:r>
            <w:r>
              <w:rPr>
                <w:noProof/>
                <w:webHidden/>
              </w:rPr>
              <w:instrText xml:space="preserve"> PAGEREF _Toc193979266 \h </w:instrText>
            </w:r>
            <w:r>
              <w:rPr>
                <w:noProof/>
                <w:webHidden/>
              </w:rPr>
            </w:r>
            <w:r>
              <w:rPr>
                <w:noProof/>
                <w:webHidden/>
              </w:rPr>
              <w:fldChar w:fldCharType="separate"/>
            </w:r>
            <w:r w:rsidR="00AC7F15">
              <w:rPr>
                <w:noProof/>
                <w:webHidden/>
              </w:rPr>
              <w:t>220</w:t>
            </w:r>
            <w:r>
              <w:rPr>
                <w:noProof/>
                <w:webHidden/>
              </w:rPr>
              <w:fldChar w:fldCharType="end"/>
            </w:r>
          </w:hyperlink>
        </w:p>
        <w:p w14:paraId="5821D938" w14:textId="4017F6FE" w:rsidR="004633A3" w:rsidRDefault="004633A3">
          <w:pPr>
            <w:pStyle w:val="TDC2"/>
            <w:rPr>
              <w:rFonts w:eastAsiaTheme="minorEastAsia" w:cstheme="minorBidi"/>
              <w:bCs w:val="0"/>
              <w:noProof/>
              <w:kern w:val="2"/>
              <w:sz w:val="24"/>
              <w:szCs w:val="24"/>
              <w:lang w:val="es-PE"/>
              <w14:ligatures w14:val="standardContextual"/>
            </w:rPr>
          </w:pPr>
          <w:hyperlink w:anchor="_Toc193979267" w:history="1">
            <w:r w:rsidRPr="000E3AD5">
              <w:rPr>
                <w:rStyle w:val="Hipervnculo"/>
                <w:rFonts w:eastAsia="Calibri" w:cstheme="minorHAnsi"/>
                <w:b/>
                <w:noProof/>
              </w:rPr>
              <w:t>ANEXO 03- APÉNDICE 2 - DOCUMENTACIÓN PARA LA ACREDITACIÓN DEL CIERRE FINANCIERO</w:t>
            </w:r>
            <w:r>
              <w:rPr>
                <w:noProof/>
                <w:webHidden/>
              </w:rPr>
              <w:tab/>
            </w:r>
            <w:r>
              <w:rPr>
                <w:noProof/>
                <w:webHidden/>
              </w:rPr>
              <w:fldChar w:fldCharType="begin"/>
            </w:r>
            <w:r>
              <w:rPr>
                <w:noProof/>
                <w:webHidden/>
              </w:rPr>
              <w:instrText xml:space="preserve"> PAGEREF _Toc193979267 \h </w:instrText>
            </w:r>
            <w:r>
              <w:rPr>
                <w:noProof/>
                <w:webHidden/>
              </w:rPr>
            </w:r>
            <w:r>
              <w:rPr>
                <w:noProof/>
                <w:webHidden/>
              </w:rPr>
              <w:fldChar w:fldCharType="separate"/>
            </w:r>
            <w:r w:rsidR="00AC7F15">
              <w:rPr>
                <w:noProof/>
                <w:webHidden/>
              </w:rPr>
              <w:t>223</w:t>
            </w:r>
            <w:r>
              <w:rPr>
                <w:noProof/>
                <w:webHidden/>
              </w:rPr>
              <w:fldChar w:fldCharType="end"/>
            </w:r>
          </w:hyperlink>
        </w:p>
        <w:p w14:paraId="25971CED" w14:textId="1ABCDB0F" w:rsidR="004633A3" w:rsidRDefault="004633A3">
          <w:pPr>
            <w:pStyle w:val="TDC2"/>
            <w:rPr>
              <w:rFonts w:eastAsiaTheme="minorEastAsia" w:cstheme="minorBidi"/>
              <w:bCs w:val="0"/>
              <w:noProof/>
              <w:kern w:val="2"/>
              <w:sz w:val="24"/>
              <w:szCs w:val="24"/>
              <w:lang w:val="es-PE"/>
              <w14:ligatures w14:val="standardContextual"/>
            </w:rPr>
          </w:pPr>
          <w:hyperlink w:anchor="_Toc193979268" w:history="1">
            <w:r w:rsidRPr="000E3AD5">
              <w:rPr>
                <w:rStyle w:val="Hipervnculo"/>
                <w:rFonts w:eastAsia="Calibri" w:cstheme="minorHAnsi"/>
                <w:b/>
                <w:noProof/>
              </w:rPr>
              <w:t>ANEXO 03- APÉNDICE 3 - CONTENIDO MÍNIMO DE LA DECLARACIÓN JURADA DEL CONCESIONARIO</w:t>
            </w:r>
            <w:r>
              <w:rPr>
                <w:noProof/>
                <w:webHidden/>
              </w:rPr>
              <w:tab/>
            </w:r>
            <w:r>
              <w:rPr>
                <w:noProof/>
                <w:webHidden/>
              </w:rPr>
              <w:fldChar w:fldCharType="begin"/>
            </w:r>
            <w:r>
              <w:rPr>
                <w:noProof/>
                <w:webHidden/>
              </w:rPr>
              <w:instrText xml:space="preserve"> PAGEREF _Toc193979268 \h </w:instrText>
            </w:r>
            <w:r>
              <w:rPr>
                <w:noProof/>
                <w:webHidden/>
              </w:rPr>
            </w:r>
            <w:r>
              <w:rPr>
                <w:noProof/>
                <w:webHidden/>
              </w:rPr>
              <w:fldChar w:fldCharType="separate"/>
            </w:r>
            <w:r w:rsidR="00AC7F15">
              <w:rPr>
                <w:noProof/>
                <w:webHidden/>
              </w:rPr>
              <w:t>225</w:t>
            </w:r>
            <w:r>
              <w:rPr>
                <w:noProof/>
                <w:webHidden/>
              </w:rPr>
              <w:fldChar w:fldCharType="end"/>
            </w:r>
          </w:hyperlink>
        </w:p>
        <w:p w14:paraId="313D72EF" w14:textId="7CE24054"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69" w:history="1">
            <w:r w:rsidRPr="000E3AD5">
              <w:rPr>
                <w:rStyle w:val="Hipervnculo"/>
                <w:rFonts w:eastAsia="Calibri"/>
                <w:b/>
                <w:noProof/>
              </w:rPr>
              <w:t>ANEXO 04: ENTIDADES FINANCIERAS AUTORIZADAS PARA EMITIR LAS GARANTÍAS DE FIEL CUMPLIMIENTO DEL CONTRATO</w:t>
            </w:r>
            <w:r>
              <w:rPr>
                <w:noProof/>
                <w:webHidden/>
              </w:rPr>
              <w:tab/>
            </w:r>
            <w:r>
              <w:rPr>
                <w:noProof/>
                <w:webHidden/>
              </w:rPr>
              <w:fldChar w:fldCharType="begin"/>
            </w:r>
            <w:r>
              <w:rPr>
                <w:noProof/>
                <w:webHidden/>
              </w:rPr>
              <w:instrText xml:space="preserve"> PAGEREF _Toc193979269 \h </w:instrText>
            </w:r>
            <w:r>
              <w:rPr>
                <w:noProof/>
                <w:webHidden/>
              </w:rPr>
            </w:r>
            <w:r>
              <w:rPr>
                <w:noProof/>
                <w:webHidden/>
              </w:rPr>
              <w:fldChar w:fldCharType="separate"/>
            </w:r>
            <w:r w:rsidR="00AC7F15">
              <w:rPr>
                <w:noProof/>
                <w:webHidden/>
              </w:rPr>
              <w:t>227</w:t>
            </w:r>
            <w:r>
              <w:rPr>
                <w:noProof/>
                <w:webHidden/>
              </w:rPr>
              <w:fldChar w:fldCharType="end"/>
            </w:r>
          </w:hyperlink>
        </w:p>
        <w:p w14:paraId="1D6F1591" w14:textId="17261C63"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0" w:history="1">
            <w:r w:rsidRPr="000E3AD5">
              <w:rPr>
                <w:rStyle w:val="Hipervnculo"/>
                <w:rFonts w:eastAsia="Calibri"/>
                <w:b/>
                <w:noProof/>
              </w:rPr>
              <w:t xml:space="preserve">ANEXO 05: MODELO DE GARANTÍA </w:t>
            </w:r>
            <w:r w:rsidRPr="000E3AD5">
              <w:rPr>
                <w:rStyle w:val="Hipervnculo"/>
                <w:rFonts w:eastAsiaTheme="majorEastAsia"/>
                <w:b/>
                <w:noProof/>
                <w:lang w:val="es-PE"/>
              </w:rPr>
              <w:t>DEL PERIODO PRE OPERATIVO Y DEL PERIODO OPERATIVO</w:t>
            </w:r>
            <w:r>
              <w:rPr>
                <w:noProof/>
                <w:webHidden/>
              </w:rPr>
              <w:tab/>
            </w:r>
            <w:r>
              <w:rPr>
                <w:noProof/>
                <w:webHidden/>
              </w:rPr>
              <w:fldChar w:fldCharType="begin"/>
            </w:r>
            <w:r>
              <w:rPr>
                <w:noProof/>
                <w:webHidden/>
              </w:rPr>
              <w:instrText xml:space="preserve"> PAGEREF _Toc193979270 \h </w:instrText>
            </w:r>
            <w:r>
              <w:rPr>
                <w:noProof/>
                <w:webHidden/>
              </w:rPr>
            </w:r>
            <w:r>
              <w:rPr>
                <w:noProof/>
                <w:webHidden/>
              </w:rPr>
              <w:fldChar w:fldCharType="separate"/>
            </w:r>
            <w:r w:rsidR="00AC7F15">
              <w:rPr>
                <w:noProof/>
                <w:webHidden/>
              </w:rPr>
              <w:t>229</w:t>
            </w:r>
            <w:r>
              <w:rPr>
                <w:noProof/>
                <w:webHidden/>
              </w:rPr>
              <w:fldChar w:fldCharType="end"/>
            </w:r>
          </w:hyperlink>
        </w:p>
        <w:p w14:paraId="499B0DE1" w14:textId="3E20A0D1" w:rsidR="004633A3" w:rsidRDefault="004633A3">
          <w:pPr>
            <w:pStyle w:val="TDC2"/>
            <w:rPr>
              <w:rFonts w:eastAsiaTheme="minorEastAsia" w:cstheme="minorBidi"/>
              <w:bCs w:val="0"/>
              <w:noProof/>
              <w:kern w:val="2"/>
              <w:sz w:val="24"/>
              <w:szCs w:val="24"/>
              <w:lang w:val="es-PE"/>
              <w14:ligatures w14:val="standardContextual"/>
            </w:rPr>
          </w:pPr>
          <w:hyperlink w:anchor="_Toc193979271" w:history="1">
            <w:r w:rsidRPr="000E3AD5">
              <w:rPr>
                <w:rStyle w:val="Hipervnculo"/>
                <w:rFonts w:eastAsia="Calibri" w:cstheme="minorHAnsi"/>
                <w:b/>
                <w:noProof/>
              </w:rPr>
              <w:t>ANEXO 05 - APÉNDICE 1 – GARANTÍA DEL PERIODO PRE OPERATIVO</w:t>
            </w:r>
            <w:r>
              <w:rPr>
                <w:noProof/>
                <w:webHidden/>
              </w:rPr>
              <w:tab/>
            </w:r>
            <w:r>
              <w:rPr>
                <w:noProof/>
                <w:webHidden/>
              </w:rPr>
              <w:fldChar w:fldCharType="begin"/>
            </w:r>
            <w:r>
              <w:rPr>
                <w:noProof/>
                <w:webHidden/>
              </w:rPr>
              <w:instrText xml:space="preserve"> PAGEREF _Toc193979271 \h </w:instrText>
            </w:r>
            <w:r>
              <w:rPr>
                <w:noProof/>
                <w:webHidden/>
              </w:rPr>
            </w:r>
            <w:r>
              <w:rPr>
                <w:noProof/>
                <w:webHidden/>
              </w:rPr>
              <w:fldChar w:fldCharType="separate"/>
            </w:r>
            <w:r w:rsidR="00AC7F15">
              <w:rPr>
                <w:noProof/>
                <w:webHidden/>
              </w:rPr>
              <w:t>229</w:t>
            </w:r>
            <w:r>
              <w:rPr>
                <w:noProof/>
                <w:webHidden/>
              </w:rPr>
              <w:fldChar w:fldCharType="end"/>
            </w:r>
          </w:hyperlink>
        </w:p>
        <w:p w14:paraId="5C703F09" w14:textId="47B1403A" w:rsidR="004633A3" w:rsidRDefault="004633A3">
          <w:pPr>
            <w:pStyle w:val="TDC2"/>
            <w:rPr>
              <w:rFonts w:eastAsiaTheme="minorEastAsia" w:cstheme="minorBidi"/>
              <w:bCs w:val="0"/>
              <w:noProof/>
              <w:kern w:val="2"/>
              <w:sz w:val="24"/>
              <w:szCs w:val="24"/>
              <w:lang w:val="es-PE"/>
              <w14:ligatures w14:val="standardContextual"/>
            </w:rPr>
          </w:pPr>
          <w:hyperlink w:anchor="_Toc193979272" w:history="1">
            <w:r w:rsidRPr="000E3AD5">
              <w:rPr>
                <w:rStyle w:val="Hipervnculo"/>
                <w:rFonts w:eastAsia="Calibri" w:cstheme="minorHAnsi"/>
                <w:b/>
                <w:noProof/>
              </w:rPr>
              <w:t>ANEXO 05 - APÉNDICE 2 – GARANTÍA DEL PERIODO OPERATIVO</w:t>
            </w:r>
            <w:r>
              <w:rPr>
                <w:noProof/>
                <w:webHidden/>
              </w:rPr>
              <w:tab/>
            </w:r>
            <w:r>
              <w:rPr>
                <w:noProof/>
                <w:webHidden/>
              </w:rPr>
              <w:fldChar w:fldCharType="begin"/>
            </w:r>
            <w:r>
              <w:rPr>
                <w:noProof/>
                <w:webHidden/>
              </w:rPr>
              <w:instrText xml:space="preserve"> PAGEREF _Toc193979272 \h </w:instrText>
            </w:r>
            <w:r>
              <w:rPr>
                <w:noProof/>
                <w:webHidden/>
              </w:rPr>
            </w:r>
            <w:r>
              <w:rPr>
                <w:noProof/>
                <w:webHidden/>
              </w:rPr>
              <w:fldChar w:fldCharType="separate"/>
            </w:r>
            <w:r w:rsidR="00AC7F15">
              <w:rPr>
                <w:noProof/>
                <w:webHidden/>
              </w:rPr>
              <w:t>231</w:t>
            </w:r>
            <w:r>
              <w:rPr>
                <w:noProof/>
                <w:webHidden/>
              </w:rPr>
              <w:fldChar w:fldCharType="end"/>
            </w:r>
          </w:hyperlink>
        </w:p>
        <w:p w14:paraId="592F355A" w14:textId="0ADBBEF7"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3" w:history="1">
            <w:r w:rsidRPr="000E3AD5">
              <w:rPr>
                <w:rStyle w:val="Hipervnculo"/>
                <w:rFonts w:eastAsia="Calibri"/>
                <w:b/>
                <w:noProof/>
              </w:rPr>
              <w:t>ANEXO 06: MODELO DE GARANTÍA DE FIEL CUMPLIMIENTO DEL PPO</w:t>
            </w:r>
            <w:r>
              <w:rPr>
                <w:noProof/>
                <w:webHidden/>
              </w:rPr>
              <w:tab/>
            </w:r>
            <w:r>
              <w:rPr>
                <w:noProof/>
                <w:webHidden/>
              </w:rPr>
              <w:fldChar w:fldCharType="begin"/>
            </w:r>
            <w:r>
              <w:rPr>
                <w:noProof/>
                <w:webHidden/>
              </w:rPr>
              <w:instrText xml:space="preserve"> PAGEREF _Toc193979273 \h </w:instrText>
            </w:r>
            <w:r>
              <w:rPr>
                <w:noProof/>
                <w:webHidden/>
              </w:rPr>
            </w:r>
            <w:r>
              <w:rPr>
                <w:noProof/>
                <w:webHidden/>
              </w:rPr>
              <w:fldChar w:fldCharType="separate"/>
            </w:r>
            <w:r w:rsidR="00AC7F15">
              <w:rPr>
                <w:noProof/>
                <w:webHidden/>
              </w:rPr>
              <w:t>233</w:t>
            </w:r>
            <w:r>
              <w:rPr>
                <w:noProof/>
                <w:webHidden/>
              </w:rPr>
              <w:fldChar w:fldCharType="end"/>
            </w:r>
          </w:hyperlink>
        </w:p>
        <w:p w14:paraId="031EABEB" w14:textId="64248902"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4" w:history="1">
            <w:r w:rsidRPr="000E3AD5">
              <w:rPr>
                <w:rStyle w:val="Hipervnculo"/>
                <w:rFonts w:eastAsia="Calibri"/>
                <w:b/>
                <w:noProof/>
              </w:rPr>
              <w:t>ANEXO 07: ESPECIFICACIONES TÉCNICAS BÁSICAS</w:t>
            </w:r>
            <w:r>
              <w:rPr>
                <w:noProof/>
                <w:webHidden/>
              </w:rPr>
              <w:tab/>
            </w:r>
            <w:r>
              <w:rPr>
                <w:noProof/>
                <w:webHidden/>
              </w:rPr>
              <w:fldChar w:fldCharType="begin"/>
            </w:r>
            <w:r>
              <w:rPr>
                <w:noProof/>
                <w:webHidden/>
              </w:rPr>
              <w:instrText xml:space="preserve"> PAGEREF _Toc193979274 \h </w:instrText>
            </w:r>
            <w:r>
              <w:rPr>
                <w:noProof/>
                <w:webHidden/>
              </w:rPr>
            </w:r>
            <w:r>
              <w:rPr>
                <w:noProof/>
                <w:webHidden/>
              </w:rPr>
              <w:fldChar w:fldCharType="separate"/>
            </w:r>
            <w:r w:rsidR="00AC7F15">
              <w:rPr>
                <w:noProof/>
                <w:webHidden/>
              </w:rPr>
              <w:t>235</w:t>
            </w:r>
            <w:r>
              <w:rPr>
                <w:noProof/>
                <w:webHidden/>
              </w:rPr>
              <w:fldChar w:fldCharType="end"/>
            </w:r>
          </w:hyperlink>
        </w:p>
        <w:p w14:paraId="4AB61144" w14:textId="334AEC62"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78" w:history="1">
            <w:r w:rsidRPr="000E3AD5">
              <w:rPr>
                <w:rStyle w:val="Hipervnculo"/>
                <w:rFonts w:eastAsia="Calibri"/>
                <w:b/>
                <w:noProof/>
              </w:rPr>
              <w:t>ANEXO 08: ESPECIFICACIONES MÍNIMAS PARA LA ELABORACIÓN DEL ESTUDIO DEFINITIVO DE INGENIERÍA DE OBRAS</w:t>
            </w:r>
            <w:r>
              <w:rPr>
                <w:noProof/>
                <w:webHidden/>
              </w:rPr>
              <w:tab/>
            </w:r>
            <w:r>
              <w:rPr>
                <w:noProof/>
                <w:webHidden/>
              </w:rPr>
              <w:fldChar w:fldCharType="begin"/>
            </w:r>
            <w:r>
              <w:rPr>
                <w:noProof/>
                <w:webHidden/>
              </w:rPr>
              <w:instrText xml:space="preserve"> PAGEREF _Toc193979278 \h </w:instrText>
            </w:r>
            <w:r>
              <w:rPr>
                <w:noProof/>
                <w:webHidden/>
              </w:rPr>
            </w:r>
            <w:r>
              <w:rPr>
                <w:noProof/>
                <w:webHidden/>
              </w:rPr>
              <w:fldChar w:fldCharType="separate"/>
            </w:r>
            <w:r w:rsidR="00AC7F15">
              <w:rPr>
                <w:noProof/>
                <w:webHidden/>
              </w:rPr>
              <w:t>335</w:t>
            </w:r>
            <w:r>
              <w:rPr>
                <w:noProof/>
                <w:webHidden/>
              </w:rPr>
              <w:fldChar w:fldCharType="end"/>
            </w:r>
          </w:hyperlink>
        </w:p>
        <w:p w14:paraId="45C12EB4" w14:textId="33A39BD0" w:rsidR="004633A3" w:rsidRDefault="004633A3">
          <w:pPr>
            <w:pStyle w:val="TDC2"/>
            <w:rPr>
              <w:rFonts w:eastAsiaTheme="minorEastAsia" w:cstheme="minorBidi"/>
              <w:bCs w:val="0"/>
              <w:noProof/>
              <w:kern w:val="2"/>
              <w:sz w:val="24"/>
              <w:szCs w:val="24"/>
              <w:lang w:val="es-PE"/>
              <w14:ligatures w14:val="standardContextual"/>
            </w:rPr>
          </w:pPr>
          <w:hyperlink w:anchor="_Toc193979279" w:history="1">
            <w:r w:rsidRPr="000E3AD5">
              <w:rPr>
                <w:rStyle w:val="Hipervnculo"/>
                <w:rFonts w:eastAsia="Calibri" w:cstheme="minorHAnsi"/>
                <w:b/>
                <w:noProof/>
              </w:rPr>
              <w:t>ANEXO 08 - APÉNDICE 1 – ESPECIFICACIONES PARA EL DESARROLLO DEL ESTUDIO DEFINITIVO DE INGENIERÍA DE LOS TELEFÉRICOS Y ESTACIONES DEL TELEFERICO</w:t>
            </w:r>
            <w:r>
              <w:rPr>
                <w:noProof/>
                <w:webHidden/>
              </w:rPr>
              <w:tab/>
            </w:r>
            <w:r>
              <w:rPr>
                <w:noProof/>
                <w:webHidden/>
              </w:rPr>
              <w:fldChar w:fldCharType="begin"/>
            </w:r>
            <w:r>
              <w:rPr>
                <w:noProof/>
                <w:webHidden/>
              </w:rPr>
              <w:instrText xml:space="preserve"> PAGEREF _Toc193979279 \h </w:instrText>
            </w:r>
            <w:r>
              <w:rPr>
                <w:noProof/>
                <w:webHidden/>
              </w:rPr>
            </w:r>
            <w:r>
              <w:rPr>
                <w:noProof/>
                <w:webHidden/>
              </w:rPr>
              <w:fldChar w:fldCharType="separate"/>
            </w:r>
            <w:r w:rsidR="00AC7F15">
              <w:rPr>
                <w:noProof/>
                <w:webHidden/>
              </w:rPr>
              <w:t>335</w:t>
            </w:r>
            <w:r>
              <w:rPr>
                <w:noProof/>
                <w:webHidden/>
              </w:rPr>
              <w:fldChar w:fldCharType="end"/>
            </w:r>
          </w:hyperlink>
        </w:p>
        <w:p w14:paraId="1F29876F" w14:textId="79186EFD" w:rsidR="004633A3" w:rsidRDefault="004633A3">
          <w:pPr>
            <w:pStyle w:val="TDC2"/>
            <w:rPr>
              <w:rFonts w:eastAsiaTheme="minorEastAsia" w:cstheme="minorBidi"/>
              <w:bCs w:val="0"/>
              <w:noProof/>
              <w:kern w:val="2"/>
              <w:sz w:val="24"/>
              <w:szCs w:val="24"/>
              <w:lang w:val="es-PE"/>
              <w14:ligatures w14:val="standardContextual"/>
            </w:rPr>
          </w:pPr>
          <w:hyperlink w:anchor="_Toc193979280" w:history="1">
            <w:r w:rsidRPr="000E3AD5">
              <w:rPr>
                <w:rStyle w:val="Hipervnculo"/>
                <w:rFonts w:eastAsia="Calibri" w:cstheme="minorHAnsi"/>
                <w:b/>
                <w:noProof/>
              </w:rPr>
              <w:t>ANEXO 08 - APÉNDICE 2 – ESPECIFICACIONES PARA EL DESARROLLO DEL ESTUDIO DEFINITIVO DE INGENIERÍA DE LAS ESTACIONES CENTRALES</w:t>
            </w:r>
            <w:r>
              <w:rPr>
                <w:noProof/>
                <w:webHidden/>
              </w:rPr>
              <w:tab/>
            </w:r>
            <w:r>
              <w:rPr>
                <w:noProof/>
                <w:webHidden/>
              </w:rPr>
              <w:fldChar w:fldCharType="begin"/>
            </w:r>
            <w:r>
              <w:rPr>
                <w:noProof/>
                <w:webHidden/>
              </w:rPr>
              <w:instrText xml:space="preserve"> PAGEREF _Toc193979280 \h </w:instrText>
            </w:r>
            <w:r>
              <w:rPr>
                <w:noProof/>
                <w:webHidden/>
              </w:rPr>
            </w:r>
            <w:r>
              <w:rPr>
                <w:noProof/>
                <w:webHidden/>
              </w:rPr>
              <w:fldChar w:fldCharType="separate"/>
            </w:r>
            <w:r w:rsidR="00AC7F15">
              <w:rPr>
                <w:noProof/>
                <w:webHidden/>
              </w:rPr>
              <w:t>362</w:t>
            </w:r>
            <w:r>
              <w:rPr>
                <w:noProof/>
                <w:webHidden/>
              </w:rPr>
              <w:fldChar w:fldCharType="end"/>
            </w:r>
          </w:hyperlink>
        </w:p>
        <w:p w14:paraId="173D7136" w14:textId="397FD7FE" w:rsidR="004633A3" w:rsidRDefault="004633A3">
          <w:pPr>
            <w:pStyle w:val="TDC2"/>
            <w:rPr>
              <w:rFonts w:eastAsiaTheme="minorEastAsia" w:cstheme="minorBidi"/>
              <w:bCs w:val="0"/>
              <w:noProof/>
              <w:kern w:val="2"/>
              <w:sz w:val="24"/>
              <w:szCs w:val="24"/>
              <w:lang w:val="es-PE"/>
              <w14:ligatures w14:val="standardContextual"/>
            </w:rPr>
          </w:pPr>
          <w:hyperlink w:anchor="_Toc193979281" w:history="1">
            <w:r w:rsidRPr="000E3AD5">
              <w:rPr>
                <w:rStyle w:val="Hipervnculo"/>
                <w:rFonts w:eastAsia="Calibri" w:cstheme="minorHAnsi"/>
                <w:b/>
                <w:noProof/>
              </w:rPr>
              <w:t>ANEXO 08 - APÉNDICE 3 – ESPECIFICACIONES PARA EL DESARROLLO DEL ESTUDIO DEFINITIVO DE INGENIERÍA DE LAS VÍAS TURÍSTICAS</w:t>
            </w:r>
            <w:r>
              <w:rPr>
                <w:noProof/>
                <w:webHidden/>
              </w:rPr>
              <w:tab/>
            </w:r>
            <w:r>
              <w:rPr>
                <w:noProof/>
                <w:webHidden/>
              </w:rPr>
              <w:fldChar w:fldCharType="begin"/>
            </w:r>
            <w:r>
              <w:rPr>
                <w:noProof/>
                <w:webHidden/>
              </w:rPr>
              <w:instrText xml:space="preserve"> PAGEREF _Toc193979281 \h </w:instrText>
            </w:r>
            <w:r>
              <w:rPr>
                <w:noProof/>
                <w:webHidden/>
              </w:rPr>
            </w:r>
            <w:r>
              <w:rPr>
                <w:noProof/>
                <w:webHidden/>
              </w:rPr>
              <w:fldChar w:fldCharType="separate"/>
            </w:r>
            <w:r w:rsidR="00AC7F15">
              <w:rPr>
                <w:noProof/>
                <w:webHidden/>
              </w:rPr>
              <w:t>386</w:t>
            </w:r>
            <w:r>
              <w:rPr>
                <w:noProof/>
                <w:webHidden/>
              </w:rPr>
              <w:fldChar w:fldCharType="end"/>
            </w:r>
          </w:hyperlink>
        </w:p>
        <w:p w14:paraId="2B2CEDD3" w14:textId="78DA7890" w:rsidR="004633A3" w:rsidRDefault="004633A3">
          <w:pPr>
            <w:pStyle w:val="TDC2"/>
            <w:rPr>
              <w:rFonts w:eastAsiaTheme="minorEastAsia" w:cstheme="minorBidi"/>
              <w:bCs w:val="0"/>
              <w:noProof/>
              <w:kern w:val="2"/>
              <w:sz w:val="24"/>
              <w:szCs w:val="24"/>
              <w:lang w:val="es-PE"/>
              <w14:ligatures w14:val="standardContextual"/>
            </w:rPr>
          </w:pPr>
          <w:hyperlink w:anchor="_Toc193979282" w:history="1">
            <w:r w:rsidRPr="000E3AD5">
              <w:rPr>
                <w:rStyle w:val="Hipervnculo"/>
                <w:rFonts w:eastAsia="Calibri" w:cstheme="minorHAnsi"/>
                <w:b/>
                <w:noProof/>
              </w:rPr>
              <w:t>ANEXO 08 - APÉNDICE 4 – CONTENIDO PARA LA ELABORACIÓN del levantamiento TOPOGRÁFICO</w:t>
            </w:r>
            <w:r>
              <w:rPr>
                <w:noProof/>
                <w:webHidden/>
              </w:rPr>
              <w:tab/>
            </w:r>
            <w:r>
              <w:rPr>
                <w:noProof/>
                <w:webHidden/>
              </w:rPr>
              <w:fldChar w:fldCharType="begin"/>
            </w:r>
            <w:r>
              <w:rPr>
                <w:noProof/>
                <w:webHidden/>
              </w:rPr>
              <w:instrText xml:space="preserve"> PAGEREF _Toc193979282 \h </w:instrText>
            </w:r>
            <w:r>
              <w:rPr>
                <w:noProof/>
                <w:webHidden/>
              </w:rPr>
            </w:r>
            <w:r>
              <w:rPr>
                <w:noProof/>
                <w:webHidden/>
              </w:rPr>
              <w:fldChar w:fldCharType="separate"/>
            </w:r>
            <w:r w:rsidR="00AC7F15">
              <w:rPr>
                <w:noProof/>
                <w:webHidden/>
              </w:rPr>
              <w:t>398</w:t>
            </w:r>
            <w:r>
              <w:rPr>
                <w:noProof/>
                <w:webHidden/>
              </w:rPr>
              <w:fldChar w:fldCharType="end"/>
            </w:r>
          </w:hyperlink>
        </w:p>
        <w:p w14:paraId="75AC7CE2" w14:textId="4B30BF15" w:rsidR="004633A3" w:rsidRDefault="004633A3">
          <w:pPr>
            <w:pStyle w:val="TDC2"/>
            <w:rPr>
              <w:rFonts w:eastAsiaTheme="minorEastAsia" w:cstheme="minorBidi"/>
              <w:bCs w:val="0"/>
              <w:noProof/>
              <w:kern w:val="2"/>
              <w:sz w:val="24"/>
              <w:szCs w:val="24"/>
              <w:lang w:val="es-PE"/>
              <w14:ligatures w14:val="standardContextual"/>
            </w:rPr>
          </w:pPr>
          <w:hyperlink w:anchor="_Toc193979283" w:history="1">
            <w:r w:rsidRPr="000E3AD5">
              <w:rPr>
                <w:rStyle w:val="Hipervnculo"/>
                <w:rFonts w:eastAsia="Calibri" w:cstheme="minorHAnsi"/>
                <w:b/>
                <w:noProof/>
              </w:rPr>
              <w:t>ANEXO 08 - APÉNDICE 5 – CONTENIDO PARA LA ELABORACIÓN DEL ESTUDIO DE MECÁNICA DE SUELOS PARA LAS ESTACIONES Y CIMENTACIONES DEL TELEFERICO</w:t>
            </w:r>
            <w:r>
              <w:rPr>
                <w:noProof/>
                <w:webHidden/>
              </w:rPr>
              <w:tab/>
            </w:r>
            <w:r>
              <w:rPr>
                <w:noProof/>
                <w:webHidden/>
              </w:rPr>
              <w:fldChar w:fldCharType="begin"/>
            </w:r>
            <w:r>
              <w:rPr>
                <w:noProof/>
                <w:webHidden/>
              </w:rPr>
              <w:instrText xml:space="preserve"> PAGEREF _Toc193979283 \h </w:instrText>
            </w:r>
            <w:r>
              <w:rPr>
                <w:noProof/>
                <w:webHidden/>
              </w:rPr>
            </w:r>
            <w:r>
              <w:rPr>
                <w:noProof/>
                <w:webHidden/>
              </w:rPr>
              <w:fldChar w:fldCharType="separate"/>
            </w:r>
            <w:r w:rsidR="00AC7F15">
              <w:rPr>
                <w:noProof/>
                <w:webHidden/>
              </w:rPr>
              <w:t>404</w:t>
            </w:r>
            <w:r>
              <w:rPr>
                <w:noProof/>
                <w:webHidden/>
              </w:rPr>
              <w:fldChar w:fldCharType="end"/>
            </w:r>
          </w:hyperlink>
        </w:p>
        <w:p w14:paraId="753FE402" w14:textId="5A36430E" w:rsidR="004633A3" w:rsidRDefault="004633A3">
          <w:pPr>
            <w:pStyle w:val="TDC2"/>
            <w:rPr>
              <w:rFonts w:eastAsiaTheme="minorEastAsia" w:cstheme="minorBidi"/>
              <w:bCs w:val="0"/>
              <w:noProof/>
              <w:kern w:val="2"/>
              <w:sz w:val="24"/>
              <w:szCs w:val="24"/>
              <w:lang w:val="es-PE"/>
              <w14:ligatures w14:val="standardContextual"/>
            </w:rPr>
          </w:pPr>
          <w:hyperlink w:anchor="_Toc193979284" w:history="1">
            <w:r w:rsidRPr="000E3AD5">
              <w:rPr>
                <w:rStyle w:val="Hipervnculo"/>
                <w:rFonts w:eastAsia="Calibri" w:cstheme="minorHAnsi"/>
                <w:b/>
                <w:noProof/>
              </w:rPr>
              <w:t>ANEXO 08 - APÉNDICE 6 - CONTENIDO PARA LA ELABORACIÓN DEL ESTUDIO DE SUELOS, CANTERAS Y FUENTES DE AGUA PARA LAS VÍAS TURÍSTICAS</w:t>
            </w:r>
            <w:r>
              <w:rPr>
                <w:noProof/>
                <w:webHidden/>
              </w:rPr>
              <w:tab/>
            </w:r>
            <w:r>
              <w:rPr>
                <w:noProof/>
                <w:webHidden/>
              </w:rPr>
              <w:fldChar w:fldCharType="begin"/>
            </w:r>
            <w:r>
              <w:rPr>
                <w:noProof/>
                <w:webHidden/>
              </w:rPr>
              <w:instrText xml:space="preserve"> PAGEREF _Toc193979284 \h </w:instrText>
            </w:r>
            <w:r>
              <w:rPr>
                <w:noProof/>
                <w:webHidden/>
              </w:rPr>
            </w:r>
            <w:r>
              <w:rPr>
                <w:noProof/>
                <w:webHidden/>
              </w:rPr>
              <w:fldChar w:fldCharType="separate"/>
            </w:r>
            <w:r w:rsidR="00AC7F15">
              <w:rPr>
                <w:noProof/>
                <w:webHidden/>
              </w:rPr>
              <w:t>415</w:t>
            </w:r>
            <w:r>
              <w:rPr>
                <w:noProof/>
                <w:webHidden/>
              </w:rPr>
              <w:fldChar w:fldCharType="end"/>
            </w:r>
          </w:hyperlink>
        </w:p>
        <w:p w14:paraId="2F1B0EF3" w14:textId="0817A0B9" w:rsidR="004633A3" w:rsidRDefault="004633A3">
          <w:pPr>
            <w:pStyle w:val="TDC2"/>
            <w:rPr>
              <w:rFonts w:eastAsiaTheme="minorEastAsia" w:cstheme="minorBidi"/>
              <w:bCs w:val="0"/>
              <w:noProof/>
              <w:kern w:val="2"/>
              <w:sz w:val="24"/>
              <w:szCs w:val="24"/>
              <w:lang w:val="es-PE"/>
              <w14:ligatures w14:val="standardContextual"/>
            </w:rPr>
          </w:pPr>
          <w:hyperlink w:anchor="_Toc193979285" w:history="1">
            <w:r w:rsidRPr="000E3AD5">
              <w:rPr>
                <w:rStyle w:val="Hipervnculo"/>
                <w:rFonts w:eastAsia="Calibri" w:cstheme="minorHAnsi"/>
                <w:b/>
                <w:noProof/>
              </w:rPr>
              <w:t>ANEXO 08 - APÉNDICE 7 - CONTENIDO PARA LA ELABORACIÓN DEL ESTUDIO DE HIDROLOGÍA Y DRENAJE PARA LAS VÍAS TURÍSTICAS</w:t>
            </w:r>
            <w:r>
              <w:rPr>
                <w:noProof/>
                <w:webHidden/>
              </w:rPr>
              <w:tab/>
            </w:r>
            <w:r>
              <w:rPr>
                <w:noProof/>
                <w:webHidden/>
              </w:rPr>
              <w:fldChar w:fldCharType="begin"/>
            </w:r>
            <w:r>
              <w:rPr>
                <w:noProof/>
                <w:webHidden/>
              </w:rPr>
              <w:instrText xml:space="preserve"> PAGEREF _Toc193979285 \h </w:instrText>
            </w:r>
            <w:r>
              <w:rPr>
                <w:noProof/>
                <w:webHidden/>
              </w:rPr>
            </w:r>
            <w:r>
              <w:rPr>
                <w:noProof/>
                <w:webHidden/>
              </w:rPr>
              <w:fldChar w:fldCharType="separate"/>
            </w:r>
            <w:r w:rsidR="00AC7F15">
              <w:rPr>
                <w:noProof/>
                <w:webHidden/>
              </w:rPr>
              <w:t>421</w:t>
            </w:r>
            <w:r>
              <w:rPr>
                <w:noProof/>
                <w:webHidden/>
              </w:rPr>
              <w:fldChar w:fldCharType="end"/>
            </w:r>
          </w:hyperlink>
        </w:p>
        <w:p w14:paraId="3C193B3F" w14:textId="24236BE7" w:rsidR="004633A3" w:rsidRDefault="004633A3">
          <w:pPr>
            <w:pStyle w:val="TDC2"/>
            <w:rPr>
              <w:rFonts w:eastAsiaTheme="minorEastAsia" w:cstheme="minorBidi"/>
              <w:bCs w:val="0"/>
              <w:noProof/>
              <w:kern w:val="2"/>
              <w:sz w:val="24"/>
              <w:szCs w:val="24"/>
              <w:lang w:val="es-PE"/>
              <w14:ligatures w14:val="standardContextual"/>
            </w:rPr>
          </w:pPr>
          <w:hyperlink w:anchor="_Toc193979286" w:history="1">
            <w:r w:rsidRPr="000E3AD5">
              <w:rPr>
                <w:rStyle w:val="Hipervnculo"/>
                <w:rFonts w:eastAsia="Calibri" w:cstheme="minorHAnsi"/>
                <w:b/>
                <w:noProof/>
              </w:rPr>
              <w:t>ANEXO 08 - APÉNDICE 8 – REQUISITOS BIM</w:t>
            </w:r>
            <w:r>
              <w:rPr>
                <w:noProof/>
                <w:webHidden/>
              </w:rPr>
              <w:tab/>
            </w:r>
            <w:r>
              <w:rPr>
                <w:noProof/>
                <w:webHidden/>
              </w:rPr>
              <w:fldChar w:fldCharType="begin"/>
            </w:r>
            <w:r>
              <w:rPr>
                <w:noProof/>
                <w:webHidden/>
              </w:rPr>
              <w:instrText xml:space="preserve"> PAGEREF _Toc193979286 \h </w:instrText>
            </w:r>
            <w:r>
              <w:rPr>
                <w:noProof/>
                <w:webHidden/>
              </w:rPr>
            </w:r>
            <w:r>
              <w:rPr>
                <w:noProof/>
                <w:webHidden/>
              </w:rPr>
              <w:fldChar w:fldCharType="separate"/>
            </w:r>
            <w:r w:rsidR="00AC7F15">
              <w:rPr>
                <w:noProof/>
                <w:webHidden/>
              </w:rPr>
              <w:t>423</w:t>
            </w:r>
            <w:r>
              <w:rPr>
                <w:noProof/>
                <w:webHidden/>
              </w:rPr>
              <w:fldChar w:fldCharType="end"/>
            </w:r>
          </w:hyperlink>
        </w:p>
        <w:p w14:paraId="2F02B7DB" w14:textId="610B6BB8"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87" w:history="1">
            <w:r w:rsidRPr="000E3AD5">
              <w:rPr>
                <w:rStyle w:val="Hipervnculo"/>
                <w:rFonts w:eastAsia="Calibri"/>
                <w:b/>
                <w:noProof/>
              </w:rPr>
              <w:t>ANEXO 09: NIVELES DE SERVICIO</w:t>
            </w:r>
            <w:r>
              <w:rPr>
                <w:noProof/>
                <w:webHidden/>
              </w:rPr>
              <w:tab/>
            </w:r>
            <w:r>
              <w:rPr>
                <w:noProof/>
                <w:webHidden/>
              </w:rPr>
              <w:fldChar w:fldCharType="begin"/>
            </w:r>
            <w:r>
              <w:rPr>
                <w:noProof/>
                <w:webHidden/>
              </w:rPr>
              <w:instrText xml:space="preserve"> PAGEREF _Toc193979287 \h </w:instrText>
            </w:r>
            <w:r>
              <w:rPr>
                <w:noProof/>
                <w:webHidden/>
              </w:rPr>
            </w:r>
            <w:r>
              <w:rPr>
                <w:noProof/>
                <w:webHidden/>
              </w:rPr>
              <w:fldChar w:fldCharType="separate"/>
            </w:r>
            <w:r w:rsidR="00AC7F15">
              <w:rPr>
                <w:noProof/>
                <w:webHidden/>
              </w:rPr>
              <w:t>456</w:t>
            </w:r>
            <w:r>
              <w:rPr>
                <w:noProof/>
                <w:webHidden/>
              </w:rPr>
              <w:fldChar w:fldCharType="end"/>
            </w:r>
          </w:hyperlink>
        </w:p>
        <w:p w14:paraId="1654097A" w14:textId="6D784E62" w:rsidR="004633A3" w:rsidRDefault="004633A3">
          <w:pPr>
            <w:pStyle w:val="TDC2"/>
            <w:rPr>
              <w:rFonts w:eastAsiaTheme="minorEastAsia" w:cstheme="minorBidi"/>
              <w:bCs w:val="0"/>
              <w:noProof/>
              <w:kern w:val="2"/>
              <w:sz w:val="24"/>
              <w:szCs w:val="24"/>
              <w:lang w:val="es-PE"/>
              <w14:ligatures w14:val="standardContextual"/>
            </w:rPr>
          </w:pPr>
          <w:hyperlink w:anchor="_Toc193979288" w:history="1">
            <w:r w:rsidRPr="000E3AD5">
              <w:rPr>
                <w:rStyle w:val="Hipervnculo"/>
                <w:rFonts w:eastAsia="Arial" w:cstheme="minorHAnsi"/>
                <w:b/>
                <w:noProof/>
                <w:lang w:val="es-PE"/>
              </w:rPr>
              <w:t>ANEXO 09 - APÉNDICE 1: INDICADORES DE NIVELES DE SERVICIO</w:t>
            </w:r>
            <w:r>
              <w:rPr>
                <w:noProof/>
                <w:webHidden/>
              </w:rPr>
              <w:tab/>
            </w:r>
            <w:r>
              <w:rPr>
                <w:noProof/>
                <w:webHidden/>
              </w:rPr>
              <w:fldChar w:fldCharType="begin"/>
            </w:r>
            <w:r>
              <w:rPr>
                <w:noProof/>
                <w:webHidden/>
              </w:rPr>
              <w:instrText xml:space="preserve"> PAGEREF _Toc193979288 \h </w:instrText>
            </w:r>
            <w:r>
              <w:rPr>
                <w:noProof/>
                <w:webHidden/>
              </w:rPr>
            </w:r>
            <w:r>
              <w:rPr>
                <w:noProof/>
                <w:webHidden/>
              </w:rPr>
              <w:fldChar w:fldCharType="separate"/>
            </w:r>
            <w:r w:rsidR="00AC7F15">
              <w:rPr>
                <w:noProof/>
                <w:webHidden/>
              </w:rPr>
              <w:t>477</w:t>
            </w:r>
            <w:r>
              <w:rPr>
                <w:noProof/>
                <w:webHidden/>
              </w:rPr>
              <w:fldChar w:fldCharType="end"/>
            </w:r>
          </w:hyperlink>
        </w:p>
        <w:p w14:paraId="30FC5AA6" w14:textId="03F2679C" w:rsidR="004633A3" w:rsidRDefault="004633A3">
          <w:pPr>
            <w:pStyle w:val="TDC2"/>
            <w:rPr>
              <w:rFonts w:eastAsiaTheme="minorEastAsia" w:cstheme="minorBidi"/>
              <w:bCs w:val="0"/>
              <w:noProof/>
              <w:kern w:val="2"/>
              <w:sz w:val="24"/>
              <w:szCs w:val="24"/>
              <w:lang w:val="es-PE"/>
              <w14:ligatures w14:val="standardContextual"/>
            </w:rPr>
          </w:pPr>
          <w:hyperlink w:anchor="_Toc193979289" w:history="1">
            <w:r w:rsidRPr="000E3AD5">
              <w:rPr>
                <w:rStyle w:val="Hipervnculo"/>
                <w:rFonts w:eastAsia="Arial" w:cstheme="minorHAnsi"/>
                <w:b/>
                <w:noProof/>
                <w:lang w:val="es-PE"/>
              </w:rPr>
              <w:t>ANEXO 09 - APÉNDICE 2: CONTENIDO MÍNIMO DEL PLAN DE CONSERVACIÓN ANUAL</w:t>
            </w:r>
            <w:r>
              <w:rPr>
                <w:noProof/>
                <w:webHidden/>
              </w:rPr>
              <w:tab/>
            </w:r>
            <w:r>
              <w:rPr>
                <w:noProof/>
                <w:webHidden/>
              </w:rPr>
              <w:fldChar w:fldCharType="begin"/>
            </w:r>
            <w:r>
              <w:rPr>
                <w:noProof/>
                <w:webHidden/>
              </w:rPr>
              <w:instrText xml:space="preserve"> PAGEREF _Toc193979289 \h </w:instrText>
            </w:r>
            <w:r>
              <w:rPr>
                <w:noProof/>
                <w:webHidden/>
              </w:rPr>
            </w:r>
            <w:r>
              <w:rPr>
                <w:noProof/>
                <w:webHidden/>
              </w:rPr>
              <w:fldChar w:fldCharType="separate"/>
            </w:r>
            <w:r w:rsidR="00AC7F15">
              <w:rPr>
                <w:noProof/>
                <w:webHidden/>
              </w:rPr>
              <w:t>500</w:t>
            </w:r>
            <w:r>
              <w:rPr>
                <w:noProof/>
                <w:webHidden/>
              </w:rPr>
              <w:fldChar w:fldCharType="end"/>
            </w:r>
          </w:hyperlink>
        </w:p>
        <w:p w14:paraId="5C2E572A" w14:textId="391696E7" w:rsidR="004633A3" w:rsidRDefault="004633A3">
          <w:pPr>
            <w:pStyle w:val="TDC2"/>
            <w:rPr>
              <w:rFonts w:eastAsiaTheme="minorEastAsia" w:cstheme="minorBidi"/>
              <w:bCs w:val="0"/>
              <w:noProof/>
              <w:kern w:val="2"/>
              <w:sz w:val="24"/>
              <w:szCs w:val="24"/>
              <w:lang w:val="es-PE"/>
              <w14:ligatures w14:val="standardContextual"/>
            </w:rPr>
          </w:pPr>
          <w:hyperlink w:anchor="_Toc193979290" w:history="1">
            <w:r w:rsidRPr="000E3AD5">
              <w:rPr>
                <w:rStyle w:val="Hipervnculo"/>
                <w:rFonts w:eastAsia="Arial" w:cstheme="minorHAnsi"/>
                <w:b/>
                <w:noProof/>
                <w:lang w:val="es-PE"/>
              </w:rPr>
              <w:t>ANEXO 09 - APÉNDICE 3: CRITERIOS PARA EL ASEO Y LIMPIEZA DE LAS INSTALACIONES Y EQUIPAMIENTO ELECTROMECÁNICO</w:t>
            </w:r>
            <w:r>
              <w:rPr>
                <w:noProof/>
                <w:webHidden/>
              </w:rPr>
              <w:tab/>
            </w:r>
            <w:r>
              <w:rPr>
                <w:noProof/>
                <w:webHidden/>
              </w:rPr>
              <w:fldChar w:fldCharType="begin"/>
            </w:r>
            <w:r>
              <w:rPr>
                <w:noProof/>
                <w:webHidden/>
              </w:rPr>
              <w:instrText xml:space="preserve"> PAGEREF _Toc193979290 \h </w:instrText>
            </w:r>
            <w:r>
              <w:rPr>
                <w:noProof/>
                <w:webHidden/>
              </w:rPr>
            </w:r>
            <w:r>
              <w:rPr>
                <w:noProof/>
                <w:webHidden/>
              </w:rPr>
              <w:fldChar w:fldCharType="separate"/>
            </w:r>
            <w:r w:rsidR="00AC7F15">
              <w:rPr>
                <w:noProof/>
                <w:webHidden/>
              </w:rPr>
              <w:t>506</w:t>
            </w:r>
            <w:r>
              <w:rPr>
                <w:noProof/>
                <w:webHidden/>
              </w:rPr>
              <w:fldChar w:fldCharType="end"/>
            </w:r>
          </w:hyperlink>
        </w:p>
        <w:p w14:paraId="78D2BD52" w14:textId="6E6C9D97" w:rsidR="004633A3" w:rsidRDefault="004633A3">
          <w:pPr>
            <w:pStyle w:val="TDC2"/>
            <w:rPr>
              <w:rFonts w:eastAsiaTheme="minorEastAsia" w:cstheme="minorBidi"/>
              <w:bCs w:val="0"/>
              <w:noProof/>
              <w:kern w:val="2"/>
              <w:sz w:val="24"/>
              <w:szCs w:val="24"/>
              <w:lang w:val="es-PE"/>
              <w14:ligatures w14:val="standardContextual"/>
            </w:rPr>
          </w:pPr>
          <w:hyperlink w:anchor="_Toc193979291" w:history="1">
            <w:r w:rsidRPr="000E3AD5">
              <w:rPr>
                <w:rStyle w:val="Hipervnculo"/>
                <w:rFonts w:eastAsia="Arial" w:cstheme="minorHAnsi"/>
                <w:b/>
                <w:noProof/>
                <w:lang w:val="es-PE"/>
              </w:rPr>
              <w:t>ANEXO 09 - APÉNDICE 4: FORMATOS DE COMUNICACIÓN</w:t>
            </w:r>
            <w:r>
              <w:rPr>
                <w:noProof/>
                <w:webHidden/>
              </w:rPr>
              <w:tab/>
            </w:r>
            <w:r>
              <w:rPr>
                <w:noProof/>
                <w:webHidden/>
              </w:rPr>
              <w:fldChar w:fldCharType="begin"/>
            </w:r>
            <w:r>
              <w:rPr>
                <w:noProof/>
                <w:webHidden/>
              </w:rPr>
              <w:instrText xml:space="preserve"> PAGEREF _Toc193979291 \h </w:instrText>
            </w:r>
            <w:r>
              <w:rPr>
                <w:noProof/>
                <w:webHidden/>
              </w:rPr>
            </w:r>
            <w:r>
              <w:rPr>
                <w:noProof/>
                <w:webHidden/>
              </w:rPr>
              <w:fldChar w:fldCharType="separate"/>
            </w:r>
            <w:r w:rsidR="00AC7F15">
              <w:rPr>
                <w:noProof/>
                <w:webHidden/>
              </w:rPr>
              <w:t>508</w:t>
            </w:r>
            <w:r>
              <w:rPr>
                <w:noProof/>
                <w:webHidden/>
              </w:rPr>
              <w:fldChar w:fldCharType="end"/>
            </w:r>
          </w:hyperlink>
        </w:p>
        <w:p w14:paraId="47B5F58A" w14:textId="43036211" w:rsidR="004633A3" w:rsidRDefault="004633A3">
          <w:pPr>
            <w:pStyle w:val="TDC2"/>
            <w:rPr>
              <w:rFonts w:eastAsiaTheme="minorEastAsia" w:cstheme="minorBidi"/>
              <w:bCs w:val="0"/>
              <w:noProof/>
              <w:kern w:val="2"/>
              <w:sz w:val="24"/>
              <w:szCs w:val="24"/>
              <w:lang w:val="es-PE"/>
              <w14:ligatures w14:val="standardContextual"/>
            </w:rPr>
          </w:pPr>
          <w:hyperlink w:anchor="_Toc193979292" w:history="1">
            <w:r w:rsidRPr="000E3AD5">
              <w:rPr>
                <w:rStyle w:val="Hipervnculo"/>
                <w:rFonts w:ascii="Calibri" w:eastAsia="Arial" w:hAnsi="Calibri" w:cs="Calibri"/>
                <w:b/>
                <w:noProof/>
                <w:lang w:val="es-PE"/>
              </w:rPr>
              <w:t>ANEXO 09 - APÉNDICE 5: PRESTACIONES DE SERVICIOS EN CASO DE SUSPENSIÓN DE LA CONCESIÓN</w:t>
            </w:r>
            <w:r>
              <w:rPr>
                <w:noProof/>
                <w:webHidden/>
              </w:rPr>
              <w:tab/>
            </w:r>
            <w:r>
              <w:rPr>
                <w:noProof/>
                <w:webHidden/>
              </w:rPr>
              <w:fldChar w:fldCharType="begin"/>
            </w:r>
            <w:r>
              <w:rPr>
                <w:noProof/>
                <w:webHidden/>
              </w:rPr>
              <w:instrText xml:space="preserve"> PAGEREF _Toc193979292 \h </w:instrText>
            </w:r>
            <w:r>
              <w:rPr>
                <w:noProof/>
                <w:webHidden/>
              </w:rPr>
            </w:r>
            <w:r>
              <w:rPr>
                <w:noProof/>
                <w:webHidden/>
              </w:rPr>
              <w:fldChar w:fldCharType="separate"/>
            </w:r>
            <w:r w:rsidR="00AC7F15">
              <w:rPr>
                <w:noProof/>
                <w:webHidden/>
              </w:rPr>
              <w:t>511</w:t>
            </w:r>
            <w:r>
              <w:rPr>
                <w:noProof/>
                <w:webHidden/>
              </w:rPr>
              <w:fldChar w:fldCharType="end"/>
            </w:r>
          </w:hyperlink>
        </w:p>
        <w:p w14:paraId="2A9987A0" w14:textId="73B18C49"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3" w:history="1">
            <w:r w:rsidRPr="000E3AD5">
              <w:rPr>
                <w:rStyle w:val="Hipervnculo"/>
                <w:rFonts w:eastAsia="Calibri"/>
                <w:b/>
                <w:noProof/>
              </w:rPr>
              <w:t>ANEXO 10: REQUERIMIENTOS DE EQUIPAMIENTO Y MOBILIARIO</w:t>
            </w:r>
            <w:r>
              <w:rPr>
                <w:noProof/>
                <w:webHidden/>
              </w:rPr>
              <w:tab/>
            </w:r>
            <w:r>
              <w:rPr>
                <w:noProof/>
                <w:webHidden/>
              </w:rPr>
              <w:fldChar w:fldCharType="begin"/>
            </w:r>
            <w:r>
              <w:rPr>
                <w:noProof/>
                <w:webHidden/>
              </w:rPr>
              <w:instrText xml:space="preserve"> PAGEREF _Toc193979293 \h </w:instrText>
            </w:r>
            <w:r>
              <w:rPr>
                <w:noProof/>
                <w:webHidden/>
              </w:rPr>
            </w:r>
            <w:r>
              <w:rPr>
                <w:noProof/>
                <w:webHidden/>
              </w:rPr>
              <w:fldChar w:fldCharType="separate"/>
            </w:r>
            <w:r w:rsidR="00AC7F15">
              <w:rPr>
                <w:noProof/>
                <w:webHidden/>
              </w:rPr>
              <w:t>520</w:t>
            </w:r>
            <w:r>
              <w:rPr>
                <w:noProof/>
                <w:webHidden/>
              </w:rPr>
              <w:fldChar w:fldCharType="end"/>
            </w:r>
          </w:hyperlink>
        </w:p>
        <w:p w14:paraId="5EF4CC75" w14:textId="5EFE69CC"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4" w:history="1">
            <w:r w:rsidRPr="000E3AD5">
              <w:rPr>
                <w:rStyle w:val="Hipervnculo"/>
                <w:rFonts w:eastAsia="Calibri"/>
                <w:b/>
                <w:noProof/>
              </w:rPr>
              <w:t>ANEXO 11: RÉGIMEN ECONÓMICO FINANCIERO</w:t>
            </w:r>
            <w:r>
              <w:rPr>
                <w:noProof/>
                <w:webHidden/>
              </w:rPr>
              <w:tab/>
            </w:r>
            <w:r>
              <w:rPr>
                <w:noProof/>
                <w:webHidden/>
              </w:rPr>
              <w:fldChar w:fldCharType="begin"/>
            </w:r>
            <w:r>
              <w:rPr>
                <w:noProof/>
                <w:webHidden/>
              </w:rPr>
              <w:instrText xml:space="preserve"> PAGEREF _Toc193979294 \h </w:instrText>
            </w:r>
            <w:r>
              <w:rPr>
                <w:noProof/>
                <w:webHidden/>
              </w:rPr>
            </w:r>
            <w:r>
              <w:rPr>
                <w:noProof/>
                <w:webHidden/>
              </w:rPr>
              <w:fldChar w:fldCharType="separate"/>
            </w:r>
            <w:r w:rsidR="00AC7F15">
              <w:rPr>
                <w:noProof/>
                <w:webHidden/>
              </w:rPr>
              <w:t>522</w:t>
            </w:r>
            <w:r>
              <w:rPr>
                <w:noProof/>
                <w:webHidden/>
              </w:rPr>
              <w:fldChar w:fldCharType="end"/>
            </w:r>
          </w:hyperlink>
        </w:p>
        <w:p w14:paraId="70547B58" w14:textId="2F322884" w:rsidR="004633A3" w:rsidRDefault="004633A3">
          <w:pPr>
            <w:pStyle w:val="TDC2"/>
            <w:rPr>
              <w:rFonts w:eastAsiaTheme="minorEastAsia" w:cstheme="minorBidi"/>
              <w:bCs w:val="0"/>
              <w:noProof/>
              <w:kern w:val="2"/>
              <w:sz w:val="24"/>
              <w:szCs w:val="24"/>
              <w:lang w:val="es-PE"/>
              <w14:ligatures w14:val="standardContextual"/>
            </w:rPr>
          </w:pPr>
          <w:hyperlink w:anchor="_Toc193979295" w:history="1">
            <w:r w:rsidRPr="000E3AD5">
              <w:rPr>
                <w:rStyle w:val="Hipervnculo"/>
                <w:rFonts w:eastAsia="Calibri" w:cstheme="minorHAnsi"/>
                <w:b/>
                <w:noProof/>
              </w:rPr>
              <w:t>ANEXO 11- APÉNDICE 1 - MECANISMO DE AJUSTES, LIQUIDACIÓN Y PAGO DEL PPD Y DEL PPO</w:t>
            </w:r>
            <w:r>
              <w:rPr>
                <w:noProof/>
                <w:webHidden/>
              </w:rPr>
              <w:tab/>
            </w:r>
            <w:r>
              <w:rPr>
                <w:noProof/>
                <w:webHidden/>
              </w:rPr>
              <w:fldChar w:fldCharType="begin"/>
            </w:r>
            <w:r>
              <w:rPr>
                <w:noProof/>
                <w:webHidden/>
              </w:rPr>
              <w:instrText xml:space="preserve"> PAGEREF _Toc193979295 \h </w:instrText>
            </w:r>
            <w:r>
              <w:rPr>
                <w:noProof/>
                <w:webHidden/>
              </w:rPr>
            </w:r>
            <w:r>
              <w:rPr>
                <w:noProof/>
                <w:webHidden/>
              </w:rPr>
              <w:fldChar w:fldCharType="separate"/>
            </w:r>
            <w:r w:rsidR="00AC7F15">
              <w:rPr>
                <w:noProof/>
                <w:webHidden/>
              </w:rPr>
              <w:t>522</w:t>
            </w:r>
            <w:r>
              <w:rPr>
                <w:noProof/>
                <w:webHidden/>
              </w:rPr>
              <w:fldChar w:fldCharType="end"/>
            </w:r>
          </w:hyperlink>
        </w:p>
        <w:p w14:paraId="740CCCD0" w14:textId="3945BFE8" w:rsidR="004633A3" w:rsidRDefault="004633A3">
          <w:pPr>
            <w:pStyle w:val="TDC2"/>
            <w:rPr>
              <w:rFonts w:eastAsiaTheme="minorEastAsia" w:cstheme="minorBidi"/>
              <w:bCs w:val="0"/>
              <w:noProof/>
              <w:kern w:val="2"/>
              <w:sz w:val="24"/>
              <w:szCs w:val="24"/>
              <w:lang w:val="es-PE"/>
              <w14:ligatures w14:val="standardContextual"/>
            </w:rPr>
          </w:pPr>
          <w:hyperlink w:anchor="_Toc193979296" w:history="1">
            <w:r w:rsidRPr="000E3AD5">
              <w:rPr>
                <w:rStyle w:val="Hipervnculo"/>
                <w:rFonts w:eastAsia="Calibri" w:cstheme="minorHAnsi"/>
                <w:b/>
                <w:noProof/>
              </w:rPr>
              <w:t>ANEXO 11- APÉNDICE 2 - LINEAMIENTOS APLICABLES AL CONTRATO DE FIDEICOMISO DE ADMINISTRACIÓN</w:t>
            </w:r>
            <w:r>
              <w:rPr>
                <w:noProof/>
                <w:webHidden/>
              </w:rPr>
              <w:tab/>
            </w:r>
            <w:r>
              <w:rPr>
                <w:noProof/>
                <w:webHidden/>
              </w:rPr>
              <w:fldChar w:fldCharType="begin"/>
            </w:r>
            <w:r>
              <w:rPr>
                <w:noProof/>
                <w:webHidden/>
              </w:rPr>
              <w:instrText xml:space="preserve"> PAGEREF _Toc193979296 \h </w:instrText>
            </w:r>
            <w:r>
              <w:rPr>
                <w:noProof/>
                <w:webHidden/>
              </w:rPr>
            </w:r>
            <w:r>
              <w:rPr>
                <w:noProof/>
                <w:webHidden/>
              </w:rPr>
              <w:fldChar w:fldCharType="separate"/>
            </w:r>
            <w:r w:rsidR="00AC7F15">
              <w:rPr>
                <w:noProof/>
                <w:webHidden/>
              </w:rPr>
              <w:t>543</w:t>
            </w:r>
            <w:r>
              <w:rPr>
                <w:noProof/>
                <w:webHidden/>
              </w:rPr>
              <w:fldChar w:fldCharType="end"/>
            </w:r>
          </w:hyperlink>
        </w:p>
        <w:p w14:paraId="2A1A2C7E" w14:textId="009B3657" w:rsidR="004633A3" w:rsidRDefault="004633A3">
          <w:pPr>
            <w:pStyle w:val="TDC2"/>
            <w:rPr>
              <w:rFonts w:eastAsiaTheme="minorEastAsia" w:cstheme="minorBidi"/>
              <w:bCs w:val="0"/>
              <w:noProof/>
              <w:kern w:val="2"/>
              <w:sz w:val="24"/>
              <w:szCs w:val="24"/>
              <w:lang w:val="es-PE"/>
              <w14:ligatures w14:val="standardContextual"/>
            </w:rPr>
          </w:pPr>
          <w:hyperlink w:anchor="_Toc193979297" w:history="1">
            <w:r w:rsidRPr="000E3AD5">
              <w:rPr>
                <w:rStyle w:val="Hipervnculo"/>
                <w:rFonts w:eastAsia="Calibri" w:cstheme="minorHAnsi"/>
                <w:b/>
                <w:noProof/>
              </w:rPr>
              <w:t>ANEXO 11- APÉNDICE 3 - PROCEDIMIENTO DE CÁLCULO DE DEDUCCIONES</w:t>
            </w:r>
            <w:r>
              <w:rPr>
                <w:noProof/>
                <w:webHidden/>
              </w:rPr>
              <w:tab/>
            </w:r>
            <w:r>
              <w:rPr>
                <w:noProof/>
                <w:webHidden/>
              </w:rPr>
              <w:fldChar w:fldCharType="begin"/>
            </w:r>
            <w:r>
              <w:rPr>
                <w:noProof/>
                <w:webHidden/>
              </w:rPr>
              <w:instrText xml:space="preserve"> PAGEREF _Toc193979297 \h </w:instrText>
            </w:r>
            <w:r>
              <w:rPr>
                <w:noProof/>
                <w:webHidden/>
              </w:rPr>
            </w:r>
            <w:r>
              <w:rPr>
                <w:noProof/>
                <w:webHidden/>
              </w:rPr>
              <w:fldChar w:fldCharType="separate"/>
            </w:r>
            <w:r w:rsidR="00AC7F15">
              <w:rPr>
                <w:noProof/>
                <w:webHidden/>
              </w:rPr>
              <w:t>549</w:t>
            </w:r>
            <w:r>
              <w:rPr>
                <w:noProof/>
                <w:webHidden/>
              </w:rPr>
              <w:fldChar w:fldCharType="end"/>
            </w:r>
          </w:hyperlink>
        </w:p>
        <w:p w14:paraId="4929AB06" w14:textId="1DAF2346" w:rsidR="004633A3" w:rsidRDefault="004633A3">
          <w:pPr>
            <w:pStyle w:val="TDC2"/>
            <w:rPr>
              <w:rFonts w:eastAsiaTheme="minorEastAsia" w:cstheme="minorBidi"/>
              <w:bCs w:val="0"/>
              <w:noProof/>
              <w:kern w:val="2"/>
              <w:sz w:val="24"/>
              <w:szCs w:val="24"/>
              <w:lang w:val="es-PE"/>
              <w14:ligatures w14:val="standardContextual"/>
            </w:rPr>
          </w:pPr>
          <w:hyperlink w:anchor="_Toc193979298" w:history="1">
            <w:r w:rsidRPr="000E3AD5">
              <w:rPr>
                <w:rStyle w:val="Hipervnculo"/>
                <w:rFonts w:eastAsia="Calibri" w:cstheme="minorHAnsi"/>
                <w:b/>
                <w:noProof/>
              </w:rPr>
              <w:t>ANEXO 11- APÉNDICE 4 - MODELO DEL INFORME DE LIQUIDACIÓN</w:t>
            </w:r>
            <w:r>
              <w:rPr>
                <w:noProof/>
                <w:webHidden/>
              </w:rPr>
              <w:tab/>
            </w:r>
            <w:r>
              <w:rPr>
                <w:noProof/>
                <w:webHidden/>
              </w:rPr>
              <w:fldChar w:fldCharType="begin"/>
            </w:r>
            <w:r>
              <w:rPr>
                <w:noProof/>
                <w:webHidden/>
              </w:rPr>
              <w:instrText xml:space="preserve"> PAGEREF _Toc193979298 \h </w:instrText>
            </w:r>
            <w:r>
              <w:rPr>
                <w:noProof/>
                <w:webHidden/>
              </w:rPr>
            </w:r>
            <w:r>
              <w:rPr>
                <w:noProof/>
                <w:webHidden/>
              </w:rPr>
              <w:fldChar w:fldCharType="separate"/>
            </w:r>
            <w:r w:rsidR="00AC7F15">
              <w:rPr>
                <w:noProof/>
                <w:webHidden/>
              </w:rPr>
              <w:t>551</w:t>
            </w:r>
            <w:r>
              <w:rPr>
                <w:noProof/>
                <w:webHidden/>
              </w:rPr>
              <w:fldChar w:fldCharType="end"/>
            </w:r>
          </w:hyperlink>
        </w:p>
        <w:p w14:paraId="5E92E96F" w14:textId="1E1809CE"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299" w:history="1">
            <w:r w:rsidRPr="000E3AD5">
              <w:rPr>
                <w:rStyle w:val="Hipervnculo"/>
                <w:rFonts w:eastAsia="Calibri"/>
                <w:b/>
                <w:noProof/>
              </w:rPr>
              <w:t>ANEXO 12: TABLA DE PENALIDADES</w:t>
            </w:r>
            <w:r>
              <w:rPr>
                <w:noProof/>
                <w:webHidden/>
              </w:rPr>
              <w:tab/>
            </w:r>
            <w:r>
              <w:rPr>
                <w:noProof/>
                <w:webHidden/>
              </w:rPr>
              <w:fldChar w:fldCharType="begin"/>
            </w:r>
            <w:r>
              <w:rPr>
                <w:noProof/>
                <w:webHidden/>
              </w:rPr>
              <w:instrText xml:space="preserve"> PAGEREF _Toc193979299 \h </w:instrText>
            </w:r>
            <w:r>
              <w:rPr>
                <w:noProof/>
                <w:webHidden/>
              </w:rPr>
            </w:r>
            <w:r>
              <w:rPr>
                <w:noProof/>
                <w:webHidden/>
              </w:rPr>
              <w:fldChar w:fldCharType="separate"/>
            </w:r>
            <w:r w:rsidR="00AC7F15">
              <w:rPr>
                <w:noProof/>
                <w:webHidden/>
              </w:rPr>
              <w:t>557</w:t>
            </w:r>
            <w:r>
              <w:rPr>
                <w:noProof/>
                <w:webHidden/>
              </w:rPr>
              <w:fldChar w:fldCharType="end"/>
            </w:r>
          </w:hyperlink>
        </w:p>
        <w:p w14:paraId="45122283" w14:textId="0C7B176E"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0" w:history="1">
            <w:r w:rsidRPr="000E3AD5">
              <w:rPr>
                <w:rStyle w:val="Hipervnculo"/>
                <w:rFonts w:eastAsia="Calibri"/>
                <w:b/>
                <w:noProof/>
              </w:rPr>
              <w:t>ANEXO 13: PROPUESTA TÉCNICA</w:t>
            </w:r>
            <w:r>
              <w:rPr>
                <w:noProof/>
                <w:webHidden/>
              </w:rPr>
              <w:tab/>
            </w:r>
            <w:r>
              <w:rPr>
                <w:noProof/>
                <w:webHidden/>
              </w:rPr>
              <w:fldChar w:fldCharType="begin"/>
            </w:r>
            <w:r>
              <w:rPr>
                <w:noProof/>
                <w:webHidden/>
              </w:rPr>
              <w:instrText xml:space="preserve"> PAGEREF _Toc193979300 \h </w:instrText>
            </w:r>
            <w:r>
              <w:rPr>
                <w:noProof/>
                <w:webHidden/>
              </w:rPr>
            </w:r>
            <w:r>
              <w:rPr>
                <w:noProof/>
                <w:webHidden/>
              </w:rPr>
              <w:fldChar w:fldCharType="separate"/>
            </w:r>
            <w:r w:rsidR="00AC7F15">
              <w:rPr>
                <w:noProof/>
                <w:webHidden/>
              </w:rPr>
              <w:t>564</w:t>
            </w:r>
            <w:r>
              <w:rPr>
                <w:noProof/>
                <w:webHidden/>
              </w:rPr>
              <w:fldChar w:fldCharType="end"/>
            </w:r>
          </w:hyperlink>
        </w:p>
        <w:p w14:paraId="63C2D79A" w14:textId="2079CF0B"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1" w:history="1">
            <w:r w:rsidRPr="000E3AD5">
              <w:rPr>
                <w:rStyle w:val="Hipervnculo"/>
                <w:rFonts w:eastAsia="Calibri"/>
                <w:b/>
                <w:noProof/>
              </w:rPr>
              <w:t>ANEXO 14: OFERTA ECONÓMICA</w:t>
            </w:r>
            <w:r>
              <w:rPr>
                <w:noProof/>
                <w:webHidden/>
              </w:rPr>
              <w:tab/>
            </w:r>
            <w:r>
              <w:rPr>
                <w:noProof/>
                <w:webHidden/>
              </w:rPr>
              <w:fldChar w:fldCharType="begin"/>
            </w:r>
            <w:r>
              <w:rPr>
                <w:noProof/>
                <w:webHidden/>
              </w:rPr>
              <w:instrText xml:space="preserve"> PAGEREF _Toc193979301 \h </w:instrText>
            </w:r>
            <w:r>
              <w:rPr>
                <w:noProof/>
                <w:webHidden/>
              </w:rPr>
            </w:r>
            <w:r>
              <w:rPr>
                <w:noProof/>
                <w:webHidden/>
              </w:rPr>
              <w:fldChar w:fldCharType="separate"/>
            </w:r>
            <w:r w:rsidR="00AC7F15">
              <w:rPr>
                <w:noProof/>
                <w:webHidden/>
              </w:rPr>
              <w:t>565</w:t>
            </w:r>
            <w:r>
              <w:rPr>
                <w:noProof/>
                <w:webHidden/>
              </w:rPr>
              <w:fldChar w:fldCharType="end"/>
            </w:r>
          </w:hyperlink>
        </w:p>
        <w:p w14:paraId="44D60AE2" w14:textId="6E91B4AC" w:rsidR="004633A3" w:rsidRDefault="004633A3">
          <w:pPr>
            <w:pStyle w:val="TDC1"/>
            <w:tabs>
              <w:tab w:val="right" w:leader="dot" w:pos="8494"/>
            </w:tabs>
            <w:rPr>
              <w:rFonts w:eastAsiaTheme="minorEastAsia" w:cstheme="minorBidi"/>
              <w:bCs w:val="0"/>
              <w:i w:val="0"/>
              <w:iCs w:val="0"/>
              <w:noProof/>
              <w:kern w:val="2"/>
              <w:lang w:val="es-PE" w:eastAsia="es-PE"/>
              <w14:ligatures w14:val="standardContextual"/>
            </w:rPr>
          </w:pPr>
          <w:hyperlink w:anchor="_Toc193979302" w:history="1">
            <w:r w:rsidRPr="000E3AD5">
              <w:rPr>
                <w:rStyle w:val="Hipervnculo"/>
                <w:rFonts w:eastAsia="Calibri"/>
                <w:b/>
                <w:noProof/>
              </w:rPr>
              <w:t>ANEXO 15: DOCUMENTO RELACIONADO CON LA COMPATIBILIDAD DEL PROYECTO CON EL ÁREA DE CONSERVACIÓN REGIONAL CHOQUEQUIRAO</w:t>
            </w:r>
            <w:r>
              <w:rPr>
                <w:noProof/>
                <w:webHidden/>
              </w:rPr>
              <w:tab/>
            </w:r>
            <w:r>
              <w:rPr>
                <w:noProof/>
                <w:webHidden/>
              </w:rPr>
              <w:fldChar w:fldCharType="begin"/>
            </w:r>
            <w:r>
              <w:rPr>
                <w:noProof/>
                <w:webHidden/>
              </w:rPr>
              <w:instrText xml:space="preserve"> PAGEREF _Toc193979302 \h </w:instrText>
            </w:r>
            <w:r>
              <w:rPr>
                <w:noProof/>
                <w:webHidden/>
              </w:rPr>
            </w:r>
            <w:r>
              <w:rPr>
                <w:noProof/>
                <w:webHidden/>
              </w:rPr>
              <w:fldChar w:fldCharType="separate"/>
            </w:r>
            <w:r w:rsidR="00AC7F15">
              <w:rPr>
                <w:noProof/>
                <w:webHidden/>
              </w:rPr>
              <w:t>566</w:t>
            </w:r>
            <w:r>
              <w:rPr>
                <w:noProof/>
                <w:webHidden/>
              </w:rPr>
              <w:fldChar w:fldCharType="end"/>
            </w:r>
          </w:hyperlink>
        </w:p>
        <w:p w14:paraId="0426A36A" w14:textId="626C5512" w:rsidR="00A77713" w:rsidRPr="00285D58" w:rsidRDefault="006049C1" w:rsidP="00A77713">
          <w:pPr>
            <w:spacing w:line="276" w:lineRule="auto"/>
            <w:jc w:val="both"/>
            <w:rPr>
              <w:rFonts w:asciiTheme="minorHAnsi" w:hAnsiTheme="minorHAnsi" w:cstheme="minorHAnsi"/>
              <w:b/>
              <w:bCs/>
            </w:rPr>
          </w:pPr>
          <w:r w:rsidRPr="00285D58">
            <w:rPr>
              <w:rFonts w:asciiTheme="minorHAnsi" w:hAnsiTheme="minorHAnsi" w:cstheme="minorHAnsi"/>
              <w:b/>
              <w:bCs/>
            </w:rPr>
            <w:fldChar w:fldCharType="end"/>
          </w:r>
        </w:p>
      </w:sdtContent>
    </w:sdt>
    <w:p w14:paraId="7EB92142" w14:textId="293F66BB" w:rsidR="005D3BD8" w:rsidRPr="00285D58" w:rsidRDefault="005D3BD8">
      <w:pPr>
        <w:rPr>
          <w:rFonts w:asciiTheme="minorHAnsi" w:eastAsia="Calibri" w:hAnsiTheme="minorHAnsi" w:cstheme="minorHAnsi"/>
          <w:b/>
          <w:color w:val="1F4E79"/>
          <w:sz w:val="24"/>
          <w:szCs w:val="24"/>
          <w:u w:val="single"/>
        </w:rPr>
      </w:pPr>
      <w:r w:rsidRPr="00285D58">
        <w:rPr>
          <w:rFonts w:asciiTheme="minorHAnsi" w:eastAsia="Calibri" w:hAnsiTheme="minorHAnsi" w:cstheme="minorHAnsi"/>
          <w:b/>
          <w:color w:val="1F4E79"/>
          <w:sz w:val="24"/>
          <w:szCs w:val="24"/>
          <w:u w:val="single"/>
        </w:rPr>
        <w:br w:type="page"/>
      </w:r>
    </w:p>
    <w:p w14:paraId="0054E53C" w14:textId="77777777" w:rsidR="005D3BD8" w:rsidRPr="00285D58" w:rsidRDefault="005D3BD8" w:rsidP="00A77713">
      <w:pPr>
        <w:spacing w:line="276" w:lineRule="auto"/>
        <w:jc w:val="both"/>
        <w:rPr>
          <w:rFonts w:asciiTheme="minorHAnsi" w:eastAsia="Calibri" w:hAnsiTheme="minorHAnsi" w:cstheme="minorHAnsi"/>
          <w:b/>
          <w:color w:val="1F4E79"/>
          <w:sz w:val="24"/>
          <w:szCs w:val="24"/>
          <w:u w:val="single"/>
        </w:rPr>
      </w:pPr>
    </w:p>
    <w:p w14:paraId="304106BF" w14:textId="1FAE59D6" w:rsidR="007422BA" w:rsidRPr="00285D58" w:rsidRDefault="00000000" w:rsidP="00C81BF7">
      <w:pPr>
        <w:keepNext/>
        <w:keepLines/>
        <w:spacing w:before="1" w:after="80" w:line="276" w:lineRule="auto"/>
        <w:jc w:val="both"/>
        <w:outlineLvl w:val="0"/>
        <w:rPr>
          <w:rFonts w:asciiTheme="minorHAnsi" w:eastAsia="Calibri" w:hAnsiTheme="minorHAnsi" w:cstheme="minorHAnsi"/>
          <w:b/>
          <w:color w:val="1F4E79"/>
          <w:sz w:val="24"/>
          <w:szCs w:val="24"/>
          <w:u w:val="single"/>
        </w:rPr>
      </w:pPr>
      <w:bookmarkStart w:id="0" w:name="_Toc193979263"/>
      <w:r>
        <w:rPr>
          <w:rFonts w:asciiTheme="minorHAnsi" w:eastAsia="Calibri" w:hAnsiTheme="minorHAnsi" w:cstheme="minorHAnsi"/>
          <w:b/>
          <w:color w:val="1F4E79"/>
          <w:sz w:val="24"/>
          <w:szCs w:val="24"/>
          <w:u w:val="single"/>
        </w:rPr>
        <w:pict w14:anchorId="70D2EE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left:0;text-align:left;margin-left:0;margin-top:0;width:50pt;height:50pt;z-index:251656704;visibility:hidden">
            <o:lock v:ext="edit" selection="t"/>
          </v:shape>
        </w:pict>
      </w:r>
      <w:r>
        <w:rPr>
          <w:rFonts w:asciiTheme="minorHAnsi" w:eastAsia="Calibri" w:hAnsiTheme="minorHAnsi" w:cstheme="minorHAnsi"/>
          <w:b/>
          <w:color w:val="1F4E79"/>
          <w:sz w:val="24"/>
          <w:szCs w:val="24"/>
          <w:u w:val="single"/>
        </w:rPr>
        <w:pict w14:anchorId="6712256A">
          <v:shape id="_x0000_s2055" type="#_x0000_t136" style="position:absolute;left:0;text-align:left;margin-left:0;margin-top:0;width:50pt;height:50pt;z-index:251657728;visibility:hidden">
            <o:lock v:ext="edit" selection="t"/>
          </v:shape>
        </w:pict>
      </w:r>
      <w:r>
        <w:rPr>
          <w:rFonts w:asciiTheme="minorHAnsi" w:eastAsia="Calibri" w:hAnsiTheme="minorHAnsi" w:cstheme="minorHAnsi"/>
          <w:b/>
          <w:color w:val="1F4E79"/>
          <w:sz w:val="24"/>
          <w:szCs w:val="24"/>
          <w:u w:val="single"/>
        </w:rPr>
        <w:pict w14:anchorId="26307EF0">
          <v:shape id="_x0000_s2054" type="#_x0000_t136" style="position:absolute;left:0;text-align:left;margin-left:0;margin-top:0;width:50pt;height:50pt;z-index:251658752;visibility:hidden">
            <o:lock v:ext="edit" selection="t"/>
          </v:shape>
        </w:pict>
      </w:r>
      <w:r>
        <w:rPr>
          <w:rFonts w:asciiTheme="minorHAnsi" w:eastAsia="Calibri" w:hAnsiTheme="minorHAnsi" w:cstheme="minorHAnsi"/>
          <w:b/>
          <w:color w:val="1F4E79"/>
          <w:sz w:val="24"/>
          <w:szCs w:val="24"/>
          <w:u w:val="single"/>
        </w:rPr>
        <w:pict w14:anchorId="01B5A996">
          <v:shape id="_x0000_s2053" type="#_x0000_t136" style="position:absolute;left:0;text-align:left;margin-left:0;margin-top:0;width:50pt;height:50pt;z-index:251659776;visibility:hidden">
            <o:lock v:ext="edit" selection="t"/>
          </v:shape>
        </w:pict>
      </w:r>
      <w:r>
        <w:rPr>
          <w:rFonts w:asciiTheme="minorHAnsi" w:eastAsia="Calibri" w:hAnsiTheme="minorHAnsi" w:cstheme="minorHAnsi"/>
          <w:b/>
          <w:color w:val="1F4E79"/>
          <w:sz w:val="24"/>
          <w:szCs w:val="24"/>
          <w:u w:val="single"/>
        </w:rPr>
        <w:pict w14:anchorId="3CFF7AE8">
          <v:shape id="_x0000_s2052" type="#_x0000_t136" style="position:absolute;left:0;text-align:left;margin-left:0;margin-top:0;width:50pt;height:50pt;z-index:251660800;visibility:hidden">
            <o:lock v:ext="edit" selection="t"/>
          </v:shape>
        </w:pict>
      </w:r>
      <w:r>
        <w:rPr>
          <w:rFonts w:asciiTheme="minorHAnsi" w:eastAsia="Calibri" w:hAnsiTheme="minorHAnsi" w:cstheme="minorHAnsi"/>
          <w:b/>
          <w:color w:val="1F4E79"/>
          <w:sz w:val="24"/>
          <w:szCs w:val="24"/>
          <w:u w:val="single"/>
        </w:rPr>
        <w:pict w14:anchorId="11F9A3C7">
          <v:shape id="_x0000_s2051" type="#_x0000_t136" style="position:absolute;left:0;text-align:left;margin-left:0;margin-top:0;width:50pt;height:50pt;z-index:251661824;visibility:hidden">
            <o:lock v:ext="edit" selection="t"/>
          </v:shape>
        </w:pict>
      </w:r>
      <w:bookmarkStart w:id="1" w:name="_heading=h.gjdgxs" w:colFirst="0" w:colLast="0"/>
      <w:bookmarkEnd w:id="1"/>
      <w:r w:rsidR="007422BA" w:rsidRPr="00285D58">
        <w:rPr>
          <w:rFonts w:asciiTheme="minorHAnsi" w:eastAsia="Calibri" w:hAnsiTheme="minorHAnsi" w:cstheme="minorHAnsi"/>
          <w:b/>
          <w:color w:val="1F4E79"/>
          <w:sz w:val="24"/>
          <w:szCs w:val="24"/>
          <w:u w:val="single"/>
        </w:rPr>
        <w:t>ANEXO 01: DEFINICIONES</w:t>
      </w:r>
      <w:sdt>
        <w:sdtPr>
          <w:rPr>
            <w:rFonts w:asciiTheme="minorHAnsi" w:eastAsia="Calibri" w:hAnsiTheme="minorHAnsi" w:cstheme="minorHAnsi"/>
            <w:b/>
            <w:color w:val="1F4E79"/>
            <w:sz w:val="24"/>
            <w:szCs w:val="24"/>
            <w:u w:val="single"/>
          </w:rPr>
          <w:tag w:val="goog_rdk_3"/>
          <w:id w:val="-686980681"/>
          <w:showingPlcHdr/>
        </w:sdtPr>
        <w:sdtContent>
          <w:r w:rsidR="005D3BD8" w:rsidRPr="00285D58">
            <w:rPr>
              <w:rFonts w:asciiTheme="minorHAnsi" w:eastAsia="Calibri" w:hAnsiTheme="minorHAnsi" w:cstheme="minorHAnsi"/>
              <w:b/>
              <w:color w:val="1F4E79"/>
              <w:sz w:val="24"/>
              <w:szCs w:val="24"/>
              <w:u w:val="single"/>
            </w:rPr>
            <w:t xml:space="preserve">     </w:t>
          </w:r>
        </w:sdtContent>
      </w:sdt>
      <w:bookmarkEnd w:id="0"/>
    </w:p>
    <w:p w14:paraId="49AC8C1A" w14:textId="77777777" w:rsidR="007422BA" w:rsidRPr="00285D58" w:rsidRDefault="007422BA" w:rsidP="008D1FFF">
      <w:pPr>
        <w:spacing w:line="276" w:lineRule="auto"/>
        <w:jc w:val="both"/>
        <w:rPr>
          <w:rFonts w:asciiTheme="minorHAnsi" w:eastAsia="Calibri" w:hAnsiTheme="minorHAnsi" w:cstheme="minorHAnsi"/>
        </w:rPr>
      </w:pPr>
    </w:p>
    <w:p w14:paraId="7B879C8E" w14:textId="77777777" w:rsidR="007422BA" w:rsidRPr="00285D58" w:rsidRDefault="007422BA"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En el Contrato de Concesión, incluidos los Anexos, los siguientes términos tendrán los significados que a continuación se indican:</w:t>
      </w:r>
    </w:p>
    <w:p w14:paraId="1C8DEEFF" w14:textId="77777777" w:rsidR="007422BA" w:rsidRPr="00285D58" w:rsidRDefault="007422BA" w:rsidP="008D1FFF">
      <w:pPr>
        <w:spacing w:line="276" w:lineRule="auto"/>
        <w:ind w:firstLine="567"/>
        <w:jc w:val="both"/>
        <w:rPr>
          <w:rFonts w:asciiTheme="minorHAnsi" w:eastAsia="Calibri" w:hAnsiTheme="minorHAnsi" w:cstheme="minorHAnsi"/>
        </w:rPr>
      </w:pPr>
    </w:p>
    <w:p w14:paraId="0C166669" w14:textId="77777777" w:rsidR="007422BA" w:rsidRPr="00285D58" w:rsidRDefault="00000000" w:rsidP="00A3732C">
      <w:pPr>
        <w:widowControl/>
        <w:numPr>
          <w:ilvl w:val="0"/>
          <w:numId w:val="133"/>
        </w:numPr>
        <w:spacing w:line="276" w:lineRule="auto"/>
        <w:ind w:left="360"/>
        <w:jc w:val="both"/>
        <w:rPr>
          <w:rFonts w:asciiTheme="minorHAnsi" w:eastAsia="Calibri" w:hAnsiTheme="minorHAnsi" w:cstheme="minorHAnsi"/>
          <w:b/>
          <w:color w:val="000000"/>
        </w:rPr>
      </w:pPr>
      <w:sdt>
        <w:sdtPr>
          <w:rPr>
            <w:rFonts w:asciiTheme="minorHAnsi" w:hAnsiTheme="minorHAnsi" w:cstheme="minorHAnsi"/>
          </w:rPr>
          <w:tag w:val="goog_rdk_4"/>
          <w:id w:val="-1518302873"/>
        </w:sdtPr>
        <w:sdtContent/>
      </w:sdt>
      <w:sdt>
        <w:sdtPr>
          <w:rPr>
            <w:rFonts w:asciiTheme="minorHAnsi" w:hAnsiTheme="minorHAnsi" w:cstheme="minorHAnsi"/>
          </w:rPr>
          <w:tag w:val="goog_rdk_5"/>
          <w:id w:val="-1762285913"/>
        </w:sdtPr>
        <w:sdtContent/>
      </w:sdt>
      <w:sdt>
        <w:sdtPr>
          <w:rPr>
            <w:rFonts w:asciiTheme="minorHAnsi" w:hAnsiTheme="minorHAnsi" w:cstheme="minorHAnsi"/>
          </w:rPr>
          <w:tag w:val="goog_rdk_6"/>
          <w:id w:val="-921792105"/>
        </w:sdtPr>
        <w:sdtContent/>
      </w:sdt>
      <w:r w:rsidR="007422BA" w:rsidRPr="00285D58">
        <w:rPr>
          <w:rFonts w:asciiTheme="minorHAnsi" w:eastAsia="Calibri" w:hAnsiTheme="minorHAnsi" w:cstheme="minorHAnsi"/>
          <w:b/>
          <w:color w:val="000000"/>
        </w:rPr>
        <w:t>Acreedores Permitidos:</w:t>
      </w:r>
    </w:p>
    <w:p w14:paraId="52637F58" w14:textId="77777777" w:rsidR="007422BA" w:rsidRPr="00285D58" w:rsidRDefault="007422BA" w:rsidP="008D1FFF">
      <w:pPr>
        <w:shd w:val="clear" w:color="auto" w:fill="FFFFFF"/>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El concepto de Acreedor(es) Permitido(s) es sólo aplicable para los supuestos de Endeudamiento Garantizado Permitido. Los Acreedores Permitidos deberán contar con la autorización de PROINVERSIÓN para acreditar tal condición, cumpliendo con presentar previamente el Apéndice </w:t>
      </w:r>
      <w:r w:rsidRPr="00285D58">
        <w:rPr>
          <w:rFonts w:asciiTheme="minorHAnsi" w:eastAsia="Calibri" w:hAnsiTheme="minorHAnsi" w:cstheme="minorHAnsi"/>
        </w:rPr>
        <w:t>1</w:t>
      </w:r>
      <w:r w:rsidRPr="00285D58">
        <w:rPr>
          <w:rFonts w:asciiTheme="minorHAnsi" w:eastAsia="Calibri" w:hAnsiTheme="minorHAnsi" w:cstheme="minorHAnsi"/>
          <w:color w:val="000000"/>
        </w:rPr>
        <w:t xml:space="preserve"> del Anexo </w:t>
      </w:r>
      <w:r w:rsidRPr="00285D58">
        <w:rPr>
          <w:rFonts w:asciiTheme="minorHAnsi" w:eastAsia="Calibri" w:hAnsiTheme="minorHAnsi" w:cstheme="minorHAnsi"/>
        </w:rPr>
        <w:t>7</w:t>
      </w:r>
      <w:r w:rsidRPr="00285D58">
        <w:rPr>
          <w:rFonts w:asciiTheme="minorHAnsi" w:eastAsia="Calibri" w:hAnsiTheme="minorHAnsi" w:cstheme="minorHAnsi"/>
          <w:color w:val="000000"/>
        </w:rPr>
        <w:t xml:space="preserve"> del presente Contrato de Concesión según las disposiciones establecidas en la Cláusula 8.16 y siguientes. Para tales efectos, Acreedor Permitido podrá ser:</w:t>
      </w:r>
    </w:p>
    <w:p w14:paraId="4E192B75" w14:textId="77777777" w:rsidR="007422BA" w:rsidRPr="00285D58" w:rsidRDefault="007422BA" w:rsidP="008D1FFF">
      <w:pPr>
        <w:shd w:val="clear" w:color="auto" w:fill="FFFFFF"/>
        <w:spacing w:line="276" w:lineRule="auto"/>
        <w:ind w:left="1056"/>
        <w:jc w:val="both"/>
        <w:rPr>
          <w:rFonts w:asciiTheme="minorHAnsi" w:eastAsia="Calibri" w:hAnsiTheme="minorHAnsi" w:cstheme="minorHAnsi"/>
        </w:rPr>
      </w:pPr>
    </w:p>
    <w:p w14:paraId="36A51533"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que el Endeudamiento Garantizado Permitido se estructure a través de créditos, mutuos o préstamos de dinero de cualquier tipo, sindicados o no:</w:t>
      </w:r>
    </w:p>
    <w:p w14:paraId="762B1C5E" w14:textId="77777777" w:rsidR="007422BA" w:rsidRPr="00285D58" w:rsidRDefault="007422BA"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6EEC2FFE" w14:textId="77777777" w:rsidR="007422BA" w:rsidRPr="00285D58" w:rsidRDefault="007422BA" w:rsidP="00A3732C">
      <w:pPr>
        <w:widowControl/>
        <w:numPr>
          <w:ilvl w:val="0"/>
          <w:numId w:val="93"/>
        </w:numPr>
        <w:pBdr>
          <w:top w:val="nil"/>
          <w:left w:val="nil"/>
          <w:bottom w:val="nil"/>
          <w:right w:val="nil"/>
          <w:between w:val="nil"/>
        </w:pBdr>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multilateral de crédito de la cual el Estado de la República del Perú sea miembro y cualquier fondo o patrimonio administrado por una agencia multilateral de crédito de la cual el Estado de la República del Perú sea miembro;</w:t>
      </w:r>
    </w:p>
    <w:p w14:paraId="75FA0833"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agencia de crédito a la exportación (Export Credit Agency) o cualquier institución o agencia gubernamental de cualquier país con el cual el Estado de la República del Perú mantenga relaciones diplomáticas y cualquier fondo o patrimonio administrado por una agencia de crédito a la exportación (Export Credit Agency) o cualquier institución o agencia gubernamental de cualquier país con el cual el Estado de la República del Perú mantenga relaciones diplomáticas;</w:t>
      </w:r>
    </w:p>
    <w:p w14:paraId="14198025"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financiera internacional designada como banco extranjero de primera categoría en la circular emitida por el Banco Central de Reserva del Perú vigente a la fecha de calificación del Acreedor Permitido. Cualquier cambio, modificación o sustitución de dicha circular no afecta la calificación previamente otorgada;</w:t>
      </w:r>
    </w:p>
    <w:p w14:paraId="3155C969"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otra institución financiera internacional que tenga una clasificación de riesgo no menor a la clasificación de la deuda soberana peruana correspondiente a moneda extranjera y de largo plazo, asignada por una entidad clasificadora de riesgo internacional que clasifica al Estado de la República del Perú;</w:t>
      </w:r>
    </w:p>
    <w:p w14:paraId="431C7CF0" w14:textId="77777777" w:rsidR="007422BA" w:rsidRPr="00285D58" w:rsidRDefault="007422BA" w:rsidP="00A3732C">
      <w:pPr>
        <w:widowControl/>
        <w:numPr>
          <w:ilvl w:val="0"/>
          <w:numId w:val="93"/>
        </w:numPr>
        <w:shd w:val="clear" w:color="auto" w:fill="FFFFFF"/>
        <w:spacing w:line="276" w:lineRule="auto"/>
        <w:ind w:left="1843" w:hanging="567"/>
        <w:jc w:val="both"/>
        <w:rPr>
          <w:rFonts w:asciiTheme="minorHAnsi" w:eastAsia="Calibri" w:hAnsiTheme="minorHAnsi" w:cstheme="minorHAnsi"/>
          <w:color w:val="000000"/>
        </w:rPr>
      </w:pPr>
      <w:r w:rsidRPr="00285D58">
        <w:rPr>
          <w:rFonts w:asciiTheme="minorHAnsi" w:eastAsia="Calibri" w:hAnsiTheme="minorHAnsi" w:cstheme="minorHAnsi"/>
          <w:color w:val="000000"/>
        </w:rPr>
        <w:t>Cualquier institución financiera nacional con una clasificación de riesgo local no menor de “A”, asignada por una empresa clasificadora de riesgo nacional, debidamente autorizada por la Superintendencia del Mercado de Valores (SMV); </w:t>
      </w:r>
    </w:p>
    <w:p w14:paraId="36F1DB14" w14:textId="77777777" w:rsidR="007422BA" w:rsidRPr="00285D58" w:rsidRDefault="007422BA" w:rsidP="008D1FFF">
      <w:pPr>
        <w:shd w:val="clear" w:color="auto" w:fill="FFFFFF"/>
        <w:spacing w:line="276" w:lineRule="auto"/>
        <w:ind w:left="993"/>
        <w:jc w:val="both"/>
        <w:rPr>
          <w:rFonts w:asciiTheme="minorHAnsi" w:eastAsia="Calibri" w:hAnsiTheme="minorHAnsi" w:cstheme="minorHAnsi"/>
        </w:rPr>
      </w:pPr>
    </w:p>
    <w:p w14:paraId="776E6A93"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 xml:space="preserve">En estos casos, los Acreedores Permitidos podrán estar representados por un agente administrativo o agente de garantías, los cuales deberán ser cualquiera de los sujetos </w:t>
      </w:r>
      <w:r w:rsidRPr="00285D58">
        <w:rPr>
          <w:rFonts w:asciiTheme="minorHAnsi" w:eastAsia="Calibri" w:hAnsiTheme="minorHAnsi" w:cstheme="minorHAnsi"/>
          <w:color w:val="000000"/>
        </w:rPr>
        <w:lastRenderedPageBreak/>
        <w:t>indicados en los Numerales (i) a (v) del Literal a) precedente. Para tales efectos, se considera:</w:t>
      </w:r>
    </w:p>
    <w:p w14:paraId="61FB8136"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p>
    <w:p w14:paraId="0898DF8B"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b/>
          <w:color w:val="000000"/>
        </w:rPr>
        <w:t>“Agente Administrativo”,</w:t>
      </w:r>
      <w:r w:rsidRPr="00285D58">
        <w:rPr>
          <w:rFonts w:asciiTheme="minorHAnsi" w:eastAsia="Calibri" w:hAnsiTheme="minorHAnsi" w:cstheme="minorHAnsi"/>
          <w:color w:val="000000"/>
        </w:rPr>
        <w:t xml:space="preserve"> cuya función será la de administrar y hacer el seguimiento al cumplimiento de las obligaciones y compromisos establecidos en el contrato de Endeudamiento Garantizado Permitido, así como ejercer la representación de los Acreedores Permitidos.</w:t>
      </w:r>
    </w:p>
    <w:p w14:paraId="6BC492B0" w14:textId="77777777" w:rsidR="007422BA" w:rsidRPr="00285D58" w:rsidRDefault="007422BA" w:rsidP="008D1FFF">
      <w:pPr>
        <w:spacing w:line="276" w:lineRule="auto"/>
        <w:ind w:firstLine="567"/>
        <w:jc w:val="both"/>
        <w:rPr>
          <w:rFonts w:asciiTheme="minorHAnsi" w:eastAsia="Calibri" w:hAnsiTheme="minorHAnsi" w:cstheme="minorHAnsi"/>
        </w:rPr>
      </w:pPr>
    </w:p>
    <w:p w14:paraId="6F3C56CE"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b/>
          <w:color w:val="000000"/>
        </w:rPr>
        <w:t>“Agente de Garantías”,</w:t>
      </w:r>
      <w:r w:rsidRPr="00285D58">
        <w:rPr>
          <w:rFonts w:asciiTheme="minorHAnsi" w:eastAsia="Calibri" w:hAnsiTheme="minorHAnsi" w:cstheme="minorHAnsi"/>
          <w:color w:val="000000"/>
        </w:rPr>
        <w:t xml:space="preserve"> a favor de quien se otorgan las garantías en beneficio de los Acreedores Permitidos y cuya función será la de administrar los contratos de garantías que el CONCESIONARIO haya otorgado en respaldo del Endeudamiento Garantizado Permitido, ejecutar las garantías por orden y cuenta de los Acreedores Permitidos y recuperar los montos de la ejecución para ser distribuidos entre los Acreedores Permitidos. </w:t>
      </w:r>
    </w:p>
    <w:p w14:paraId="78DB1A30" w14:textId="77777777" w:rsidR="007422BA" w:rsidRPr="00285D58" w:rsidRDefault="007422BA" w:rsidP="008D1FFF">
      <w:pPr>
        <w:spacing w:line="276" w:lineRule="auto"/>
        <w:ind w:left="851"/>
        <w:jc w:val="both"/>
        <w:rPr>
          <w:rFonts w:asciiTheme="minorHAnsi" w:eastAsia="Calibri" w:hAnsiTheme="minorHAnsi" w:cstheme="minorHAnsi"/>
        </w:rPr>
      </w:pPr>
    </w:p>
    <w:p w14:paraId="08889F4C" w14:textId="7777777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Cabe precisar que la calificación que recae sobre el Agente Administrativo o Agente de Garantías es de naturaleza administrativa para ejercer los derechos en representación de los Acreedores Permitidos.</w:t>
      </w:r>
    </w:p>
    <w:p w14:paraId="7C53E3D3" w14:textId="77777777" w:rsidR="007422BA" w:rsidRPr="00285D58" w:rsidRDefault="007422BA" w:rsidP="008D1FFF">
      <w:pPr>
        <w:spacing w:line="276" w:lineRule="auto"/>
        <w:ind w:left="851"/>
        <w:jc w:val="both"/>
        <w:rPr>
          <w:rFonts w:asciiTheme="minorHAnsi" w:eastAsia="Calibri" w:hAnsiTheme="minorHAnsi" w:cstheme="minorHAnsi"/>
        </w:rPr>
      </w:pPr>
    </w:p>
    <w:p w14:paraId="3957FEDA" w14:textId="275285B7" w:rsidR="007422BA" w:rsidRPr="00285D58" w:rsidRDefault="007422BA" w:rsidP="008D1FFF">
      <w:pPr>
        <w:shd w:val="clear" w:color="auto" w:fill="FFFFFF"/>
        <w:spacing w:line="276" w:lineRule="auto"/>
        <w:ind w:left="851"/>
        <w:jc w:val="both"/>
        <w:rPr>
          <w:rFonts w:asciiTheme="minorHAnsi" w:eastAsia="Calibri" w:hAnsiTheme="minorHAnsi" w:cstheme="minorHAnsi"/>
        </w:rPr>
      </w:pPr>
      <w:r w:rsidRPr="00285D58">
        <w:rPr>
          <w:rFonts w:asciiTheme="minorHAnsi" w:eastAsia="Calibri" w:hAnsiTheme="minorHAnsi" w:cstheme="minorHAnsi"/>
          <w:color w:val="000000"/>
        </w:rPr>
        <w:t xml:space="preserve">En caso que con posterioridad a la autorización de un Endeudamiento Garantizado Permitido de créditos sindicados o bilaterales, un Acreedor Permitido desee ceder su crédito a un tercero, ya sea de manera total o parcial en dicho Endeudamiento Garantizado Permitido, para que dicho tercero sea considerado un Acreedor Permitido, previamente el mismo deberá ser calificado como Acreedor Permitido por el CONCEDENTE, debiendo para tal efecto presentar la declaración contenida en el Apéndice </w:t>
      </w:r>
      <w:r w:rsidRPr="00285D58">
        <w:rPr>
          <w:rFonts w:asciiTheme="minorHAnsi" w:eastAsia="Calibri" w:hAnsiTheme="minorHAnsi" w:cstheme="minorHAnsi"/>
        </w:rPr>
        <w:t>1</w:t>
      </w:r>
      <w:r w:rsidRPr="00285D58">
        <w:rPr>
          <w:rFonts w:asciiTheme="minorHAnsi" w:eastAsia="Calibri" w:hAnsiTheme="minorHAnsi" w:cstheme="minorHAnsi"/>
          <w:color w:val="000000"/>
        </w:rPr>
        <w:t xml:space="preserve"> del Anexo </w:t>
      </w:r>
      <w:r w:rsidRPr="00285D58">
        <w:rPr>
          <w:rFonts w:asciiTheme="minorHAnsi" w:eastAsia="Calibri" w:hAnsiTheme="minorHAnsi" w:cstheme="minorHAnsi"/>
        </w:rPr>
        <w:t>07</w:t>
      </w:r>
      <w:r w:rsidRPr="00285D58">
        <w:rPr>
          <w:rFonts w:asciiTheme="minorHAnsi" w:eastAsia="Calibri" w:hAnsiTheme="minorHAnsi" w:cstheme="minorHAnsi"/>
          <w:color w:val="000000"/>
        </w:rPr>
        <w:t xml:space="preserve"> del presente Contrato de Concesión.</w:t>
      </w:r>
    </w:p>
    <w:p w14:paraId="7FD8CBEE" w14:textId="77777777" w:rsidR="007422BA" w:rsidRPr="00285D58" w:rsidRDefault="007422BA" w:rsidP="008D1FFF">
      <w:pPr>
        <w:shd w:val="clear" w:color="auto" w:fill="FFFFFF"/>
        <w:spacing w:line="276" w:lineRule="auto"/>
        <w:ind w:left="1482"/>
        <w:jc w:val="both"/>
        <w:rPr>
          <w:rFonts w:asciiTheme="minorHAnsi" w:eastAsia="Calibri" w:hAnsiTheme="minorHAnsi" w:cstheme="minorHAnsi"/>
        </w:rPr>
      </w:pPr>
    </w:p>
    <w:p w14:paraId="3B146864"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que el Endeudamiento Garantizado Permitido se estructure a través de emisiones en el mercado de valores o de capitales, tanto nacional como internacional, el Acreedor Permitido será:</w:t>
      </w:r>
    </w:p>
    <w:p w14:paraId="18F592C8" w14:textId="77777777" w:rsidR="007422BA" w:rsidRPr="00285D58" w:rsidRDefault="007422BA" w:rsidP="00A3732C">
      <w:pPr>
        <w:widowControl/>
        <w:numPr>
          <w:ilvl w:val="3"/>
          <w:numId w:val="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Todos los inversionistas institucionales así considerados por las normas legales vigentes (tales como las Administradoras de Fondos de Pensiones – AFP, compañía de seguros, nacional o internacional), que adquieran directa o indirectamente cualquier tipo de valor mobiliario emitido por el CONCESIONARIO, el fiduciario, sociedad titulizadora, sociedad de propósito especial, constituidos en el Perú o en el extranjero que adquieran derechos o activos derivados del Contrato de Concesión;</w:t>
      </w:r>
    </w:p>
    <w:p w14:paraId="200CBCF4" w14:textId="77777777" w:rsidR="007422BA" w:rsidRPr="00285D58" w:rsidRDefault="007422BA" w:rsidP="008D1FFF">
      <w:pPr>
        <w:widowControl/>
        <w:pBdr>
          <w:top w:val="nil"/>
          <w:left w:val="nil"/>
          <w:bottom w:val="nil"/>
          <w:right w:val="nil"/>
          <w:between w:val="nil"/>
        </w:pBdr>
        <w:spacing w:line="276" w:lineRule="auto"/>
        <w:ind w:left="1803"/>
        <w:jc w:val="both"/>
        <w:rPr>
          <w:rFonts w:asciiTheme="minorHAnsi" w:eastAsia="Calibri" w:hAnsiTheme="minorHAnsi" w:cstheme="minorHAnsi"/>
          <w:color w:val="000000"/>
        </w:rPr>
      </w:pPr>
    </w:p>
    <w:p w14:paraId="23B99C42" w14:textId="77777777" w:rsidR="007422BA" w:rsidRPr="00285D58" w:rsidRDefault="007422BA" w:rsidP="00A3732C">
      <w:pPr>
        <w:widowControl/>
        <w:numPr>
          <w:ilvl w:val="3"/>
          <w:numId w:val="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 patrimonio fideicometido, fondos de inversión o sociedad titulizadora o sociedad de propósito especial constituida en el Perú o en el extranjero que represente o adquiera directa o indirectamente derechos o activos derivados del Contrato de Concesión.</w:t>
      </w:r>
    </w:p>
    <w:p w14:paraId="22AC4B9F" w14:textId="77777777" w:rsidR="007422BA" w:rsidRPr="00285D58" w:rsidRDefault="007422BA" w:rsidP="008D1FFF">
      <w:pPr>
        <w:pBdr>
          <w:top w:val="nil"/>
          <w:left w:val="nil"/>
          <w:bottom w:val="nil"/>
          <w:right w:val="nil"/>
          <w:between w:val="nil"/>
        </w:pBdr>
        <w:spacing w:before="83" w:line="276" w:lineRule="auto"/>
        <w:ind w:right="139"/>
        <w:jc w:val="both"/>
        <w:rPr>
          <w:rFonts w:asciiTheme="minorHAnsi" w:eastAsia="Calibri" w:hAnsiTheme="minorHAnsi" w:cstheme="minorHAnsi"/>
          <w:color w:val="000000"/>
        </w:rPr>
      </w:pPr>
    </w:p>
    <w:p w14:paraId="46DDDCB7" w14:textId="77777777" w:rsidR="007422BA" w:rsidRPr="00285D58" w:rsidRDefault="007422BA" w:rsidP="00A3732C">
      <w:pPr>
        <w:widowControl/>
        <w:numPr>
          <w:ilvl w:val="0"/>
          <w:numId w:val="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Régimen de Inelegibilidad:</w:t>
      </w:r>
    </w:p>
    <w:p w14:paraId="48693D09" w14:textId="77777777" w:rsidR="007422BA" w:rsidRPr="00285D58" w:rsidRDefault="007422BA" w:rsidP="008D1FFF">
      <w:pPr>
        <w:shd w:val="clear" w:color="auto" w:fill="FFFFFF"/>
        <w:spacing w:line="276" w:lineRule="auto"/>
        <w:ind w:firstLine="567"/>
        <w:jc w:val="both"/>
        <w:rPr>
          <w:rFonts w:asciiTheme="minorHAnsi" w:eastAsia="Calibri" w:hAnsiTheme="minorHAnsi" w:cstheme="minorHAnsi"/>
        </w:rPr>
      </w:pPr>
    </w:p>
    <w:p w14:paraId="085752F9"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El (los) Acreedor(es) Permitido(s) no deberá(n) ser en ningún caso: (i) cualquier Empresa Vinculada o entidad, fondo o, individuo, con vinculación económica con el CONCESIONARIO, de conformidad con lo indicado en la Resolución SMV Nro. 019-2015-SMV/01, o norma que la sustituya; (ii) cualquier entidad, fondo o, individuo, declarado(s) inelegible(s) por el Banco Interamericano de Desarrollo o en la lista de partes sancionadas por el Banco Mundial u otro organismo multilateral con el que el Estado haya celebrado contratos de crédito a la fecha de presentación del Anexo</w:t>
      </w:r>
      <w:r w:rsidRPr="00285D58">
        <w:rPr>
          <w:rFonts w:asciiTheme="minorHAnsi" w:eastAsia="Calibri" w:hAnsiTheme="minorHAnsi" w:cstheme="minorHAnsi"/>
        </w:rPr>
        <w:t xml:space="preserve"> 0</w:t>
      </w:r>
      <w:r w:rsidRPr="00285D58">
        <w:rPr>
          <w:rFonts w:asciiTheme="minorHAnsi" w:eastAsia="Calibri" w:hAnsiTheme="minorHAnsi" w:cstheme="minorHAnsi"/>
          <w:color w:val="000000"/>
        </w:rPr>
        <w:t>7 o posteriormente; (iii) cualquier individuo condenado por la autoridad competente mediante una sentencia final e inapelable, o entidad que haya sido sancionada con responsabilidad penal o administrativa mediante una sentencia final e inapelable, por la comisión de delitos de corrupción (vinculados a licitaciones, obras públicas, Asociaciones Público Privadas y Proyectos en Activos), lavado de activos o terrorismo en agravio del Estado peruano, cometidos en el Perú o en el extranjero; y, (iv) cualquier entidad, o fondo que a través de sus apoderados, representantes legales, directores o gerentes (o cargos equivalentes), funcionarios o empleados, actuando en el ejercicio de sus funciones hubiesen reconocido ante autoridad competente la comisión de delitos de corrupción (vinculados a licitaciones, obras públicas, Asociaciones Público Privadas y Proyectos en Activos), lavado de activos o terrorismo en agravio del Estado peruano, cometidos en el Perú o en el extranjero, siempre que dicho reconocimiento hubiese sido informado oficialmente por una autoridad competente al Estado peruano o al CONCEDENTE.</w:t>
      </w:r>
    </w:p>
    <w:p w14:paraId="1916BFA0"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p>
    <w:p w14:paraId="18C21433"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las operaciones de financiamiento indicadas en los literales a) y b) precedentes, corresponde a PROINVERSIÓN verificar que el Acreedor Permitido no se encuentre incurso en el primer párrafo del literal c) cuando se evalúa la calificación de dicho Acreedor Permitido como parte del Endeudamiento Garantizado Permitido.</w:t>
      </w:r>
    </w:p>
    <w:p w14:paraId="688DAF68" w14:textId="77777777" w:rsidR="007422BA" w:rsidRPr="00285D58" w:rsidRDefault="007422BA" w:rsidP="008D1FFF">
      <w:pPr>
        <w:pBdr>
          <w:top w:val="nil"/>
          <w:left w:val="nil"/>
          <w:bottom w:val="nil"/>
          <w:right w:val="nil"/>
          <w:between w:val="nil"/>
        </w:pBdr>
        <w:spacing w:before="5" w:line="276" w:lineRule="auto"/>
        <w:jc w:val="both"/>
        <w:rPr>
          <w:rFonts w:asciiTheme="minorHAnsi" w:eastAsia="Calibri" w:hAnsiTheme="minorHAnsi" w:cstheme="minorHAnsi"/>
          <w:color w:val="000000"/>
        </w:rPr>
      </w:pPr>
    </w:p>
    <w:p w14:paraId="1E8F228B" w14:textId="77777777" w:rsidR="007422BA" w:rsidRPr="00285D58" w:rsidRDefault="007422BA" w:rsidP="008D1FFF">
      <w:pPr>
        <w:pBdr>
          <w:top w:val="nil"/>
          <w:left w:val="nil"/>
          <w:bottom w:val="nil"/>
          <w:right w:val="nil"/>
          <w:between w:val="nil"/>
        </w:pBdr>
        <w:spacing w:line="276" w:lineRule="auto"/>
        <w:ind w:left="1274" w:right="14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las operaciones de financiamiento indicadas en el literal a) precedente, si uno o más Acreedores Permitidos, por información que sea de conocimiento notorio o público, se vea comprendido en cualquiera de los supuestos del primer párrafo del presente literal, y esto </w:t>
      </w:r>
      <w:r w:rsidRPr="00285D58">
        <w:rPr>
          <w:rFonts w:asciiTheme="minorHAnsi" w:eastAsia="Calibri" w:hAnsiTheme="minorHAnsi" w:cstheme="minorHAnsi"/>
        </w:rPr>
        <w:t>afectará</w:t>
      </w:r>
      <w:r w:rsidRPr="00285D58">
        <w:rPr>
          <w:rFonts w:asciiTheme="minorHAnsi" w:eastAsia="Calibri" w:hAnsiTheme="minorHAnsi" w:cstheme="minorHAnsi"/>
          <w:color w:val="000000"/>
        </w:rPr>
        <w:t xml:space="preserve"> la disponibilidad de recursos financieros asociados a dicho Acreedor Permitido de tal manera de que el CONCESIONARIO no pueda cumplir con la ejecución del proyecto, el CONCESIONARIO deberá, dentro de los ciento veinte (120) Días Calendario posteriores de haber sido comunicado por el CONCEDENTE sobre dicha situación: (i) entregar constancia al CONCEDENTE de la sustitución del Acreedor Permitido por otro que cumpla con los requisitos establecidos conforme con lo dispuesto en el Contrato de Concesión; (ii) acreditar al CONCEDENTE que cuenta con los recursos necesarios para la culminación de la ejecución del proyecto, en cuyo caso, el CONCESIONARIO podrá presentar un acuerdo de su Junta General de accionistas comprometiéndose a realizar los aumentos de capital que correspondan para sustituir el cronograma vigente de </w:t>
      </w:r>
      <w:r w:rsidRPr="00285D58">
        <w:rPr>
          <w:rFonts w:asciiTheme="minorHAnsi" w:eastAsia="Calibri" w:hAnsiTheme="minorHAnsi" w:cstheme="minorHAnsi"/>
          <w:color w:val="000000"/>
        </w:rPr>
        <w:lastRenderedPageBreak/>
        <w:t xml:space="preserve">desembolsos del acreedor que ha perdido la condición de Acreedor Permitido; (iii) presentar al CONCEDENTE un nuevo contrato de préstamo suscrito con un nuevo Acreedor Permitido, un tercero o una entidad vinculada al CONCESIONARIO; (iv) presentar al CONCEDENTE documentos que evidencien la ampliación de alguno de los contratos de financiamiento vigentes que permita la culminación de la ejecución del proyecto, de ser el caso; o en todo caso, (v) acreditar al CONCEDENTE que cuenta con los recursos necesarios mediante la combinación de dos (2) o más de las acreditaciones o métodos señalados anteriormente; caso contrario, transcurridos los ciento veinte (120) Días Calendario antes indicados, será de aplicación la penalidad prevista en el </w:t>
      </w:r>
      <w:sdt>
        <w:sdtPr>
          <w:rPr>
            <w:rFonts w:asciiTheme="minorHAnsi" w:hAnsiTheme="minorHAnsi" w:cstheme="minorHAnsi"/>
          </w:rPr>
          <w:tag w:val="goog_rdk_7"/>
          <w:id w:val="-1458253953"/>
        </w:sdtPr>
        <w:sdtContent/>
      </w:sdt>
      <w:sdt>
        <w:sdtPr>
          <w:rPr>
            <w:rFonts w:asciiTheme="minorHAnsi" w:hAnsiTheme="minorHAnsi" w:cstheme="minorHAnsi"/>
          </w:rPr>
          <w:tag w:val="goog_rdk_8"/>
          <w:id w:val="-1299916540"/>
        </w:sdtPr>
        <w:sdtContent/>
      </w:sdt>
      <w:sdt>
        <w:sdtPr>
          <w:rPr>
            <w:rFonts w:asciiTheme="minorHAnsi" w:hAnsiTheme="minorHAnsi" w:cstheme="minorHAnsi"/>
          </w:rPr>
          <w:tag w:val="goog_rdk_9"/>
          <w:id w:val="-623469394"/>
        </w:sdtPr>
        <w:sdtContent/>
      </w:sdt>
      <w:r w:rsidRPr="00285D58">
        <w:rPr>
          <w:rFonts w:asciiTheme="minorHAnsi" w:eastAsia="Calibri" w:hAnsiTheme="minorHAnsi" w:cstheme="minorHAnsi"/>
          <w:color w:val="000000"/>
        </w:rPr>
        <w:t>Anexo 1</w:t>
      </w:r>
      <w:r w:rsidRPr="00285D58">
        <w:rPr>
          <w:rFonts w:asciiTheme="minorHAnsi" w:eastAsia="Calibri" w:hAnsiTheme="minorHAnsi" w:cstheme="minorHAnsi"/>
        </w:rPr>
        <w:t>2</w:t>
      </w:r>
      <w:r w:rsidRPr="00285D58">
        <w:rPr>
          <w:rFonts w:asciiTheme="minorHAnsi" w:eastAsia="Calibri" w:hAnsiTheme="minorHAnsi" w:cstheme="minorHAnsi"/>
          <w:color w:val="000000"/>
        </w:rPr>
        <w:t xml:space="preserve"> del Contrato de Concesión.</w:t>
      </w:r>
    </w:p>
    <w:p w14:paraId="742CE856"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t> </w:t>
      </w:r>
    </w:p>
    <w:p w14:paraId="5605AC90" w14:textId="13172DB8" w:rsidR="00315D94" w:rsidRPr="00285D58" w:rsidRDefault="00315D94" w:rsidP="00A3732C">
      <w:pPr>
        <w:widowControl/>
        <w:numPr>
          <w:ilvl w:val="0"/>
          <w:numId w:val="133"/>
        </w:numPr>
        <w:spacing w:line="276" w:lineRule="auto"/>
        <w:ind w:left="360"/>
        <w:jc w:val="both"/>
        <w:rPr>
          <w:rFonts w:asciiTheme="minorHAnsi" w:eastAsia="Calibri" w:hAnsiTheme="minorHAnsi" w:cstheme="minorHAnsi"/>
          <w:b/>
          <w:bCs/>
          <w:color w:val="000000"/>
        </w:rPr>
      </w:pPr>
      <w:r w:rsidRPr="00285D58">
        <w:rPr>
          <w:rFonts w:asciiTheme="minorHAnsi" w:eastAsia="Calibri" w:hAnsiTheme="minorHAnsi" w:cstheme="minorHAnsi"/>
          <w:b/>
          <w:bCs/>
          <w:color w:val="000000"/>
        </w:rPr>
        <w:t>Acta de Culminación del Periodo P</w:t>
      </w:r>
      <w:r w:rsidR="002C1ECF" w:rsidRPr="00285D58">
        <w:rPr>
          <w:rFonts w:asciiTheme="minorHAnsi" w:eastAsia="Calibri" w:hAnsiTheme="minorHAnsi" w:cstheme="minorHAnsi"/>
          <w:b/>
          <w:bCs/>
          <w:color w:val="000000"/>
        </w:rPr>
        <w:t>re</w:t>
      </w:r>
      <w:r w:rsidRPr="00285D58">
        <w:rPr>
          <w:rFonts w:asciiTheme="minorHAnsi" w:eastAsia="Calibri" w:hAnsiTheme="minorHAnsi" w:cstheme="minorHAnsi"/>
          <w:b/>
          <w:bCs/>
          <w:color w:val="000000"/>
        </w:rPr>
        <w:t xml:space="preserve">-Operativo </w:t>
      </w:r>
    </w:p>
    <w:p w14:paraId="1D5AB755" w14:textId="4897FE7E" w:rsidR="00315D94" w:rsidRPr="00285D58" w:rsidRDefault="002C1ECF"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documento suscrito por las Partes que marca el fin del Periodo Pre-Operativo, en el cual se certifica que los requisitos establecidos han sido cumplidos para dar inicio a la Operación. Para su suscripción, esta Acta debe contener el Certificado de Puesta en Marcha y las Actas de Recepción de Obras y Equipamiento Electromecánico de ambos componentes.</w:t>
      </w:r>
    </w:p>
    <w:p w14:paraId="36195052" w14:textId="77777777" w:rsidR="002C1ECF" w:rsidRPr="00285D58" w:rsidRDefault="002C1ECF" w:rsidP="008D1FFF">
      <w:pPr>
        <w:widowControl/>
        <w:spacing w:line="276" w:lineRule="auto"/>
        <w:ind w:left="360"/>
        <w:jc w:val="both"/>
        <w:rPr>
          <w:rFonts w:asciiTheme="minorHAnsi" w:eastAsia="Calibri" w:hAnsiTheme="minorHAnsi" w:cstheme="minorHAnsi"/>
          <w:color w:val="000000"/>
        </w:rPr>
      </w:pPr>
    </w:p>
    <w:p w14:paraId="79DA3422" w14:textId="78AB130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Entrega de Áreas de la Concesión</w:t>
      </w:r>
    </w:p>
    <w:p w14:paraId="430EF729" w14:textId="77777777" w:rsidR="007422BA" w:rsidRPr="00285D58" w:rsidRDefault="007422BA" w:rsidP="008D1FFF">
      <w:pPr>
        <w:pBdr>
          <w:top w:val="nil"/>
          <w:left w:val="nil"/>
          <w:bottom w:val="nil"/>
          <w:right w:val="nil"/>
          <w:between w:val="nil"/>
        </w:pBd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documento suscrito por las Partes del Contrato de Concesión, a través del cual se deja constancia que las Áreas de la Concesión entregadas por el CONCEDENTE al CONCESIONARIO cuentan con el Saneamiento Físico Legal respectivo, conforme a lo previsto en el presente Contrato de Concesión.</w:t>
      </w:r>
    </w:p>
    <w:p w14:paraId="302CAEA5" w14:textId="77777777" w:rsidR="007422BA" w:rsidRPr="00285D58" w:rsidRDefault="007422BA" w:rsidP="008D1FFF">
      <w:pPr>
        <w:pBdr>
          <w:top w:val="nil"/>
          <w:left w:val="nil"/>
          <w:bottom w:val="nil"/>
          <w:right w:val="nil"/>
          <w:between w:val="nil"/>
        </w:pBdr>
        <w:spacing w:line="276" w:lineRule="auto"/>
        <w:ind w:left="720"/>
        <w:jc w:val="both"/>
        <w:rPr>
          <w:rFonts w:asciiTheme="minorHAnsi" w:eastAsia="Calibri" w:hAnsiTheme="minorHAnsi" w:cstheme="minorHAnsi"/>
        </w:rPr>
      </w:pPr>
    </w:p>
    <w:p w14:paraId="3D34C61C" w14:textId="77777777" w:rsidR="007422BA" w:rsidRPr="00285D58" w:rsidRDefault="007422BA" w:rsidP="00A3732C">
      <w:pPr>
        <w:widowControl/>
        <w:numPr>
          <w:ilvl w:val="0"/>
          <w:numId w:val="133"/>
        </w:numPr>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b/>
          <w:color w:val="000000"/>
        </w:rPr>
        <w:t xml:space="preserve">Acta de Habilitación para Puesta en Marcha: </w:t>
      </w:r>
    </w:p>
    <w:p w14:paraId="2CA0F5AB" w14:textId="2A803737" w:rsidR="007422BA" w:rsidRPr="00285D58" w:rsidRDefault="007422BA" w:rsidP="008D1FFF">
      <w:pPr>
        <w:widowControl/>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del Contrato de Concesión, a través del cual se deja constancia que el CONCESIONARIO ha culminado las Obras e implementación del Equipamiento Electromecánico previstos en el EDI respectivo, dejándose constancia de la conformidad del CONCEDENTE sobre los mismos. </w:t>
      </w:r>
    </w:p>
    <w:p w14:paraId="35FD5E43" w14:textId="77777777" w:rsidR="007422BA" w:rsidRPr="00285D58" w:rsidRDefault="007422BA" w:rsidP="008D1FFF">
      <w:pPr>
        <w:widowControl/>
        <w:spacing w:line="276" w:lineRule="auto"/>
        <w:ind w:left="426"/>
        <w:jc w:val="both"/>
        <w:rPr>
          <w:rFonts w:asciiTheme="minorHAnsi" w:eastAsia="Calibri" w:hAnsiTheme="minorHAnsi" w:cstheme="minorHAnsi"/>
          <w:color w:val="000000"/>
        </w:rPr>
      </w:pPr>
    </w:p>
    <w:p w14:paraId="5416129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Construcción de Obras y Equipamiento Electromecánico</w:t>
      </w:r>
    </w:p>
    <w:p w14:paraId="6DD349E5" w14:textId="77777777"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mediante el cual se deja constancia del inicio de la construcción de las Obras y Equipamiento Electromecánico del respectivo Estudio Definitivo de Ingeniería, luego de acreditados los requisitos correspondientes, conforme al plazo y condiciones previstos en la Cláusula </w:t>
      </w:r>
      <w:r w:rsidRPr="00285D58">
        <w:rPr>
          <w:rFonts w:asciiTheme="minorHAnsi" w:eastAsia="Calibri" w:hAnsiTheme="minorHAnsi" w:cstheme="minorHAnsi"/>
        </w:rPr>
        <w:t>6.27 y siguientes</w:t>
      </w:r>
      <w:r w:rsidRPr="00285D58">
        <w:rPr>
          <w:rFonts w:asciiTheme="minorHAnsi" w:eastAsia="Calibri" w:hAnsiTheme="minorHAnsi" w:cstheme="minorHAnsi"/>
          <w:color w:val="000000"/>
        </w:rPr>
        <w:t>.</w:t>
      </w:r>
    </w:p>
    <w:p w14:paraId="5DC6D4BE"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2FDC754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Puesta en Marcha</w:t>
      </w:r>
    </w:p>
    <w:p w14:paraId="378C3974" w14:textId="60544010"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mediante el cual se deja constancia del inicio de la Puesta en Marcha por el respectivo Componente, luego de cumplidas las condiciones previstas en la </w:t>
      </w:r>
      <w:sdt>
        <w:sdtPr>
          <w:rPr>
            <w:rFonts w:asciiTheme="minorHAnsi" w:hAnsiTheme="minorHAnsi" w:cstheme="minorHAnsi"/>
          </w:rPr>
          <w:tag w:val="goog_rdk_10"/>
          <w:id w:val="611020053"/>
        </w:sdtPr>
        <w:sdtContent/>
      </w:sdt>
      <w:sdt>
        <w:sdtPr>
          <w:rPr>
            <w:rFonts w:asciiTheme="minorHAnsi" w:hAnsiTheme="minorHAnsi" w:cstheme="minorHAnsi"/>
          </w:rPr>
          <w:tag w:val="goog_rdk_11"/>
          <w:id w:val="630517935"/>
        </w:sdtPr>
        <w:sdtContent/>
      </w:sdt>
      <w:r w:rsidRPr="00285D58">
        <w:rPr>
          <w:rFonts w:asciiTheme="minorHAnsi" w:eastAsia="Calibri" w:hAnsiTheme="minorHAnsi" w:cstheme="minorHAnsi"/>
          <w:color w:val="000000"/>
        </w:rPr>
        <w:t>Cláusula 6.</w:t>
      </w:r>
      <w:r w:rsidR="00034EFE" w:rsidRPr="00285D58">
        <w:rPr>
          <w:rFonts w:asciiTheme="minorHAnsi" w:eastAsia="Calibri" w:hAnsiTheme="minorHAnsi" w:cstheme="minorHAnsi"/>
          <w:color w:val="000000"/>
        </w:rPr>
        <w:t>41</w:t>
      </w:r>
      <w:r w:rsidRPr="00285D58">
        <w:rPr>
          <w:rFonts w:asciiTheme="minorHAnsi" w:eastAsia="Calibri" w:hAnsiTheme="minorHAnsi" w:cstheme="minorHAnsi"/>
          <w:color w:val="000000"/>
        </w:rPr>
        <w:t xml:space="preserve"> y siguientes.</w:t>
      </w:r>
    </w:p>
    <w:p w14:paraId="1984D901"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1885C83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Inicio de la Operación</w:t>
      </w:r>
    </w:p>
    <w:p w14:paraId="5F5FB3EF" w14:textId="77777777" w:rsidR="007422BA" w:rsidRPr="00285D58" w:rsidRDefault="007422BA" w:rsidP="008D1FFF">
      <w:pPr>
        <w:pBdr>
          <w:top w:val="nil"/>
          <w:left w:val="nil"/>
          <w:bottom w:val="nil"/>
          <w:right w:val="nil"/>
          <w:between w:val="nil"/>
        </w:pBdr>
        <w:spacing w:line="276" w:lineRule="auto"/>
        <w:ind w:left="425" w:right="14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documento suscrito por las Partes, mediante el cual se deja constancia del inicio de la Operación del respectivo Componente, siendo requisito previo haber obtenido el Certificado de Puesta en Marcha y el </w:t>
      </w:r>
      <w:r w:rsidRPr="00285D58">
        <w:rPr>
          <w:rFonts w:asciiTheme="minorHAnsi" w:eastAsia="Calibri" w:hAnsiTheme="minorHAnsi" w:cstheme="minorHAnsi"/>
        </w:rPr>
        <w:t xml:space="preserve">Acta de Recepción de Obras y Equipamiento </w:t>
      </w:r>
      <w:r w:rsidRPr="00285D58">
        <w:rPr>
          <w:rFonts w:asciiTheme="minorHAnsi" w:eastAsia="Calibri" w:hAnsiTheme="minorHAnsi" w:cstheme="minorHAnsi"/>
        </w:rPr>
        <w:lastRenderedPageBreak/>
        <w:t>Electromecánico</w:t>
      </w:r>
      <w:r w:rsidRPr="00285D58">
        <w:rPr>
          <w:rFonts w:asciiTheme="minorHAnsi" w:eastAsia="Calibri" w:hAnsiTheme="minorHAnsi" w:cstheme="minorHAnsi"/>
          <w:color w:val="000000"/>
        </w:rPr>
        <w:t>, conforme a lo establecido en el Capítulo VII.</w:t>
      </w:r>
    </w:p>
    <w:p w14:paraId="7586C79D" w14:textId="77777777" w:rsidR="007422BA" w:rsidRPr="00285D58" w:rsidRDefault="007422BA" w:rsidP="008D1FFF">
      <w:pPr>
        <w:spacing w:line="276" w:lineRule="auto"/>
        <w:ind w:firstLine="567"/>
        <w:jc w:val="both"/>
        <w:rPr>
          <w:rFonts w:asciiTheme="minorHAnsi" w:eastAsia="Calibri" w:hAnsiTheme="minorHAnsi" w:cstheme="minorHAnsi"/>
        </w:rPr>
      </w:pPr>
    </w:p>
    <w:p w14:paraId="4EA4D289" w14:textId="4C61C67A"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Subsanación de Observaciones:</w:t>
      </w:r>
    </w:p>
    <w:p w14:paraId="242DBF64" w14:textId="232AE286" w:rsidR="007422BA" w:rsidRPr="00285D58" w:rsidRDefault="00000000" w:rsidP="008D1FFF">
      <w:pPr>
        <w:spacing w:line="276" w:lineRule="auto"/>
        <w:ind w:left="425" w:right="49"/>
        <w:jc w:val="both"/>
        <w:rPr>
          <w:rFonts w:asciiTheme="minorHAnsi" w:eastAsia="Calibri" w:hAnsiTheme="minorHAnsi" w:cstheme="minorHAnsi"/>
          <w:color w:val="000000"/>
        </w:rPr>
      </w:pPr>
      <w:sdt>
        <w:sdtPr>
          <w:rPr>
            <w:rFonts w:asciiTheme="minorHAnsi" w:hAnsiTheme="minorHAnsi" w:cstheme="minorHAnsi"/>
          </w:rPr>
          <w:tag w:val="goog_rdk_12"/>
          <w:id w:val="-391580870"/>
        </w:sdtPr>
        <w:sdtContent/>
      </w:sdt>
      <w:sdt>
        <w:sdtPr>
          <w:rPr>
            <w:rFonts w:asciiTheme="minorHAnsi" w:hAnsiTheme="minorHAnsi" w:cstheme="minorHAnsi"/>
          </w:rPr>
          <w:tag w:val="goog_rdk_13"/>
          <w:id w:val="1554738919"/>
        </w:sdtPr>
        <w:sdtContent/>
      </w:sdt>
      <w:sdt>
        <w:sdtPr>
          <w:rPr>
            <w:rFonts w:asciiTheme="minorHAnsi" w:hAnsiTheme="minorHAnsi" w:cstheme="minorHAnsi"/>
          </w:rPr>
          <w:tag w:val="goog_rdk_14"/>
          <w:id w:val="-459113751"/>
        </w:sdtPr>
        <w:sdtContent/>
      </w:sdt>
      <w:r w:rsidR="007422BA" w:rsidRPr="00285D58">
        <w:rPr>
          <w:rFonts w:asciiTheme="minorHAnsi" w:eastAsia="Calibri" w:hAnsiTheme="minorHAnsi" w:cstheme="minorHAnsi"/>
          <w:color w:val="000000"/>
        </w:rPr>
        <w:t xml:space="preserve">Es el documento mediante el cual se deja constancia que el CONCESIONARIO acreditó la subsanación de las observaciones </w:t>
      </w:r>
      <w:sdt>
        <w:sdtPr>
          <w:rPr>
            <w:rFonts w:asciiTheme="minorHAnsi" w:hAnsiTheme="minorHAnsi" w:cstheme="minorHAnsi"/>
          </w:rPr>
          <w:tag w:val="goog_rdk_15"/>
          <w:id w:val="-1480532597"/>
        </w:sdtPr>
        <w:sdtContent/>
      </w:sdt>
      <w:sdt>
        <w:sdtPr>
          <w:rPr>
            <w:rFonts w:asciiTheme="minorHAnsi" w:hAnsiTheme="minorHAnsi" w:cstheme="minorHAnsi"/>
          </w:rPr>
          <w:tag w:val="goog_rdk_16"/>
          <w:id w:val="-2097926609"/>
        </w:sdtPr>
        <w:sdtContent/>
      </w:sdt>
      <w:r w:rsidR="007422BA" w:rsidRPr="00285D58">
        <w:rPr>
          <w:rFonts w:asciiTheme="minorHAnsi" w:eastAsia="Calibri" w:hAnsiTheme="minorHAnsi" w:cstheme="minorHAnsi"/>
          <w:color w:val="000000"/>
        </w:rPr>
        <w:t xml:space="preserve">identificadas por el Supervisor y/o el CONCEDENTE respecto de las Obras y Equipamiento Electromecánico. Una vez suscrita se anexará al Acta de Habilitación para Puesta en Marcha a fin de dejar constancia que las Obras y Equipamiento Electromecánico se encuentran aptos para el inicio de la Puesta en Marcha conforme lo establece la Cláusula </w:t>
      </w:r>
      <w:r w:rsidR="007422BA" w:rsidRPr="00285D58">
        <w:rPr>
          <w:rFonts w:asciiTheme="minorHAnsi" w:eastAsia="Calibri" w:hAnsiTheme="minorHAnsi" w:cstheme="minorHAnsi"/>
        </w:rPr>
        <w:t>6.43</w:t>
      </w:r>
      <w:r w:rsidR="007422BA" w:rsidRPr="00285D58">
        <w:rPr>
          <w:rFonts w:asciiTheme="minorHAnsi" w:eastAsia="Calibri" w:hAnsiTheme="minorHAnsi" w:cstheme="minorHAnsi"/>
          <w:color w:val="000000"/>
        </w:rPr>
        <w:t>.</w:t>
      </w:r>
    </w:p>
    <w:p w14:paraId="0A142F35" w14:textId="77777777" w:rsidR="007422BA" w:rsidRPr="00285D58" w:rsidRDefault="007422BA" w:rsidP="008D1FFF">
      <w:pPr>
        <w:spacing w:line="276" w:lineRule="auto"/>
        <w:ind w:firstLine="567"/>
        <w:jc w:val="both"/>
        <w:rPr>
          <w:rFonts w:asciiTheme="minorHAnsi" w:eastAsia="Calibri" w:hAnsiTheme="minorHAnsi" w:cstheme="minorHAnsi"/>
        </w:rPr>
      </w:pPr>
    </w:p>
    <w:p w14:paraId="4363A97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Recepción de Obras y Equipamiento Electromecánico:</w:t>
      </w:r>
    </w:p>
    <w:p w14:paraId="616A2B2D" w14:textId="77777777" w:rsidR="007422BA" w:rsidRPr="00285D58" w:rsidRDefault="007422BA" w:rsidP="008D1FFF">
      <w:pPr>
        <w:spacing w:line="276" w:lineRule="auto"/>
        <w:ind w:left="425" w:right="49"/>
        <w:jc w:val="both"/>
        <w:rPr>
          <w:rFonts w:asciiTheme="minorHAnsi" w:eastAsia="Calibri" w:hAnsiTheme="minorHAnsi" w:cstheme="minorHAnsi"/>
        </w:rPr>
      </w:pPr>
      <w:r w:rsidRPr="00285D58">
        <w:rPr>
          <w:rFonts w:asciiTheme="minorHAnsi" w:eastAsia="Calibri" w:hAnsiTheme="minorHAnsi" w:cstheme="minorHAnsi"/>
          <w:color w:val="000000"/>
        </w:rPr>
        <w:t>Es el documento suscrito por las Partes del Contrato de Concesión, mediante el cual se deja constancia que el CONCESIONARIO ha culminado la ejecución de las Obras e implementación del Equipamiento Electromecánico, de conformidad con el Estudio Definitivo de Ingeniería correspondiente.</w:t>
      </w:r>
    </w:p>
    <w:p w14:paraId="41074679" w14:textId="77777777" w:rsidR="007422BA" w:rsidRPr="00285D58" w:rsidRDefault="007422BA" w:rsidP="008D1FFF">
      <w:pPr>
        <w:spacing w:line="276" w:lineRule="auto"/>
        <w:ind w:firstLine="567"/>
        <w:jc w:val="both"/>
        <w:rPr>
          <w:rFonts w:asciiTheme="minorHAnsi" w:eastAsia="Calibri" w:hAnsiTheme="minorHAnsi" w:cstheme="minorHAnsi"/>
        </w:rPr>
      </w:pPr>
    </w:p>
    <w:p w14:paraId="4F2763B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Acta de Reversión de los Bienes:</w:t>
      </w:r>
    </w:p>
    <w:p w14:paraId="3529B342" w14:textId="77777777" w:rsidR="007422BA" w:rsidRPr="00285D58" w:rsidRDefault="007422BA" w:rsidP="008D1FFF">
      <w:pPr>
        <w:spacing w:line="276" w:lineRule="auto"/>
        <w:ind w:left="425" w:right="49"/>
        <w:jc w:val="both"/>
        <w:rPr>
          <w:rFonts w:asciiTheme="minorHAnsi" w:eastAsia="Calibri" w:hAnsiTheme="minorHAnsi" w:cstheme="minorHAnsi"/>
        </w:rPr>
      </w:pPr>
      <w:r w:rsidRPr="00285D58">
        <w:rPr>
          <w:rFonts w:asciiTheme="minorHAnsi" w:eastAsia="Calibri" w:hAnsiTheme="minorHAnsi" w:cstheme="minorHAnsi"/>
          <w:color w:val="000000"/>
        </w:rPr>
        <w:t>Es el documento suscrito por las Partes del Contrato de Concesión, mediante el cual se deja constancia que el CONCESIONARIO entrega al CONCEDENTE los Bienes de la Concesión y/o Bienes Afectados de la Concesión, conforme a lo previsto en el Contrato de Concesión.</w:t>
      </w:r>
    </w:p>
    <w:p w14:paraId="1BCEB8E8" w14:textId="77777777" w:rsidR="007422BA" w:rsidRPr="00285D58" w:rsidRDefault="007422BA" w:rsidP="008D1FFF">
      <w:pPr>
        <w:spacing w:line="276" w:lineRule="auto"/>
        <w:ind w:firstLine="567"/>
        <w:jc w:val="both"/>
        <w:rPr>
          <w:rFonts w:asciiTheme="minorHAnsi" w:eastAsia="Calibri" w:hAnsiTheme="minorHAnsi" w:cstheme="minorHAnsi"/>
        </w:rPr>
      </w:pPr>
    </w:p>
    <w:p w14:paraId="64984C2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Adjudicatario:</w:t>
      </w:r>
    </w:p>
    <w:p w14:paraId="41AE9D5B"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postor calificado, a quien se ha otorgado la adjudicación de la Buena Pro del Concurso.</w:t>
      </w:r>
    </w:p>
    <w:p w14:paraId="62D78B71" w14:textId="77777777" w:rsidR="007422BA" w:rsidRPr="00285D58" w:rsidRDefault="007422BA" w:rsidP="008D1FFF">
      <w:pPr>
        <w:spacing w:line="276" w:lineRule="auto"/>
        <w:ind w:firstLine="567"/>
        <w:jc w:val="both"/>
        <w:rPr>
          <w:rFonts w:asciiTheme="minorHAnsi" w:eastAsia="Calibri" w:hAnsiTheme="minorHAnsi" w:cstheme="minorHAnsi"/>
        </w:rPr>
      </w:pPr>
    </w:p>
    <w:p w14:paraId="020D50A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color w:val="000000"/>
        </w:rPr>
      </w:pPr>
      <w:r w:rsidRPr="00285D58">
        <w:rPr>
          <w:rFonts w:asciiTheme="minorHAnsi" w:eastAsia="Calibri" w:hAnsiTheme="minorHAnsi" w:cstheme="minorHAnsi"/>
          <w:b/>
          <w:bCs/>
          <w:color w:val="000000"/>
        </w:rPr>
        <w:t xml:space="preserve">Adulto mayor </w:t>
      </w:r>
    </w:p>
    <w:p w14:paraId="53DC185E" w14:textId="77777777" w:rsidR="007422BA" w:rsidRPr="00285D58" w:rsidRDefault="007422BA" w:rsidP="008D1FFF">
      <w:pPr>
        <w:spacing w:line="276" w:lineRule="auto"/>
        <w:ind w:left="425"/>
        <w:jc w:val="both"/>
        <w:rPr>
          <w:rFonts w:asciiTheme="minorHAnsi" w:hAnsiTheme="minorHAnsi" w:cstheme="minorHAnsi"/>
          <w:color w:val="000000"/>
          <w:lang w:val="es-PE"/>
        </w:rPr>
      </w:pPr>
      <w:r w:rsidRPr="00285D58">
        <w:rPr>
          <w:rFonts w:asciiTheme="minorHAnsi" w:hAnsiTheme="minorHAnsi" w:cstheme="minorHAnsi"/>
          <w:color w:val="000000"/>
          <w:lang w:val="es-PE"/>
        </w:rPr>
        <w:t>Se considera personas adultas mayores a todas aquellas que tenga 60 o más años de edad, de acuerdo con la Ley N° 28803 (LEY DE LAS PERSONAS ADULTAS MAYORES).</w:t>
      </w:r>
    </w:p>
    <w:p w14:paraId="3D9FB81A" w14:textId="77777777" w:rsidR="007422BA" w:rsidRPr="00285D58" w:rsidRDefault="007422BA" w:rsidP="008D1FFF">
      <w:pPr>
        <w:widowControl/>
        <w:spacing w:line="276" w:lineRule="auto"/>
        <w:ind w:left="360"/>
        <w:jc w:val="both"/>
        <w:rPr>
          <w:rFonts w:asciiTheme="minorHAnsi" w:eastAsia="Calibri" w:hAnsiTheme="minorHAnsi" w:cstheme="minorHAnsi"/>
          <w:color w:val="000000"/>
        </w:rPr>
      </w:pPr>
    </w:p>
    <w:p w14:paraId="336681C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Agencia de Promoción de la Inversión Privada – PROINVERSIÓN:</w:t>
      </w:r>
    </w:p>
    <w:p w14:paraId="7E8DA24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organismo técnico especializado adscrito al Ministerio de Economía y Finanzas, con personería jurídica, autonomía técnica, funcional, administrativa, económica y financiera, encargado de diseñar, conducir y concluir el proceso de promoción de la inversión privada de los proyectos desarrollados mediante las modalidades de Asociación Público Privada y de Proyectos en Activos, bajo el ámbito de su competencia, unificando la toma de decisiones dentro del proceso, conforme a lo dispuesto en las Leyes y Disposiciones Aplicables.</w:t>
      </w:r>
    </w:p>
    <w:p w14:paraId="1A988393" w14:textId="77777777" w:rsidR="007422BA" w:rsidRPr="00285D58" w:rsidRDefault="007422BA" w:rsidP="008D1FFF">
      <w:pPr>
        <w:spacing w:line="276" w:lineRule="auto"/>
        <w:ind w:firstLine="567"/>
        <w:jc w:val="both"/>
        <w:rPr>
          <w:rFonts w:asciiTheme="minorHAnsi" w:eastAsia="Calibri" w:hAnsiTheme="minorHAnsi" w:cstheme="minorHAnsi"/>
        </w:rPr>
      </w:pPr>
    </w:p>
    <w:p w14:paraId="67FC4DF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Año Calendario:</w:t>
      </w:r>
    </w:p>
    <w:p w14:paraId="55487D2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período de doce (12) meses comprendidos entre el 1 de enero y el 31 de diciembre de cada año, ambas fechas inclusive.</w:t>
      </w:r>
    </w:p>
    <w:p w14:paraId="58F57138" w14:textId="77777777" w:rsidR="007422BA" w:rsidRPr="00285D58" w:rsidRDefault="007422BA" w:rsidP="008D1FFF">
      <w:pPr>
        <w:spacing w:line="276" w:lineRule="auto"/>
        <w:ind w:firstLine="567"/>
        <w:jc w:val="both"/>
        <w:rPr>
          <w:rFonts w:asciiTheme="minorHAnsi" w:eastAsia="Calibri" w:hAnsiTheme="minorHAnsi" w:cstheme="minorHAnsi"/>
        </w:rPr>
      </w:pPr>
    </w:p>
    <w:p w14:paraId="5B05527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Año de la Concesión:</w:t>
      </w:r>
    </w:p>
    <w:p w14:paraId="7638EF33" w14:textId="75227BBB"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cada período de doce (12) </w:t>
      </w:r>
      <w:r w:rsidR="00973187" w:rsidRPr="00285D58">
        <w:rPr>
          <w:rFonts w:asciiTheme="minorHAnsi" w:eastAsia="Calibri" w:hAnsiTheme="minorHAnsi" w:cstheme="minorHAnsi"/>
          <w:color w:val="000000"/>
        </w:rPr>
        <w:t>meses computados</w:t>
      </w:r>
      <w:r w:rsidRPr="00285D58">
        <w:rPr>
          <w:rFonts w:asciiTheme="minorHAnsi" w:eastAsia="Calibri" w:hAnsiTheme="minorHAnsi" w:cstheme="minorHAnsi"/>
          <w:color w:val="000000"/>
        </w:rPr>
        <w:t xml:space="preserve"> desde la Fecha de Cierre, inclusive, hasta el término de la vigencia de la Concesión.</w:t>
      </w:r>
    </w:p>
    <w:p w14:paraId="013D672D" w14:textId="77777777" w:rsidR="007422BA" w:rsidRPr="00285D58" w:rsidRDefault="007422BA" w:rsidP="008D1FFF">
      <w:pPr>
        <w:spacing w:line="276" w:lineRule="auto"/>
        <w:ind w:firstLine="567"/>
        <w:jc w:val="both"/>
        <w:rPr>
          <w:rFonts w:asciiTheme="minorHAnsi" w:eastAsia="Calibri" w:hAnsiTheme="minorHAnsi" w:cstheme="minorHAnsi"/>
        </w:rPr>
      </w:pPr>
    </w:p>
    <w:p w14:paraId="2BABCF5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lastRenderedPageBreak/>
        <w:t>Área de Influencia de la Concesión: </w:t>
      </w:r>
    </w:p>
    <w:p w14:paraId="793DF39A"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las áreas donde incidirán los impactos ambientales, directos e indirectos, resultantes de las actividades desarrolladas en el marco del Proyecto. Sus límites estarán definidos en los instrumentos de gestión ambiental (IGA).</w:t>
      </w:r>
    </w:p>
    <w:p w14:paraId="58B74CB9" w14:textId="77777777" w:rsidR="007422BA" w:rsidRPr="00285D58" w:rsidRDefault="007422BA" w:rsidP="008D1FFF">
      <w:pPr>
        <w:spacing w:line="276" w:lineRule="auto"/>
        <w:ind w:firstLine="567"/>
        <w:jc w:val="both"/>
        <w:rPr>
          <w:rFonts w:asciiTheme="minorHAnsi" w:eastAsia="Calibri" w:hAnsiTheme="minorHAnsi" w:cstheme="minorHAnsi"/>
        </w:rPr>
      </w:pPr>
    </w:p>
    <w:p w14:paraId="0B073B7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Áreas de la Concesión: </w:t>
      </w:r>
    </w:p>
    <w:p w14:paraId="2F81DB90" w14:textId="2B04DAEE" w:rsidR="007422BA" w:rsidRPr="00285D58" w:rsidRDefault="007422BA" w:rsidP="00B31104">
      <w:pPr>
        <w:spacing w:line="360"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las áreas ubicad</w:t>
      </w:r>
      <w:r w:rsidR="00DD72A6">
        <w:rPr>
          <w:rFonts w:asciiTheme="minorHAnsi" w:eastAsia="Calibri" w:hAnsiTheme="minorHAnsi" w:cstheme="minorHAnsi"/>
          <w:color w:val="000000"/>
        </w:rPr>
        <w:t>a</w:t>
      </w:r>
      <w:r w:rsidRPr="00285D58">
        <w:rPr>
          <w:rFonts w:asciiTheme="minorHAnsi" w:eastAsia="Calibri" w:hAnsiTheme="minorHAnsi" w:cstheme="minorHAnsi"/>
          <w:color w:val="000000"/>
        </w:rPr>
        <w:t>s en las regiones de Cusco y Apurímac, que serán entregadas por el CONCEDENTE al CONCESIONARIO para efectos de la Concesión, las mismas que se detallan en el Anexo</w:t>
      </w:r>
      <w:r w:rsidRPr="00285D58">
        <w:rPr>
          <w:rFonts w:asciiTheme="minorHAnsi" w:eastAsia="Calibri" w:hAnsiTheme="minorHAnsi" w:cstheme="minorHAnsi"/>
        </w:rPr>
        <w:t xml:space="preserve"> 02</w:t>
      </w:r>
      <w:r w:rsidRPr="00285D58">
        <w:rPr>
          <w:rFonts w:asciiTheme="minorHAnsi" w:eastAsia="Calibri" w:hAnsiTheme="minorHAnsi" w:cstheme="minorHAnsi"/>
          <w:color w:val="000000"/>
        </w:rPr>
        <w:t>.</w:t>
      </w:r>
      <w:r w:rsidR="00DD72A6">
        <w:rPr>
          <w:rFonts w:asciiTheme="minorHAnsi" w:eastAsia="Calibri" w:hAnsiTheme="minorHAnsi" w:cstheme="minorHAnsi"/>
          <w:color w:val="000000"/>
        </w:rPr>
        <w:t xml:space="preserve"> Estas áreas comprenden los predios de titularidad del Concedente y las servidumbres </w:t>
      </w:r>
      <w:r w:rsidR="00B35459">
        <w:rPr>
          <w:rFonts w:asciiTheme="minorHAnsi" w:eastAsia="Calibri" w:hAnsiTheme="minorHAnsi" w:cstheme="minorHAnsi"/>
          <w:color w:val="000000"/>
        </w:rPr>
        <w:t xml:space="preserve">cuya carga será impuesta por el Concesionario, de acuerdo a lo señalado en el Contrato. </w:t>
      </w:r>
    </w:p>
    <w:p w14:paraId="23D10326"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472887F" w14:textId="4200EE90" w:rsidR="007422BA" w:rsidRPr="00285D58" w:rsidRDefault="007422BA" w:rsidP="008D1FFF">
      <w:pPr>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para fines de este proyecto, formarán parte integrante </w:t>
      </w:r>
      <w:r w:rsidR="00973187" w:rsidRPr="00285D58">
        <w:rPr>
          <w:rFonts w:asciiTheme="minorHAnsi" w:eastAsia="Calibri" w:hAnsiTheme="minorHAnsi" w:cstheme="minorHAnsi"/>
          <w:color w:val="000000"/>
        </w:rPr>
        <w:t>de los</w:t>
      </w:r>
      <w:r w:rsidRPr="00285D58">
        <w:rPr>
          <w:rFonts w:asciiTheme="minorHAnsi" w:eastAsia="Calibri" w:hAnsiTheme="minorHAnsi" w:cstheme="minorHAnsi"/>
          <w:color w:val="000000"/>
        </w:rPr>
        <w:t xml:space="preserve"> Componentes Norte y Sur del presente Proyecto.</w:t>
      </w:r>
    </w:p>
    <w:p w14:paraId="58EB32BF" w14:textId="77777777" w:rsidR="007422BA" w:rsidRPr="00285D58" w:rsidRDefault="007422BA" w:rsidP="008D1FFF">
      <w:pPr>
        <w:spacing w:line="276" w:lineRule="auto"/>
        <w:ind w:firstLine="567"/>
        <w:jc w:val="both"/>
        <w:rPr>
          <w:rFonts w:asciiTheme="minorHAnsi" w:eastAsia="Calibri" w:hAnsiTheme="minorHAnsi" w:cstheme="minorHAnsi"/>
        </w:rPr>
      </w:pPr>
    </w:p>
    <w:p w14:paraId="5206B59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Autoridad Gubernamental Competente:</w:t>
      </w:r>
    </w:p>
    <w:p w14:paraId="6670FA0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órgano o institución nacional, regional, departamental, provincial o distrital, o cualquiera de sus dependencias o agencias, regulatorias o administrativas, o cualquier entidad u organismo del Perú que conforme a ley ejerza poderes ejecutivos, legislativos o judiciales, o que pertenezca a cualquiera de los gobiernos, autoridades o instituciones citadas, con competencia sobre las personas o materias en cuestión.</w:t>
      </w:r>
    </w:p>
    <w:p w14:paraId="1735DEA1" w14:textId="77777777" w:rsidR="007422BA" w:rsidRPr="00285D58" w:rsidRDefault="007422BA" w:rsidP="008D1FFF">
      <w:pPr>
        <w:spacing w:line="276" w:lineRule="auto"/>
        <w:ind w:left="425"/>
        <w:jc w:val="both"/>
        <w:rPr>
          <w:rFonts w:asciiTheme="minorHAnsi" w:eastAsia="Calibri" w:hAnsiTheme="minorHAnsi" w:cstheme="minorHAnsi"/>
        </w:rPr>
      </w:pPr>
    </w:p>
    <w:p w14:paraId="08AA7D6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Autoridad Ambiental Competente: </w:t>
      </w:r>
    </w:p>
    <w:p w14:paraId="0F9A0475"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órgano o institución nacional, regional, departamental, provincial o distrital, o cualquiera de sus dependencias o agencias, regulatorias o administrativas, o cualquier entidad u organismo del Perú que conforme a ley ejerza poderes ejecutivos, legislativos o judiciales, o que pertenezca a cualquiera de los gobiernos, autoridades o instituciones citadas, con competencia sobre materias ambientales.</w:t>
      </w:r>
    </w:p>
    <w:p w14:paraId="22A9B1C8" w14:textId="77777777" w:rsidR="007422BA" w:rsidRPr="00285D58" w:rsidRDefault="007422BA" w:rsidP="008D1FFF">
      <w:pPr>
        <w:spacing w:line="276" w:lineRule="auto"/>
        <w:ind w:left="425"/>
        <w:jc w:val="both"/>
        <w:rPr>
          <w:rFonts w:asciiTheme="minorHAnsi" w:eastAsia="Calibri" w:hAnsiTheme="minorHAnsi" w:cstheme="minorHAnsi"/>
        </w:rPr>
      </w:pPr>
    </w:p>
    <w:p w14:paraId="6315FEC0"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Es el Ministerio de Comercio Exterior y Turismo, a través de la Dirección General de Políticas de Desarrollo Turístico (DGPDT), o la entidad que, en el marco del Sistema Nacional de Evaluación de Impacto Ambiental (SEIA) y Sistema Nacional de Evaluación y Fiscalización Ambiental (SINEFA), lo sustituya en el desempeño de sus funciones. </w:t>
      </w:r>
    </w:p>
    <w:p w14:paraId="5DDAF553"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  </w:t>
      </w:r>
    </w:p>
    <w:p w14:paraId="3402485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Bases:</w:t>
      </w:r>
    </w:p>
    <w:p w14:paraId="569F2878"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el documento, incluidos sus formularios, anexos, apéndices y las circulares emitidas por</w:t>
      </w:r>
    </w:p>
    <w:p w14:paraId="32E07A2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PROINVERSIÓN, que fijó los términos bajo los cuales se desarrolló el Concurso.</w:t>
      </w:r>
    </w:p>
    <w:p w14:paraId="68BA2B76" w14:textId="77777777" w:rsidR="007422BA" w:rsidRPr="00285D58" w:rsidRDefault="007422BA" w:rsidP="008D1FFF">
      <w:pPr>
        <w:spacing w:line="276" w:lineRule="auto"/>
        <w:ind w:left="425"/>
        <w:jc w:val="both"/>
        <w:rPr>
          <w:rFonts w:asciiTheme="minorHAnsi" w:eastAsia="Calibri" w:hAnsiTheme="minorHAnsi" w:cstheme="minorHAnsi"/>
        </w:rPr>
      </w:pPr>
    </w:p>
    <w:p w14:paraId="4922482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Bienes de la Concesión:</w:t>
      </w:r>
    </w:p>
    <w:p w14:paraId="4336C46E"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S</w:t>
      </w:r>
      <w:r w:rsidRPr="00285D58">
        <w:rPr>
          <w:rFonts w:asciiTheme="minorHAnsi" w:eastAsia="Calibri" w:hAnsiTheme="minorHAnsi" w:cstheme="minorHAnsi"/>
          <w:color w:val="000000"/>
        </w:rPr>
        <w:t>on los siguientes:</w:t>
      </w:r>
    </w:p>
    <w:p w14:paraId="271A75A5" w14:textId="38903CA1"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referidas en el Anexo </w:t>
      </w:r>
      <w:r w:rsidRPr="00285D58">
        <w:rPr>
          <w:rFonts w:asciiTheme="minorHAnsi" w:eastAsia="Calibri" w:hAnsiTheme="minorHAnsi" w:cstheme="minorHAnsi"/>
        </w:rPr>
        <w:t>02</w:t>
      </w:r>
      <w:r w:rsidRPr="00285D58">
        <w:rPr>
          <w:rFonts w:asciiTheme="minorHAnsi" w:eastAsia="Calibri" w:hAnsiTheme="minorHAnsi" w:cstheme="minorHAnsi"/>
          <w:color w:val="000000"/>
        </w:rPr>
        <w:t>, a partir de la Fecha de Cierre.</w:t>
      </w:r>
    </w:p>
    <w:p w14:paraId="3D2011EF" w14:textId="77777777"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Obras y Equipamiento Electromecánico que hubieren sido construidos o implementados por el CONCESIONARIO durante la vigencia de la Concesión y una </w:t>
      </w:r>
      <w:r w:rsidRPr="00285D58">
        <w:rPr>
          <w:rFonts w:asciiTheme="minorHAnsi" w:eastAsia="Calibri" w:hAnsiTheme="minorHAnsi" w:cstheme="minorHAnsi"/>
          <w:color w:val="000000"/>
        </w:rPr>
        <w:lastRenderedPageBreak/>
        <w:t>vez suscrita el Acta de Recepción de Obras y Equipamiento Electromecánico correspondiente.</w:t>
      </w:r>
    </w:p>
    <w:p w14:paraId="0FEB13BF" w14:textId="035C6390" w:rsidR="002D5F82" w:rsidRPr="00285D58" w:rsidRDefault="002D5F82"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buses correspondientes al Servicio de Transporte Terrestre en Bus (entre las estaciones centrales y estaciones de salida)</w:t>
      </w:r>
    </w:p>
    <w:p w14:paraId="125CD33F" w14:textId="7AF479A1"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bienes que hayan sido integrados a la Concesión producto de cualquier inversión adicional conforme a lo previsto en el Contrato.</w:t>
      </w:r>
    </w:p>
    <w:p w14:paraId="0E20CE10" w14:textId="77777777" w:rsidR="007422BA" w:rsidRPr="00285D58" w:rsidRDefault="007422BA" w:rsidP="00A3732C">
      <w:pPr>
        <w:widowControl/>
        <w:numPr>
          <w:ilvl w:val="0"/>
          <w:numId w:val="1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bienes inseparables vinculados a la ejecución de la Inversión y a los Servicios Obligatorios, que al retirarlos podrían afectar las Obras o el Equipamiento Electromecánico.  </w:t>
      </w:r>
    </w:p>
    <w:p w14:paraId="1B8DFBCE" w14:textId="77777777" w:rsidR="007422BA" w:rsidRPr="00285D58" w:rsidRDefault="007422BA" w:rsidP="008D1FFF">
      <w:pPr>
        <w:spacing w:line="276" w:lineRule="auto"/>
        <w:ind w:firstLine="567"/>
        <w:jc w:val="both"/>
        <w:rPr>
          <w:rFonts w:asciiTheme="minorHAnsi" w:eastAsia="Calibri" w:hAnsiTheme="minorHAnsi" w:cstheme="minorHAnsi"/>
          <w:color w:val="000000"/>
        </w:rPr>
      </w:pPr>
    </w:p>
    <w:p w14:paraId="3101C5F5"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Dichos bienes serán revertidos al CONCEDENTE de acuerdo con lo regulado en el Contrato de </w:t>
      </w:r>
      <w:r w:rsidRPr="00285D58">
        <w:rPr>
          <w:rFonts w:asciiTheme="minorHAnsi" w:eastAsia="Calibri" w:hAnsiTheme="minorHAnsi" w:cstheme="minorHAnsi"/>
        </w:rPr>
        <w:t>Concesión</w:t>
      </w:r>
      <w:r w:rsidRPr="00285D58">
        <w:rPr>
          <w:rFonts w:asciiTheme="minorHAnsi" w:eastAsia="Calibri" w:hAnsiTheme="minorHAnsi" w:cstheme="minorHAnsi"/>
          <w:color w:val="000000"/>
        </w:rPr>
        <w:t>, debidamente saneados, y libres de cargas, gravámenes o afectaciones.</w:t>
      </w:r>
    </w:p>
    <w:p w14:paraId="2C1423B8"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1BAB09E9"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Formarán parte de los Bienes de la Concesión, los bienes muebles consistentes en aquellos derechos que bajo cualquier título faculten o autoricen el uso o explotación de otros bienes o tecnologías. Se consideran incluidos dentro de los Bienes de la Concesión todos los derechos sobre los sistemas operativos, software, know-how, así como las respectivas licencias y permisos utilizados por el CONCESIONARIO en la explotación de los Bienes de la Concesión.</w:t>
      </w:r>
    </w:p>
    <w:p w14:paraId="0BA7EEBD" w14:textId="77777777" w:rsidR="007422BA" w:rsidRPr="00285D58" w:rsidRDefault="007422BA" w:rsidP="008D1FFF">
      <w:pPr>
        <w:spacing w:line="276" w:lineRule="auto"/>
        <w:ind w:firstLine="567"/>
        <w:jc w:val="both"/>
        <w:rPr>
          <w:rFonts w:asciiTheme="minorHAnsi" w:eastAsia="Calibri" w:hAnsiTheme="minorHAnsi" w:cstheme="minorHAnsi"/>
        </w:rPr>
      </w:pPr>
    </w:p>
    <w:p w14:paraId="447E79E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Bienes Afectados a la Concesión:</w:t>
      </w:r>
    </w:p>
    <w:p w14:paraId="4316E044"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aquellos bienes muebles de propiedad o en posesión del CONCESIONARIO como el equipamiento y mobiliario administrativo, vehículos y otros incluidos en los Requerimientos mínimos para el Diseño y Construcción establecidos en el Anexo 10 los cuales se encuentran incorporados a la Concesión y están afectados a los Servicios Turísticos. En caso de Terminación, el CONCEDENTE tiene derecho a la opción de compra sobre los mismos conforme a lo previsto en el Capítulo XVI del Contrato de Concesión. </w:t>
      </w:r>
    </w:p>
    <w:p w14:paraId="5FA672A2" w14:textId="77777777" w:rsidR="007422BA" w:rsidRPr="00285D58" w:rsidRDefault="007422BA" w:rsidP="008D1FFF">
      <w:pPr>
        <w:widowControl/>
        <w:spacing w:line="276" w:lineRule="auto"/>
        <w:ind w:left="360"/>
        <w:jc w:val="both"/>
        <w:rPr>
          <w:rFonts w:asciiTheme="minorHAnsi" w:eastAsia="Calibri" w:hAnsiTheme="minorHAnsi" w:cstheme="minorHAnsi"/>
          <w:color w:val="000000"/>
        </w:rPr>
      </w:pPr>
    </w:p>
    <w:p w14:paraId="0F889A3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Bienes del CONCESIONARIO:</w:t>
      </w:r>
    </w:p>
    <w:p w14:paraId="06907F35"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Son todos los bienes de propiedad del CONCESIONARIO que no se encuentren listados en el Anex</w:t>
      </w:r>
      <w:r w:rsidRPr="00285D58">
        <w:rPr>
          <w:rFonts w:asciiTheme="minorHAnsi" w:eastAsia="Calibri" w:hAnsiTheme="minorHAnsi" w:cstheme="minorHAnsi"/>
        </w:rPr>
        <w:t xml:space="preserve">o 10 </w:t>
      </w:r>
      <w:r w:rsidRPr="00285D58">
        <w:rPr>
          <w:rFonts w:asciiTheme="minorHAnsi" w:eastAsia="Calibri" w:hAnsiTheme="minorHAnsi" w:cstheme="minorHAnsi"/>
          <w:color w:val="000000"/>
        </w:rPr>
        <w:t xml:space="preserve">del presente Contrato y que no son necesarios para alcanzar los Niveles de Servicio. </w:t>
      </w:r>
    </w:p>
    <w:p w14:paraId="706CBE36" w14:textId="77777777" w:rsidR="007422BA" w:rsidRPr="00285D58" w:rsidRDefault="007422BA" w:rsidP="008D1FFF">
      <w:pPr>
        <w:spacing w:line="276" w:lineRule="auto"/>
        <w:ind w:firstLine="567"/>
        <w:jc w:val="both"/>
        <w:rPr>
          <w:rFonts w:asciiTheme="minorHAnsi" w:eastAsia="Calibri" w:hAnsiTheme="minorHAnsi" w:cstheme="minorHAnsi"/>
          <w:color w:val="000000"/>
        </w:rPr>
      </w:pPr>
    </w:p>
    <w:p w14:paraId="16CA1308"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Estos bienes son utilizados por el CONCESIONARIO en las instalaciones del Proyecto a su cuenta, costo y riesgo, para el desarrollo de sus actividades. Estos bienes no revierten a favor del CONCEDENTE, ni tampoco son reconocidos por este último a la Terminación del Contrato por cualquier causa.</w:t>
      </w:r>
    </w:p>
    <w:p w14:paraId="6148E5A8" w14:textId="77777777" w:rsidR="007422BA" w:rsidRPr="00285D58" w:rsidRDefault="007422BA" w:rsidP="008D1FFF">
      <w:pPr>
        <w:spacing w:line="276" w:lineRule="auto"/>
        <w:ind w:firstLine="567"/>
        <w:jc w:val="both"/>
        <w:rPr>
          <w:rFonts w:asciiTheme="minorHAnsi" w:eastAsia="Calibri" w:hAnsiTheme="minorHAnsi" w:cstheme="minorHAnsi"/>
        </w:rPr>
      </w:pPr>
    </w:p>
    <w:p w14:paraId="449F505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Certificado de Puesta en Marcha:</w:t>
      </w:r>
    </w:p>
    <w:p w14:paraId="2EDB2D65"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documento expedido por el CONCEDENTE que acredita que el CONCESIONARIO ha realizado satisfactoriamente la Puesta en Marcha del respectivo Componente, de conformidad con los Estudios Definitivos de Ingeniería respectivos. </w:t>
      </w:r>
    </w:p>
    <w:p w14:paraId="29695036" w14:textId="77777777" w:rsidR="007422BA" w:rsidRPr="00285D58" w:rsidRDefault="007422BA" w:rsidP="008D1FFF">
      <w:pPr>
        <w:spacing w:line="276" w:lineRule="auto"/>
        <w:ind w:firstLine="567"/>
        <w:jc w:val="both"/>
        <w:rPr>
          <w:rFonts w:asciiTheme="minorHAnsi" w:eastAsia="Calibri" w:hAnsiTheme="minorHAnsi" w:cstheme="minorHAnsi"/>
        </w:rPr>
      </w:pPr>
    </w:p>
    <w:p w14:paraId="4836FD43"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Con la emisión de este certificado se entiende culminada la Puesta en Marcha del Componente, y conjuntamente con la suscripción del Acta de Recepción de Obras y </w:t>
      </w:r>
      <w:r w:rsidRPr="00285D58">
        <w:rPr>
          <w:rFonts w:asciiTheme="minorHAnsi" w:eastAsia="Calibri" w:hAnsiTheme="minorHAnsi" w:cstheme="minorHAnsi"/>
          <w:color w:val="000000"/>
        </w:rPr>
        <w:lastRenderedPageBreak/>
        <w:t>Equipamiento Electromecánico, se entenderá la culminación del Periodo Pre Operativo y el inicio de la Operación. El CONCEDENTE deberá entregar este certificado al CONCESIONARIO el mismo día de su emisión, con copia al Supervisor.</w:t>
      </w:r>
    </w:p>
    <w:p w14:paraId="009EBE6C" w14:textId="77777777" w:rsidR="007422BA" w:rsidRPr="00285D58" w:rsidRDefault="007422BA" w:rsidP="008D1FFF">
      <w:pPr>
        <w:spacing w:line="276" w:lineRule="auto"/>
        <w:ind w:firstLine="567"/>
        <w:jc w:val="both"/>
        <w:rPr>
          <w:rFonts w:asciiTheme="minorHAnsi" w:eastAsia="Calibri" w:hAnsiTheme="minorHAnsi" w:cstheme="minorHAnsi"/>
        </w:rPr>
      </w:pPr>
    </w:p>
    <w:p w14:paraId="64FBE8D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Cierre Financiero:</w:t>
      </w:r>
    </w:p>
    <w:p w14:paraId="2F211F88" w14:textId="26AE3F06"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Es la acreditación fehaciente y documentada que realiza el CONCESIONARIO, que debe demostrar que cuenta con los recursos financieros necesarios para la ejecución del Proyecto.</w:t>
      </w:r>
    </w:p>
    <w:p w14:paraId="05B4905E" w14:textId="77777777" w:rsidR="00A909F8" w:rsidRPr="00285D58" w:rsidRDefault="00A909F8" w:rsidP="008D1FFF">
      <w:pPr>
        <w:spacing w:line="276" w:lineRule="auto"/>
        <w:ind w:left="567"/>
        <w:jc w:val="both"/>
        <w:rPr>
          <w:rFonts w:asciiTheme="minorHAnsi" w:eastAsia="Calibri" w:hAnsiTheme="minorHAnsi" w:cstheme="minorHAnsi"/>
          <w:color w:val="000000"/>
        </w:rPr>
      </w:pPr>
    </w:p>
    <w:p w14:paraId="24C38105" w14:textId="77777777" w:rsidR="007422BA" w:rsidRPr="00285D58" w:rsidRDefault="007422BA" w:rsidP="008D1FFF">
      <w:pPr>
        <w:spacing w:line="276" w:lineRule="auto"/>
        <w:ind w:firstLine="567"/>
        <w:jc w:val="both"/>
        <w:rPr>
          <w:rFonts w:asciiTheme="minorHAnsi" w:eastAsia="Calibri" w:hAnsiTheme="minorHAnsi" w:cstheme="minorHAnsi"/>
        </w:rPr>
      </w:pPr>
    </w:p>
    <w:p w14:paraId="7B3963C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Cofinanciamiento:</w:t>
      </w:r>
    </w:p>
    <w:p w14:paraId="63B57D4B" w14:textId="512D89A8"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los recursos otorgados por el CONCEDENTE para retribuir las obligaciones del CONCESIONARIO, que serán desembolsados mediante el mecanismo de Pagos por Disponibilidad (PPD) y Pago Por Obras (PPO). </w:t>
      </w:r>
      <w:r w:rsidR="00C100B2" w:rsidRPr="00285D58">
        <w:rPr>
          <w:rFonts w:asciiTheme="minorHAnsi" w:eastAsia="Calibri" w:hAnsiTheme="minorHAnsi" w:cstheme="minorHAnsi"/>
          <w:color w:val="000000"/>
        </w:rPr>
        <w:t>El CONCEDENTE presupuestará las obligaciones por cancelar (PPO, PPD1 y PPD2) más IGV considerando la recaudación por Tarifas más el IGV, en los términos del presente Contrato.</w:t>
      </w:r>
    </w:p>
    <w:p w14:paraId="4494827C" w14:textId="77777777" w:rsidR="007422BA" w:rsidRPr="00285D58" w:rsidRDefault="007422BA" w:rsidP="008D1FFF">
      <w:pPr>
        <w:spacing w:line="276" w:lineRule="auto"/>
        <w:ind w:left="567"/>
        <w:jc w:val="both"/>
        <w:rPr>
          <w:rFonts w:asciiTheme="minorHAnsi" w:eastAsia="Calibri" w:hAnsiTheme="minorHAnsi" w:cstheme="minorHAnsi"/>
          <w:color w:val="000000"/>
        </w:rPr>
      </w:pPr>
    </w:p>
    <w:p w14:paraId="105E9987" w14:textId="77777777" w:rsidR="007422BA" w:rsidRPr="00285D58" w:rsidRDefault="0000000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18"/>
          <w:id w:val="1746454607"/>
        </w:sdtPr>
        <w:sdtContent/>
      </w:sdt>
      <w:sdt>
        <w:sdtPr>
          <w:rPr>
            <w:rFonts w:asciiTheme="minorHAnsi" w:hAnsiTheme="minorHAnsi" w:cstheme="minorHAnsi"/>
          </w:rPr>
          <w:tag w:val="goog_rdk_19"/>
          <w:id w:val="-633331172"/>
        </w:sdtPr>
        <w:sdtContent/>
      </w:sdt>
      <w:sdt>
        <w:sdtPr>
          <w:rPr>
            <w:rFonts w:asciiTheme="minorHAnsi" w:hAnsiTheme="minorHAnsi" w:cstheme="minorHAnsi"/>
          </w:rPr>
          <w:tag w:val="goog_rdk_20"/>
          <w:id w:val="-524099550"/>
        </w:sdtPr>
        <w:sdtContent/>
      </w:sdt>
      <w:r w:rsidR="007422BA" w:rsidRPr="00285D58">
        <w:rPr>
          <w:rFonts w:asciiTheme="minorHAnsi" w:eastAsia="Calibri" w:hAnsiTheme="minorHAnsi" w:cstheme="minorHAnsi"/>
          <w:b/>
          <w:color w:val="000000"/>
        </w:rPr>
        <w:t>CONCEDENTE:</w:t>
      </w:r>
    </w:p>
    <w:p w14:paraId="183498A7"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Es el Estado de la República del Perú representada por el Ministerio de Comercio Exterior y Turismo del Perú (MINCETUR).</w:t>
      </w:r>
    </w:p>
    <w:p w14:paraId="34D0F285" w14:textId="77777777" w:rsidR="007422BA" w:rsidRPr="00285D58" w:rsidRDefault="007422BA" w:rsidP="008D1FFF">
      <w:pPr>
        <w:spacing w:line="276" w:lineRule="auto"/>
        <w:ind w:firstLine="567"/>
        <w:jc w:val="both"/>
        <w:rPr>
          <w:rFonts w:asciiTheme="minorHAnsi" w:eastAsia="Calibri" w:hAnsiTheme="minorHAnsi" w:cstheme="minorHAnsi"/>
        </w:rPr>
      </w:pPr>
    </w:p>
    <w:p w14:paraId="4EF4A67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Concesión:</w:t>
      </w:r>
    </w:p>
    <w:p w14:paraId="1AA30E61"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relación jurídica de derecho público que se establece entre el CONCEDENTE y el CONCESIONARIO a partir de la Fecha de Cierre, mediante la cual el CONCEDENTE otorga al CONCESIONARIO el derecho a diseñar, financiar, construir, equipar, operar y mantener las Obras y el Equipamiento Electromecánico, según corresponda, que forman parte del Proyecto, así como el derecho a la explotación económica de los Bienes de la Concesión, durante el plazo de vigencia establecido en el Contrato de Concesión, de acuerdo con los términos contenidos en este, y con las Leyes y Disposiciones Aplicables</w:t>
      </w:r>
      <w:r w:rsidRPr="00285D58">
        <w:rPr>
          <w:rFonts w:asciiTheme="minorHAnsi" w:eastAsia="Calibri" w:hAnsiTheme="minorHAnsi" w:cstheme="minorHAnsi"/>
          <w:color w:val="000000"/>
        </w:rPr>
        <w:tab/>
      </w:r>
    </w:p>
    <w:p w14:paraId="7C6B6F55" w14:textId="77777777" w:rsidR="007422BA" w:rsidRPr="00285D58" w:rsidRDefault="007422BA" w:rsidP="008D1FFF">
      <w:pPr>
        <w:spacing w:line="276" w:lineRule="auto"/>
        <w:ind w:firstLine="567"/>
        <w:jc w:val="both"/>
        <w:rPr>
          <w:rFonts w:asciiTheme="minorHAnsi" w:eastAsia="Calibri" w:hAnsiTheme="minorHAnsi" w:cstheme="minorHAnsi"/>
        </w:rPr>
      </w:pPr>
    </w:p>
    <w:p w14:paraId="409B16C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CONCESIONARIO:</w:t>
      </w:r>
    </w:p>
    <w:p w14:paraId="18C49BCB"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sociedad de propósito específico, constituida como persona jurídica en el Perú, que suscribirá el presente Contrato de Concesión, conforme a los requerimientos establecidos en las Bases y el presente Contrato de Concesión.</w:t>
      </w:r>
    </w:p>
    <w:p w14:paraId="49997EA2" w14:textId="77777777" w:rsidR="007422BA" w:rsidRPr="00285D58" w:rsidRDefault="007422BA" w:rsidP="008D1FFF">
      <w:pPr>
        <w:spacing w:line="276" w:lineRule="auto"/>
        <w:ind w:firstLine="567"/>
        <w:jc w:val="both"/>
        <w:rPr>
          <w:rFonts w:asciiTheme="minorHAnsi" w:eastAsia="Calibri" w:hAnsiTheme="minorHAnsi" w:cstheme="minorHAnsi"/>
        </w:rPr>
      </w:pPr>
    </w:p>
    <w:p w14:paraId="209BD60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Concurso:</w:t>
      </w:r>
    </w:p>
    <w:p w14:paraId="156FC2B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Es el mecanismo del proceso de selección regulado por las Bases para la entrega en</w:t>
      </w:r>
    </w:p>
    <w:p w14:paraId="7B8C871E"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concesión del Proyecto al sector privado, mediante concurso de proyectos integrales.</w:t>
      </w:r>
    </w:p>
    <w:p w14:paraId="5928780B" w14:textId="77777777" w:rsidR="007422BA" w:rsidRPr="00285D58" w:rsidRDefault="007422BA" w:rsidP="008D1FFF">
      <w:pPr>
        <w:spacing w:line="276" w:lineRule="auto"/>
        <w:ind w:left="567"/>
        <w:jc w:val="both"/>
        <w:rPr>
          <w:rFonts w:asciiTheme="minorHAnsi" w:eastAsia="Calibri" w:hAnsiTheme="minorHAnsi" w:cstheme="minorHAnsi"/>
        </w:rPr>
      </w:pPr>
    </w:p>
    <w:p w14:paraId="0092187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Constructor:</w:t>
      </w:r>
    </w:p>
    <w:p w14:paraId="7FC03D6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CONCESIONARIO o las empresas constructoras contratadas por el CONCESIONARIO, a su cuenta, costo y riesgo, que acreditaron los requisitos técnicos en construcción, de acuerdo con lo establecido en las Bases que ejecutarán las Obras y Equipamiento Electromecánico que forman parte de la Concesión.</w:t>
      </w:r>
    </w:p>
    <w:p w14:paraId="0CFF9107" w14:textId="77777777" w:rsidR="007422BA" w:rsidRPr="00285D58" w:rsidRDefault="007422BA" w:rsidP="008D1FFF">
      <w:pPr>
        <w:spacing w:line="276" w:lineRule="auto"/>
        <w:ind w:firstLine="567"/>
        <w:jc w:val="both"/>
        <w:rPr>
          <w:rFonts w:asciiTheme="minorHAnsi" w:eastAsia="Calibri" w:hAnsiTheme="minorHAnsi" w:cstheme="minorHAnsi"/>
        </w:rPr>
      </w:pPr>
    </w:p>
    <w:p w14:paraId="436B700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Contrato o Contrato de Concesión:</w:t>
      </w:r>
      <w:r w:rsidRPr="00285D58">
        <w:rPr>
          <w:rFonts w:asciiTheme="minorHAnsi" w:eastAsia="Calibri" w:hAnsiTheme="minorHAnsi" w:cstheme="minorHAnsi"/>
          <w:b/>
          <w:color w:val="000000"/>
        </w:rPr>
        <w:tab/>
      </w:r>
    </w:p>
    <w:p w14:paraId="0BB52552"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presente documento, incluyendo sus Anexos y Apéndices, celebrado entre el CONCEDENTE y el CONCESIONARIO, que rige las relaciones entre los mismos durante su plazo de vigencia.</w:t>
      </w:r>
    </w:p>
    <w:p w14:paraId="3F65626D" w14:textId="77777777" w:rsidR="007422BA" w:rsidRPr="00285D58" w:rsidRDefault="007422BA" w:rsidP="008D1FFF">
      <w:pPr>
        <w:spacing w:line="276" w:lineRule="auto"/>
        <w:ind w:firstLine="567"/>
        <w:jc w:val="both"/>
        <w:rPr>
          <w:rFonts w:asciiTheme="minorHAnsi" w:eastAsia="Calibri" w:hAnsiTheme="minorHAnsi" w:cstheme="minorHAnsi"/>
        </w:rPr>
      </w:pPr>
    </w:p>
    <w:p w14:paraId="2F7DCCC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Control:</w:t>
      </w:r>
    </w:p>
    <w:p w14:paraId="0826F98B"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situación por la cual una persona natural o jurídica ostenta o está sujeta al control de otra persona jurídica, o sometida a control común de ésta, en cualquiera de los siguientes supuestos:</w:t>
      </w:r>
    </w:p>
    <w:p w14:paraId="5A4002E4"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Cuenta con más del cincuenta por ciento (50%) del poder de voto en la junta general de accionistas o de socios, a través de la propiedad directa de los títulos representativos del capital social o indirectamente mediante contrato de usufructo, prenda, fideicomiso, sindicación y similares o cualquier otro acto jurídico.</w:t>
      </w:r>
    </w:p>
    <w:p w14:paraId="64BBC3E9"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De manera directa o indirecta tiene la facultad para designar o remover a la mayoría de los miembros del directorio u órgano equivalente, que le permita controlar o ejercer la mayoría de los votos en las sesiones de directorio u órgano equivalente, o para gobernar las políticas operativas o financieras bajo un reglamento o contrato cualquiera fuera su modalidad.</w:t>
      </w:r>
    </w:p>
    <w:p w14:paraId="1257AEBE" w14:textId="77777777" w:rsidR="007422BA" w:rsidRPr="00285D58" w:rsidRDefault="007422BA" w:rsidP="00A3732C">
      <w:pPr>
        <w:widowControl/>
        <w:numPr>
          <w:ilvl w:val="0"/>
          <w:numId w:val="137"/>
        </w:numPr>
        <w:spacing w:line="276" w:lineRule="auto"/>
        <w:ind w:left="992"/>
        <w:jc w:val="both"/>
        <w:rPr>
          <w:rFonts w:asciiTheme="minorHAnsi" w:eastAsia="Calibri" w:hAnsiTheme="minorHAnsi" w:cstheme="minorHAnsi"/>
          <w:color w:val="000000"/>
        </w:rPr>
      </w:pPr>
      <w:r w:rsidRPr="00285D58">
        <w:rPr>
          <w:rFonts w:asciiTheme="minorHAnsi" w:eastAsia="Calibri" w:hAnsiTheme="minorHAnsi" w:cstheme="minorHAnsi"/>
          <w:color w:val="000000"/>
        </w:rPr>
        <w:t>Por cualquier otro mecanismo o circunstancia (contractual o no), controla el poder de decisión en la otra empresa de manera efectiva.</w:t>
      </w:r>
    </w:p>
    <w:p w14:paraId="48D7747B" w14:textId="77777777" w:rsidR="007422BA" w:rsidRPr="00285D58" w:rsidRDefault="007422BA" w:rsidP="008D1FFF">
      <w:pPr>
        <w:spacing w:line="276" w:lineRule="auto"/>
        <w:ind w:firstLine="567"/>
        <w:jc w:val="both"/>
        <w:rPr>
          <w:rFonts w:asciiTheme="minorHAnsi" w:eastAsia="Calibri" w:hAnsiTheme="minorHAnsi" w:cstheme="minorHAnsi"/>
        </w:rPr>
      </w:pPr>
    </w:p>
    <w:p w14:paraId="0C9C7B23" w14:textId="38CCDF9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Cronograma de Ejecución de Obras y Equipamiento Electromecánico</w:t>
      </w:r>
      <w:r w:rsidR="00973187" w:rsidRPr="00285D58">
        <w:rPr>
          <w:rFonts w:asciiTheme="minorHAnsi" w:eastAsia="Calibri" w:hAnsiTheme="minorHAnsi" w:cstheme="minorHAnsi"/>
          <w:b/>
          <w:color w:val="000000"/>
        </w:rPr>
        <w:t>:</w:t>
      </w:r>
    </w:p>
    <w:p w14:paraId="6A2CA921"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el documento en el que consta la programación de la ejecución de la construcción e implementación del Equipamiento Electromecánico del Proyecto, conforme al plazo previsto en la Cláusula</w:t>
      </w:r>
      <w:r w:rsidRPr="00285D58">
        <w:rPr>
          <w:rFonts w:asciiTheme="minorHAnsi" w:eastAsia="Calibri" w:hAnsiTheme="minorHAnsi" w:cstheme="minorHAnsi"/>
        </w:rPr>
        <w:t xml:space="preserve"> 6.10</w:t>
      </w:r>
      <w:r w:rsidRPr="00285D58">
        <w:rPr>
          <w:rFonts w:asciiTheme="minorHAnsi" w:eastAsia="Calibri" w:hAnsiTheme="minorHAnsi" w:cstheme="minorHAnsi"/>
          <w:color w:val="000000"/>
        </w:rPr>
        <w:t>, y formará parte integrante de cada uno de los Estudios Definitivos de Ingeniería. Este cronograma deberá presentarse conforme a lo señalado en el Contrato de Concesión y deberá identificar la Ruta Crítica e hitos principales.</w:t>
      </w:r>
    </w:p>
    <w:p w14:paraId="4E6158C3"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079721C3" w14:textId="77777777" w:rsidR="007422BA" w:rsidRPr="00285D58" w:rsidRDefault="00000000" w:rsidP="00A3732C">
      <w:pPr>
        <w:widowControl/>
        <w:numPr>
          <w:ilvl w:val="0"/>
          <w:numId w:val="133"/>
        </w:numPr>
        <w:spacing w:line="276" w:lineRule="auto"/>
        <w:ind w:left="360"/>
        <w:jc w:val="both"/>
        <w:rPr>
          <w:rFonts w:asciiTheme="minorHAnsi" w:eastAsia="Calibri" w:hAnsiTheme="minorHAnsi" w:cstheme="minorHAnsi"/>
          <w:color w:val="000000"/>
        </w:rPr>
      </w:pPr>
      <w:sdt>
        <w:sdtPr>
          <w:rPr>
            <w:rFonts w:asciiTheme="minorHAnsi" w:hAnsiTheme="minorHAnsi" w:cstheme="minorHAnsi"/>
          </w:rPr>
          <w:tag w:val="goog_rdk_21"/>
          <w:id w:val="-364990490"/>
        </w:sdtPr>
        <w:sdtContent/>
      </w:sdt>
      <w:sdt>
        <w:sdtPr>
          <w:rPr>
            <w:rFonts w:asciiTheme="minorHAnsi" w:hAnsiTheme="minorHAnsi" w:cstheme="minorHAnsi"/>
          </w:rPr>
          <w:tag w:val="goog_rdk_22"/>
          <w:id w:val="1795941053"/>
        </w:sdtPr>
        <w:sdtContent/>
      </w:sdt>
      <w:sdt>
        <w:sdtPr>
          <w:rPr>
            <w:rFonts w:asciiTheme="minorHAnsi" w:hAnsiTheme="minorHAnsi" w:cstheme="minorHAnsi"/>
          </w:rPr>
          <w:tag w:val="goog_rdk_23"/>
          <w:id w:val="-491489418"/>
        </w:sdtPr>
        <w:sdtContent/>
      </w:sdt>
      <w:r w:rsidR="007422BA" w:rsidRPr="00285D58">
        <w:rPr>
          <w:rFonts w:asciiTheme="minorHAnsi" w:eastAsia="Calibri" w:hAnsiTheme="minorHAnsi" w:cstheme="minorHAnsi"/>
          <w:b/>
          <w:color w:val="000000"/>
        </w:rPr>
        <w:t>Componente:</w:t>
      </w:r>
    </w:p>
    <w:p w14:paraId="4BF6DF0D" w14:textId="11256F32"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Para fines del presente Proyecto, se refiere, de manera independiente a los Componentes Sur y Norte, constituidos por las Obras y Equipamiento Electromecánico</w:t>
      </w:r>
      <w:sdt>
        <w:sdtPr>
          <w:rPr>
            <w:rFonts w:asciiTheme="minorHAnsi" w:hAnsiTheme="minorHAnsi" w:cstheme="minorHAnsi"/>
          </w:rPr>
          <w:tag w:val="goog_rdk_24"/>
          <w:id w:val="1077475248"/>
        </w:sdt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a ser ejecutado</w:t>
      </w:r>
      <w:r w:rsidR="00074EDD" w:rsidRPr="00285D58">
        <w:rPr>
          <w:rFonts w:asciiTheme="minorHAnsi" w:eastAsia="Calibri" w:hAnsiTheme="minorHAnsi" w:cstheme="minorHAnsi"/>
        </w:rPr>
        <w:t xml:space="preserve"> según los</w:t>
      </w:r>
      <w:r w:rsidRPr="00285D58">
        <w:rPr>
          <w:rFonts w:asciiTheme="minorHAnsi" w:eastAsia="Calibri" w:hAnsiTheme="minorHAnsi" w:cstheme="minorHAnsi"/>
        </w:rPr>
        <w:t xml:space="preserve"> siguientes</w:t>
      </w:r>
      <w:r w:rsidR="00074EDD" w:rsidRPr="00285D58">
        <w:rPr>
          <w:rFonts w:asciiTheme="minorHAnsi" w:eastAsia="Calibri" w:hAnsiTheme="minorHAnsi" w:cstheme="minorHAnsi"/>
        </w:rPr>
        <w:t xml:space="preserve"> Estudios Definitivos de Ingeniería</w:t>
      </w:r>
      <w:r w:rsidRPr="00285D58">
        <w:rPr>
          <w:rFonts w:asciiTheme="minorHAnsi" w:eastAsia="Calibri" w:hAnsiTheme="minorHAnsi" w:cstheme="minorHAnsi"/>
        </w:rPr>
        <w:t>:</w:t>
      </w:r>
    </w:p>
    <w:p w14:paraId="58D7CBD0" w14:textId="77777777" w:rsidR="007422BA" w:rsidRPr="00285D58" w:rsidRDefault="007422BA" w:rsidP="008D1FFF">
      <w:pPr>
        <w:spacing w:line="276" w:lineRule="auto"/>
        <w:ind w:left="567"/>
        <w:jc w:val="both"/>
        <w:rPr>
          <w:rFonts w:asciiTheme="minorHAnsi" w:eastAsia="Calibri" w:hAnsiTheme="minorHAnsi" w:cstheme="minorHAnsi"/>
        </w:rPr>
      </w:pPr>
    </w:p>
    <w:p w14:paraId="69B2DF73" w14:textId="642792B9" w:rsidR="007422BA" w:rsidRPr="00285D58" w:rsidRDefault="007422BA" w:rsidP="00A3732C">
      <w:pPr>
        <w:widowControl/>
        <w:numPr>
          <w:ilvl w:val="0"/>
          <w:numId w:val="142"/>
        </w:numPr>
        <w:spacing w:line="276" w:lineRule="auto"/>
        <w:ind w:left="993"/>
        <w:jc w:val="both"/>
        <w:rPr>
          <w:rFonts w:asciiTheme="minorHAnsi" w:eastAsia="Calibri" w:hAnsiTheme="minorHAnsi" w:cstheme="minorHAnsi"/>
        </w:rPr>
      </w:pPr>
      <w:r w:rsidRPr="00285D58">
        <w:rPr>
          <w:rFonts w:asciiTheme="minorHAnsi" w:eastAsia="Calibri" w:hAnsiTheme="minorHAnsi" w:cstheme="minorHAnsi"/>
        </w:rPr>
        <w:t xml:space="preserve">Componente </w:t>
      </w:r>
      <w:r w:rsidR="00A909F8" w:rsidRPr="00285D58">
        <w:rPr>
          <w:rFonts w:asciiTheme="minorHAnsi" w:eastAsia="Calibri" w:hAnsiTheme="minorHAnsi" w:cstheme="minorHAnsi"/>
        </w:rPr>
        <w:t>Norte</w:t>
      </w:r>
      <w:r w:rsidRPr="00285D58">
        <w:rPr>
          <w:rFonts w:asciiTheme="minorHAnsi" w:eastAsia="Calibri" w:hAnsiTheme="minorHAnsi" w:cstheme="minorHAnsi"/>
        </w:rPr>
        <w:t>: Obras y Equipamiento Electromecánico</w:t>
      </w:r>
      <w:sdt>
        <w:sdtPr>
          <w:rPr>
            <w:rFonts w:asciiTheme="minorHAnsi" w:hAnsiTheme="minorHAnsi" w:cstheme="minorHAnsi"/>
          </w:rPr>
          <w:tag w:val="goog_rdk_25"/>
          <w:id w:val="-1910377269"/>
        </w:sdt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ejecutados en:</w:t>
      </w:r>
    </w:p>
    <w:p w14:paraId="77B022B4" w14:textId="33714829" w:rsidR="00A909F8"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EDI</w:t>
      </w:r>
      <w:r w:rsidR="007422BA" w:rsidRPr="00285D58">
        <w:rPr>
          <w:rFonts w:asciiTheme="minorHAnsi" w:eastAsia="Calibri" w:hAnsiTheme="minorHAnsi" w:cstheme="minorHAnsi"/>
          <w:color w:val="000000"/>
        </w:rPr>
        <w:t xml:space="preserve"> Teleférico Estación San Juan – Estación Maizal</w:t>
      </w:r>
      <w:r w:rsidRPr="00285D58">
        <w:rPr>
          <w:rFonts w:asciiTheme="minorHAnsi" w:eastAsia="Calibri" w:hAnsiTheme="minorHAnsi" w:cstheme="minorHAnsi"/>
          <w:color w:val="000000"/>
        </w:rPr>
        <w:t xml:space="preserve"> y </w:t>
      </w:r>
      <w:r w:rsidR="007422BA" w:rsidRPr="00285D58">
        <w:rPr>
          <w:rFonts w:asciiTheme="minorHAnsi" w:eastAsia="Calibri" w:hAnsiTheme="minorHAnsi" w:cstheme="minorHAnsi"/>
          <w:color w:val="000000"/>
        </w:rPr>
        <w:t>Teleférico Estación Maizal – Estación Abra</w:t>
      </w:r>
      <w:r w:rsidR="00A909F8" w:rsidRPr="00285D58">
        <w:rPr>
          <w:rFonts w:asciiTheme="minorHAnsi" w:eastAsia="Calibri" w:hAnsiTheme="minorHAnsi" w:cstheme="minorHAnsi"/>
          <w:color w:val="000000"/>
        </w:rPr>
        <w:t xml:space="preserve"> Choquequirao</w:t>
      </w:r>
    </w:p>
    <w:p w14:paraId="197BCBFF" w14:textId="52F13426"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Estación Central Yanama</w:t>
      </w:r>
    </w:p>
    <w:p w14:paraId="3D4DC596" w14:textId="0A6A7E2F"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 xml:space="preserve">Vía Turística </w:t>
      </w:r>
      <w:r w:rsidR="00A909F8" w:rsidRPr="00285D58">
        <w:rPr>
          <w:rFonts w:asciiTheme="minorHAnsi" w:eastAsia="Calibri" w:hAnsiTheme="minorHAnsi" w:cstheme="minorHAnsi"/>
          <w:color w:val="000000"/>
        </w:rPr>
        <w:t xml:space="preserve">Estación Central </w:t>
      </w:r>
      <w:r w:rsidR="007422BA" w:rsidRPr="00285D58">
        <w:rPr>
          <w:rFonts w:asciiTheme="minorHAnsi" w:eastAsia="Calibri" w:hAnsiTheme="minorHAnsi" w:cstheme="minorHAnsi"/>
          <w:color w:val="000000"/>
        </w:rPr>
        <w:t>Yanama – Estación San Juan</w:t>
      </w:r>
    </w:p>
    <w:p w14:paraId="6BA1DE10" w14:textId="32778586" w:rsidR="007422BA" w:rsidRPr="00285D58" w:rsidRDefault="007422BA" w:rsidP="00A3732C">
      <w:pPr>
        <w:widowControl/>
        <w:numPr>
          <w:ilvl w:val="0"/>
          <w:numId w:val="142"/>
        </w:numPr>
        <w:spacing w:line="276" w:lineRule="auto"/>
        <w:ind w:left="993"/>
        <w:jc w:val="both"/>
        <w:rPr>
          <w:rFonts w:asciiTheme="minorHAnsi" w:eastAsia="Calibri" w:hAnsiTheme="minorHAnsi" w:cstheme="minorHAnsi"/>
        </w:rPr>
      </w:pPr>
      <w:r w:rsidRPr="00285D58">
        <w:rPr>
          <w:rFonts w:asciiTheme="minorHAnsi" w:eastAsia="Calibri" w:hAnsiTheme="minorHAnsi" w:cstheme="minorHAnsi"/>
        </w:rPr>
        <w:t xml:space="preserve">Componente </w:t>
      </w:r>
      <w:r w:rsidR="00A909F8" w:rsidRPr="00285D58">
        <w:rPr>
          <w:rFonts w:asciiTheme="minorHAnsi" w:eastAsia="Calibri" w:hAnsiTheme="minorHAnsi" w:cstheme="minorHAnsi"/>
        </w:rPr>
        <w:t>Sur</w:t>
      </w:r>
      <w:r w:rsidRPr="00285D58">
        <w:rPr>
          <w:rFonts w:asciiTheme="minorHAnsi" w:eastAsia="Calibri" w:hAnsiTheme="minorHAnsi" w:cstheme="minorHAnsi"/>
        </w:rPr>
        <w:t>: Obras y Equipamiento Electromecánico</w:t>
      </w:r>
      <w:sdt>
        <w:sdtPr>
          <w:rPr>
            <w:rFonts w:asciiTheme="minorHAnsi" w:hAnsiTheme="minorHAnsi" w:cstheme="minorHAnsi"/>
          </w:rPr>
          <w:tag w:val="goog_rdk_26"/>
          <w:id w:val="-1884707482"/>
        </w:sdtPr>
        <w:sdtContent>
          <w:r w:rsidRPr="00285D58">
            <w:rPr>
              <w:rFonts w:asciiTheme="minorHAnsi" w:eastAsia="Calibri" w:hAnsiTheme="minorHAnsi" w:cstheme="minorHAnsi"/>
            </w:rPr>
            <w:t xml:space="preserve"> y buses</w:t>
          </w:r>
        </w:sdtContent>
      </w:sdt>
      <w:r w:rsidRPr="00285D58">
        <w:rPr>
          <w:rFonts w:asciiTheme="minorHAnsi" w:eastAsia="Calibri" w:hAnsiTheme="minorHAnsi" w:cstheme="minorHAnsi"/>
        </w:rPr>
        <w:t xml:space="preserve"> ejecutados en:</w:t>
      </w:r>
    </w:p>
    <w:p w14:paraId="3BD0EC19" w14:textId="508730AF"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Teleférico Estación Kiuñalla – Estación Unión</w:t>
      </w:r>
      <w:r w:rsidRPr="00285D58">
        <w:rPr>
          <w:rFonts w:asciiTheme="minorHAnsi" w:eastAsia="Calibri" w:hAnsiTheme="minorHAnsi" w:cstheme="minorHAnsi"/>
          <w:color w:val="000000"/>
        </w:rPr>
        <w:t>, dentro de los diez (10) meses computados desde el Día Calendario siguiente a la Fecha de Cierre.</w:t>
      </w:r>
    </w:p>
    <w:p w14:paraId="2CA89A77" w14:textId="124C6805"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EDI </w:t>
      </w:r>
      <w:r w:rsidR="007422BA" w:rsidRPr="00285D58">
        <w:rPr>
          <w:rFonts w:asciiTheme="minorHAnsi" w:eastAsia="Calibri" w:hAnsiTheme="minorHAnsi" w:cstheme="minorHAnsi"/>
          <w:color w:val="000000"/>
        </w:rPr>
        <w:t>Estación Central Huanipaca</w:t>
      </w:r>
      <w:r w:rsidRPr="00285D58">
        <w:rPr>
          <w:rFonts w:asciiTheme="minorHAnsi" w:eastAsia="Calibri" w:hAnsiTheme="minorHAnsi" w:cstheme="minorHAnsi"/>
          <w:color w:val="000000"/>
        </w:rPr>
        <w:t>, dentro de los seis (06) meses computados desde el Día Calendario siguiente a la Fecha de Cierre</w:t>
      </w:r>
    </w:p>
    <w:p w14:paraId="5B3A8B30" w14:textId="183F4749" w:rsidR="007422BA" w:rsidRPr="00285D58" w:rsidRDefault="00074EDD" w:rsidP="00A3732C">
      <w:pPr>
        <w:widowControl/>
        <w:numPr>
          <w:ilvl w:val="0"/>
          <w:numId w:val="136"/>
        </w:numPr>
        <w:spacing w:line="276" w:lineRule="auto"/>
        <w:ind w:left="993" w:hanging="283"/>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EDI</w:t>
      </w:r>
      <w:r w:rsidR="007422BA" w:rsidRPr="00285D58">
        <w:rPr>
          <w:rFonts w:asciiTheme="minorHAnsi" w:eastAsia="Calibri" w:hAnsiTheme="minorHAnsi" w:cstheme="minorHAnsi"/>
          <w:color w:val="000000"/>
        </w:rPr>
        <w:t xml:space="preserve"> Vía Turística Kiuñalla – Estación Kiuñalla</w:t>
      </w:r>
      <w:r w:rsidR="001909B6" w:rsidRPr="00285D58">
        <w:rPr>
          <w:rFonts w:asciiTheme="minorHAnsi" w:eastAsia="Calibri" w:hAnsiTheme="minorHAnsi" w:cstheme="minorHAnsi"/>
          <w:color w:val="000000"/>
        </w:rPr>
        <w:t>, dentro de los cuatro (04) meses computados desde el Día Calendario siguiente a la Fecha de Cierre</w:t>
      </w:r>
    </w:p>
    <w:p w14:paraId="6FFAA6F9" w14:textId="77777777" w:rsidR="007422BA" w:rsidRPr="00285D58" w:rsidRDefault="007422BA" w:rsidP="008D1FFF">
      <w:pPr>
        <w:spacing w:line="276" w:lineRule="auto"/>
        <w:ind w:left="567"/>
        <w:jc w:val="both"/>
        <w:rPr>
          <w:rFonts w:asciiTheme="minorHAnsi" w:eastAsia="Calibri" w:hAnsiTheme="minorHAnsi" w:cstheme="minorHAnsi"/>
        </w:rPr>
      </w:pPr>
    </w:p>
    <w:p w14:paraId="7DE485EE" w14:textId="77777777" w:rsidR="007422BA" w:rsidRPr="00285D58" w:rsidRDefault="007422BA" w:rsidP="008D1FFF">
      <w:pPr>
        <w:spacing w:line="276" w:lineRule="auto"/>
        <w:ind w:left="567"/>
        <w:jc w:val="both"/>
        <w:rPr>
          <w:rFonts w:asciiTheme="minorHAnsi" w:eastAsia="Calibri" w:hAnsiTheme="minorHAnsi" w:cstheme="minorHAnsi"/>
          <w:b/>
        </w:rPr>
      </w:pPr>
      <w:r w:rsidRPr="00285D58">
        <w:rPr>
          <w:rFonts w:asciiTheme="minorHAnsi" w:eastAsia="Calibri" w:hAnsiTheme="minorHAnsi" w:cstheme="minorHAnsi"/>
        </w:rPr>
        <w:t xml:space="preserve">Se menciona a </w:t>
      </w:r>
      <w:r w:rsidRPr="00285D58">
        <w:rPr>
          <w:rFonts w:asciiTheme="minorHAnsi" w:eastAsia="Calibri" w:hAnsiTheme="minorHAnsi" w:cstheme="minorHAnsi"/>
          <w:i/>
        </w:rPr>
        <w:t>Componentes</w:t>
      </w:r>
      <w:r w:rsidRPr="00285D58">
        <w:rPr>
          <w:rFonts w:asciiTheme="minorHAnsi" w:eastAsia="Calibri" w:hAnsiTheme="minorHAnsi" w:cstheme="minorHAnsi"/>
        </w:rPr>
        <w:t xml:space="preserve"> cuando se habla de Componente Sur y Componente Norte en conjunto</w:t>
      </w:r>
      <w:r w:rsidRPr="00285D58">
        <w:rPr>
          <w:rFonts w:asciiTheme="minorHAnsi" w:eastAsia="Calibri" w:hAnsiTheme="minorHAnsi" w:cstheme="minorHAnsi"/>
          <w:b/>
        </w:rPr>
        <w:t>.</w:t>
      </w:r>
    </w:p>
    <w:p w14:paraId="42F2F5D2"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7DCD449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Conservación:</w:t>
      </w:r>
    </w:p>
    <w:p w14:paraId="46CD43C0"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rPr>
        <w:t>Conjunto de operaciones destinadas a conservar el estado especificado de las edificaciones, obras, instalaciones y Equipamiento Electromecánico, así como el de sus estructuras, subestructuras, elementos o subcomponentes.</w:t>
      </w:r>
    </w:p>
    <w:p w14:paraId="4BACEFFF"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447FDBE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Custodia:</w:t>
      </w:r>
    </w:p>
    <w:p w14:paraId="78243E0D" w14:textId="23D597B2"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Comprende las acciones de una correcta diligencia de protección, custodia, conservación y mantenimiento que debe desarrollar el CONCESIONARIO para garantizar la integridad de los Bienes de la Concesión y de los Bienes Afectados a la Concesión, que le sean entregados desde la firma del </w:t>
      </w:r>
      <w:r w:rsidRPr="00285D58">
        <w:rPr>
          <w:rFonts w:asciiTheme="minorHAnsi" w:hAnsiTheme="minorHAnsi" w:cstheme="minorHAnsi"/>
          <w:lang w:val="es-PE"/>
        </w:rPr>
        <w:t>Acta de Entrega de Áreas de la Concesión</w:t>
      </w:r>
      <w:r w:rsidRPr="00285D58">
        <w:rPr>
          <w:rFonts w:asciiTheme="minorHAnsi" w:eastAsia="Calibri" w:hAnsiTheme="minorHAnsi" w:cstheme="minorHAnsi"/>
          <w:color w:val="000000"/>
        </w:rPr>
        <w:t xml:space="preserve"> hasta la suscripción del Acta de Reversión de los Bienes.</w:t>
      </w:r>
      <w:r w:rsidR="00285D58" w:rsidRPr="00285D58">
        <w:rPr>
          <w:rFonts w:asciiTheme="minorHAnsi" w:eastAsia="Calibri" w:hAnsiTheme="minorHAnsi" w:cstheme="minorHAnsi"/>
          <w:color w:val="000000"/>
        </w:rPr>
        <w:t xml:space="preserve"> </w:t>
      </w:r>
    </w:p>
    <w:p w14:paraId="216D72B5" w14:textId="77777777" w:rsidR="007422BA" w:rsidRPr="00285D58" w:rsidRDefault="007422BA" w:rsidP="008D1FFF">
      <w:pPr>
        <w:spacing w:line="276" w:lineRule="auto"/>
        <w:ind w:left="567"/>
        <w:jc w:val="both"/>
        <w:rPr>
          <w:rFonts w:asciiTheme="minorHAnsi" w:eastAsia="Calibri" w:hAnsiTheme="minorHAnsi" w:cstheme="minorHAnsi"/>
        </w:rPr>
      </w:pPr>
    </w:p>
    <w:p w14:paraId="7ED6588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Días:</w:t>
      </w:r>
    </w:p>
    <w:p w14:paraId="000E2309"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Son los días hábiles, es decir, aquellos que no sean sábado, domingo o feriado no laborable en la provincia de Lima o en las localidades del Proyecto. También se entienden como feriados los días que no sean laborables para el sector público. Los plazos establecidos en el presente Contrato de Concesión se contabilizarán desde el día siguiente de recibida la notificación.</w:t>
      </w:r>
      <w:r w:rsidRPr="00285D58">
        <w:rPr>
          <w:rFonts w:asciiTheme="minorHAnsi" w:eastAsia="Calibri" w:hAnsiTheme="minorHAnsi" w:cstheme="minorHAnsi"/>
          <w:color w:val="000000"/>
        </w:rPr>
        <w:tab/>
      </w:r>
    </w:p>
    <w:p w14:paraId="3962BF8D" w14:textId="77777777" w:rsidR="007422BA" w:rsidRPr="00285D58" w:rsidRDefault="007422BA" w:rsidP="008D1FFF">
      <w:pPr>
        <w:spacing w:line="276" w:lineRule="auto"/>
        <w:ind w:firstLine="567"/>
        <w:jc w:val="both"/>
        <w:rPr>
          <w:rFonts w:asciiTheme="minorHAnsi" w:eastAsia="Calibri" w:hAnsiTheme="minorHAnsi" w:cstheme="minorHAnsi"/>
        </w:rPr>
      </w:pPr>
    </w:p>
    <w:p w14:paraId="1C5B4F4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Días Calendario:</w:t>
      </w:r>
    </w:p>
    <w:p w14:paraId="75FE2498"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Son los días hábiles, no hábiles y feriados. Los plazos establecidos en el presente Contrato de Concesión se contabilizarán desde el día siguiente de recibida la notificación.</w:t>
      </w:r>
    </w:p>
    <w:p w14:paraId="31CEE371"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tab/>
      </w:r>
    </w:p>
    <w:p w14:paraId="68F8223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“Dólar o Dólares o Dólar Americano o US$”</w:t>
      </w:r>
    </w:p>
    <w:p w14:paraId="124592B7"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Es la moneda de curso legal en los Estados Unidos de América.</w:t>
      </w:r>
    </w:p>
    <w:p w14:paraId="121A3E31" w14:textId="77777777" w:rsidR="007422BA" w:rsidRPr="00285D58" w:rsidRDefault="007422BA" w:rsidP="008D1FFF">
      <w:pPr>
        <w:spacing w:line="276" w:lineRule="auto"/>
        <w:ind w:firstLine="567"/>
        <w:jc w:val="both"/>
        <w:rPr>
          <w:rFonts w:asciiTheme="minorHAnsi" w:eastAsia="Calibri" w:hAnsiTheme="minorHAnsi" w:cstheme="minorHAnsi"/>
        </w:rPr>
      </w:pPr>
    </w:p>
    <w:p w14:paraId="13D08AC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Afiliada:</w:t>
      </w:r>
    </w:p>
    <w:p w14:paraId="42680DB7"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Una empresa será considerada afiliada a otra empresa cuando el Control de dichas empresas se encuentre en poder de una misma Empresa Matriz.</w:t>
      </w:r>
    </w:p>
    <w:p w14:paraId="2CE30C22" w14:textId="77777777" w:rsidR="007422BA" w:rsidRPr="00285D58" w:rsidRDefault="007422BA" w:rsidP="008D1FFF">
      <w:pPr>
        <w:spacing w:line="276" w:lineRule="auto"/>
        <w:jc w:val="both"/>
        <w:rPr>
          <w:rFonts w:asciiTheme="minorHAnsi" w:eastAsia="Calibri" w:hAnsiTheme="minorHAnsi" w:cstheme="minorHAnsi"/>
        </w:rPr>
      </w:pPr>
    </w:p>
    <w:p w14:paraId="1D55485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Matriz:</w:t>
      </w:r>
    </w:p>
    <w:p w14:paraId="6BC5498F"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aquella empresa que posee el Control de una o varias empresas. También está considerada en esta definición aquella empresa que posee el Control de una Empresa Matriz, tal como esta ha sido definida, y así sucesivamente.</w:t>
      </w:r>
    </w:p>
    <w:p w14:paraId="0AA3DAE1" w14:textId="77777777" w:rsidR="007422BA" w:rsidRPr="00285D58" w:rsidRDefault="007422BA" w:rsidP="008D1FFF">
      <w:pPr>
        <w:spacing w:line="276" w:lineRule="auto"/>
        <w:ind w:firstLine="567"/>
        <w:jc w:val="both"/>
        <w:rPr>
          <w:rFonts w:asciiTheme="minorHAnsi" w:eastAsia="Calibri" w:hAnsiTheme="minorHAnsi" w:cstheme="minorHAnsi"/>
        </w:rPr>
      </w:pPr>
    </w:p>
    <w:p w14:paraId="4B109AD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Subsidiaria:</w:t>
      </w:r>
    </w:p>
    <w:p w14:paraId="57101CCA"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aquella empresa cuyo Control es ejercido por una Empresa Matriz. También considerada en la presente definición aquella empresa cuyo Control está en manos de una Empresa Subsidiaria, tal como ésta ha sido definida, y así sucesivamente.</w:t>
      </w:r>
    </w:p>
    <w:p w14:paraId="202D5B8F" w14:textId="77777777" w:rsidR="007422BA" w:rsidRPr="00285D58" w:rsidRDefault="007422BA"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color w:val="000000"/>
        </w:rPr>
        <w:lastRenderedPageBreak/>
        <w:tab/>
      </w:r>
    </w:p>
    <w:p w14:paraId="071E3F3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Empresa Vinculada:</w:t>
      </w:r>
    </w:p>
    <w:p w14:paraId="2E6ADDCB"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cualquier Empresa Afiliada, Matriz o Subsidiaria y se presume la existencia de vinculación, en cualquiera de los siguientes casos:</w:t>
      </w:r>
    </w:p>
    <w:p w14:paraId="54CB87EA" w14:textId="77777777" w:rsidR="007422BA" w:rsidRPr="00285D58" w:rsidRDefault="007422BA" w:rsidP="00A3732C">
      <w:pPr>
        <w:widowControl/>
        <w:numPr>
          <w:ilvl w:val="0"/>
          <w:numId w:val="141"/>
        </w:numPr>
        <w:pBdr>
          <w:top w:val="nil"/>
          <w:left w:val="nil"/>
          <w:bottom w:val="nil"/>
          <w:right w:val="nil"/>
          <w:between w:val="nil"/>
        </w:pBdr>
        <w:spacing w:line="276" w:lineRule="auto"/>
        <w:ind w:firstLine="993"/>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forman parte del mismo grupo económico.</w:t>
      </w:r>
    </w:p>
    <w:p w14:paraId="1F2A0DAD"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una misma garantía respalda las obligaciones de ambas, o cuando más del 50% de las de una de ellas son garantizadas por la otra, y esta otra no es empresa del sistema financiero.</w:t>
      </w:r>
    </w:p>
    <w:p w14:paraId="2B5B6E61"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más del 50% de las obligaciones de una persona jurídica son acreencias de la otra, y esta otra no es empresa del sistema financiero.</w:t>
      </w:r>
    </w:p>
    <w:p w14:paraId="6DA6527B"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una persona jurídica tiene, directa o indirectamente, una participación en el capital social de otra que le permite tener presencia en su directorio.</w:t>
      </w:r>
    </w:p>
    <w:p w14:paraId="20B73152" w14:textId="77777777" w:rsidR="007422BA" w:rsidRPr="00285D58" w:rsidRDefault="007422BA" w:rsidP="00A3732C">
      <w:pPr>
        <w:widowControl/>
        <w:numPr>
          <w:ilvl w:val="0"/>
          <w:numId w:val="141"/>
        </w:numPr>
        <w:pBdr>
          <w:top w:val="nil"/>
          <w:left w:val="nil"/>
          <w:bottom w:val="nil"/>
          <w:right w:val="nil"/>
          <w:between w:val="nil"/>
        </w:pBdr>
        <w:spacing w:line="276" w:lineRule="auto"/>
        <w:ind w:left="1418" w:hanging="425"/>
        <w:jc w:val="both"/>
        <w:rPr>
          <w:rFonts w:asciiTheme="minorHAnsi" w:eastAsia="Calibri" w:hAnsiTheme="minorHAnsi" w:cstheme="minorHAnsi"/>
          <w:color w:val="000000"/>
        </w:rPr>
      </w:pPr>
      <w:r w:rsidRPr="00285D58">
        <w:rPr>
          <w:rFonts w:asciiTheme="minorHAnsi" w:eastAsia="Calibri" w:hAnsiTheme="minorHAnsi" w:cstheme="minorHAnsi"/>
          <w:color w:val="000000"/>
        </w:rPr>
        <w:t>Cuando un tercio o más de los miembros del directorio o de los gerentes de una de ellas son directores, gerentes o trabajadores de la otra.</w:t>
      </w:r>
    </w:p>
    <w:p w14:paraId="2EEBDB5A" w14:textId="77777777" w:rsidR="007422BA" w:rsidRPr="00285D58" w:rsidRDefault="007422BA" w:rsidP="008D1FFF">
      <w:pPr>
        <w:spacing w:line="276" w:lineRule="auto"/>
        <w:ind w:firstLine="567"/>
        <w:jc w:val="both"/>
        <w:rPr>
          <w:rFonts w:asciiTheme="minorHAnsi" w:eastAsia="Calibri" w:hAnsiTheme="minorHAnsi" w:cstheme="minorHAnsi"/>
        </w:rPr>
      </w:pPr>
    </w:p>
    <w:p w14:paraId="294AC6E4" w14:textId="77777777" w:rsidR="007422BA" w:rsidRPr="00285D58" w:rsidRDefault="00000000" w:rsidP="00A3732C">
      <w:pPr>
        <w:widowControl/>
        <w:numPr>
          <w:ilvl w:val="0"/>
          <w:numId w:val="133"/>
        </w:numPr>
        <w:spacing w:line="276" w:lineRule="auto"/>
        <w:ind w:left="360"/>
        <w:jc w:val="both"/>
        <w:rPr>
          <w:rFonts w:asciiTheme="minorHAnsi" w:eastAsia="Calibri" w:hAnsiTheme="minorHAnsi" w:cstheme="minorHAnsi"/>
          <w:color w:val="000000"/>
        </w:rPr>
      </w:pPr>
      <w:sdt>
        <w:sdtPr>
          <w:rPr>
            <w:rFonts w:asciiTheme="minorHAnsi" w:hAnsiTheme="minorHAnsi" w:cstheme="minorHAnsi"/>
          </w:rPr>
          <w:tag w:val="goog_rdk_27"/>
          <w:id w:val="-1622298267"/>
        </w:sdtPr>
        <w:sdtContent/>
      </w:sdt>
      <w:sdt>
        <w:sdtPr>
          <w:rPr>
            <w:rFonts w:asciiTheme="minorHAnsi" w:hAnsiTheme="minorHAnsi" w:cstheme="minorHAnsi"/>
          </w:rPr>
          <w:tag w:val="goog_rdk_28"/>
          <w:id w:val="-641961388"/>
        </w:sdtPr>
        <w:sdtContent/>
      </w:sdt>
      <w:sdt>
        <w:sdtPr>
          <w:rPr>
            <w:rFonts w:asciiTheme="minorHAnsi" w:hAnsiTheme="minorHAnsi" w:cstheme="minorHAnsi"/>
          </w:rPr>
          <w:tag w:val="goog_rdk_29"/>
          <w:id w:val="1408490531"/>
        </w:sdtPr>
        <w:sdtContent/>
      </w:sdt>
      <w:r w:rsidR="007422BA" w:rsidRPr="00285D58">
        <w:rPr>
          <w:rFonts w:asciiTheme="minorHAnsi" w:eastAsia="Calibri" w:hAnsiTheme="minorHAnsi" w:cstheme="minorHAnsi"/>
          <w:b/>
          <w:color w:val="000000"/>
        </w:rPr>
        <w:t>Endeudamiento Garantizado Permitido:</w:t>
      </w:r>
    </w:p>
    <w:p w14:paraId="5ADE36FE" w14:textId="77777777" w:rsidR="00A909F8" w:rsidRPr="00285D58" w:rsidRDefault="00A909F8"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Consiste en el endeudamiento por concepto de operaciones de financiamiento o crédito, emisión de valores mobiliarios o préstamos de dinero, todos ellos, otorgados por cualquier Acreedor Permitido bajo cualquier modalidad, cuyos fondos serán destinados al cumplimiento de las obligaciones del Contrato de Concesión, incluyendo cualquier renovación, reprogramación o refinanciamiento de tal endeudamiento que se encuentre garantizado por un(os) Acreedor(es) Permitido(s); cuyos términos financieros principales, comprendiendo los montos del principal, tasa o tasas de interés, disposiciones sobre amortización u otros términos similares, cuenten con la conformidad de PROINVERSIÓN, conforme a lo dispuesto en el Capítulo VIII.</w:t>
      </w:r>
    </w:p>
    <w:p w14:paraId="19F08BC9" w14:textId="77777777" w:rsidR="00A909F8" w:rsidRPr="00285D58" w:rsidRDefault="00A909F8" w:rsidP="008D1FFF">
      <w:pPr>
        <w:spacing w:line="276" w:lineRule="auto"/>
        <w:ind w:left="425"/>
        <w:jc w:val="both"/>
        <w:rPr>
          <w:rFonts w:asciiTheme="minorHAnsi" w:eastAsia="Calibri" w:hAnsiTheme="minorHAnsi" w:cstheme="minorHAnsi"/>
        </w:rPr>
      </w:pPr>
    </w:p>
    <w:p w14:paraId="3C2F6BDF" w14:textId="043E3C3E" w:rsidR="00A909F8" w:rsidRPr="00285D58" w:rsidRDefault="00A909F8"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No serán considerados Endeudamientos Garantizados Permitidos aquellos conceptos de operaciones de financiamiento o crédito, emisión de valores mobiliarios o instrumentos de deuda o préstamo de dinero, cuyos fondos se destinen para financiar Bienes del CONCESIONARIO.</w:t>
      </w:r>
    </w:p>
    <w:p w14:paraId="2F7BBCA1" w14:textId="77777777" w:rsidR="007422BA" w:rsidRPr="00285D58" w:rsidRDefault="007422BA" w:rsidP="008D1FFF">
      <w:pPr>
        <w:pBdr>
          <w:top w:val="nil"/>
          <w:left w:val="nil"/>
          <w:bottom w:val="nil"/>
          <w:right w:val="nil"/>
          <w:between w:val="nil"/>
        </w:pBdr>
        <w:spacing w:line="276" w:lineRule="auto"/>
        <w:ind w:left="720" w:right="141"/>
        <w:jc w:val="both"/>
        <w:rPr>
          <w:rFonts w:asciiTheme="minorHAnsi" w:eastAsia="Calibri" w:hAnsiTheme="minorHAnsi" w:cstheme="minorHAnsi"/>
          <w:color w:val="000000"/>
        </w:rPr>
      </w:pPr>
    </w:p>
    <w:p w14:paraId="39002C4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Entidades Financieras:</w:t>
      </w:r>
    </w:p>
    <w:p w14:paraId="56AE833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Son</w:t>
      </w:r>
      <w:r w:rsidRPr="00285D58">
        <w:rPr>
          <w:rFonts w:asciiTheme="minorHAnsi" w:eastAsia="Calibri" w:hAnsiTheme="minorHAnsi" w:cstheme="minorHAnsi"/>
          <w:color w:val="000000"/>
        </w:rPr>
        <w:t xml:space="preserve"> las siguientes:</w:t>
      </w:r>
    </w:p>
    <w:p w14:paraId="7FEBD6DF" w14:textId="7777777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Las empresas bancarias y de seguros definidas conforme a la Ley N° 26702, Ley General del Sistema Financiero y del Sistema de Seguros y Orgánica de la Superintendencia de Banca y Seguros, o norma que la modifique o sustituya;</w:t>
      </w:r>
    </w:p>
    <w:p w14:paraId="159F34AE" w14:textId="7777777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Los bancos extranjeros de primera categoría; y,</w:t>
      </w:r>
    </w:p>
    <w:p w14:paraId="17B4C0DE" w14:textId="1072BD57" w:rsidR="007422BA" w:rsidRPr="00285D58" w:rsidRDefault="007422BA" w:rsidP="00A3732C">
      <w:pPr>
        <w:widowControl/>
        <w:numPr>
          <w:ilvl w:val="0"/>
          <w:numId w:val="149"/>
        </w:numPr>
        <w:spacing w:line="276" w:lineRule="auto"/>
        <w:ind w:left="1134" w:hanging="14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entidades financieras internacionales, a las que se refiere el Anexo </w:t>
      </w:r>
      <w:r w:rsidRPr="00285D58">
        <w:rPr>
          <w:rFonts w:asciiTheme="minorHAnsi" w:eastAsia="Calibri" w:hAnsiTheme="minorHAnsi" w:cstheme="minorHAnsi"/>
        </w:rPr>
        <w:t>04</w:t>
      </w:r>
      <w:r w:rsidRPr="00285D58">
        <w:rPr>
          <w:rFonts w:asciiTheme="minorHAnsi" w:eastAsia="Calibri" w:hAnsiTheme="minorHAnsi" w:cstheme="minorHAnsi"/>
          <w:color w:val="000000"/>
        </w:rPr>
        <w:t>.</w:t>
      </w:r>
    </w:p>
    <w:p w14:paraId="0C57CD55" w14:textId="77777777" w:rsidR="007422BA" w:rsidRPr="00285D58" w:rsidRDefault="007422BA" w:rsidP="008D1FFF">
      <w:pPr>
        <w:spacing w:line="276" w:lineRule="auto"/>
        <w:ind w:firstLine="567"/>
        <w:jc w:val="both"/>
        <w:rPr>
          <w:rFonts w:asciiTheme="minorHAnsi" w:eastAsia="Calibri" w:hAnsiTheme="minorHAnsi" w:cstheme="minorHAnsi"/>
        </w:rPr>
      </w:pPr>
    </w:p>
    <w:p w14:paraId="1F6CF0B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Equipamiento Electromecánico:</w:t>
      </w:r>
    </w:p>
    <w:p w14:paraId="315ACD0F"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A lo largo del Contrato de Concesión, se entiende como Equipamiento Electromecánico a todos los componentes eléctricos y mecánicos que forman parte de la instalación de transporte por cable (teleférico) que, de acuerdo a la norma Europea, son los siguientes:</w:t>
      </w:r>
    </w:p>
    <w:p w14:paraId="03797D9D"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66D4963F"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0494E128"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Dispositivos mecánicos: </w:t>
      </w:r>
    </w:p>
    <w:p w14:paraId="5E8E6F15"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tensión de los cables </w:t>
      </w:r>
    </w:p>
    <w:p w14:paraId="19485146"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06629957"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0FA146D8"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392794B3"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3E8074C3"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610C3F98"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2DF0937F"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01572A7C"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8058522"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56D111AA"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2D9F8176"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5B364DCE" w14:textId="77777777" w:rsidR="007422BA" w:rsidRPr="00285D58" w:rsidRDefault="007422BA" w:rsidP="00A3732C">
      <w:pPr>
        <w:widowControl/>
        <w:numPr>
          <w:ilvl w:val="0"/>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4D53ABAE" w14:textId="77777777"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1DEE15DE" w14:textId="26AA25BB" w:rsidR="007422BA" w:rsidRPr="00285D58" w:rsidRDefault="007422BA" w:rsidP="00A3732C">
      <w:pPr>
        <w:widowControl/>
        <w:numPr>
          <w:ilvl w:val="1"/>
          <w:numId w:val="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550DE61F" w14:textId="39197D3F" w:rsidR="00336BDD" w:rsidRPr="00285D58" w:rsidRDefault="00336BDD" w:rsidP="00627533">
      <w:pPr>
        <w:spacing w:line="276" w:lineRule="auto"/>
        <w:ind w:left="425"/>
        <w:jc w:val="both"/>
        <w:rPr>
          <w:rFonts w:asciiTheme="minorHAnsi" w:eastAsia="Calibri" w:hAnsiTheme="minorHAnsi" w:cstheme="minorHAnsi"/>
          <w:color w:val="000000"/>
        </w:rPr>
      </w:pPr>
      <w:r w:rsidRPr="00BB5F42">
        <w:rPr>
          <w:rFonts w:asciiTheme="minorHAnsi" w:eastAsia="Calibri" w:hAnsiTheme="minorHAnsi" w:cstheme="minorHAnsi"/>
          <w:color w:val="000000"/>
        </w:rPr>
        <w:t>El Equipamiento Electromecánico se remunera mediante el PPO y el PPD1.</w:t>
      </w:r>
    </w:p>
    <w:p w14:paraId="72002538" w14:textId="77777777" w:rsidR="00336BDD" w:rsidRPr="00285D58" w:rsidRDefault="00336BDD" w:rsidP="008D1FFF">
      <w:pPr>
        <w:spacing w:line="276" w:lineRule="auto"/>
        <w:ind w:left="360"/>
        <w:jc w:val="both"/>
        <w:rPr>
          <w:rFonts w:asciiTheme="minorHAnsi" w:eastAsia="Calibri" w:hAnsiTheme="minorHAnsi" w:cstheme="minorHAnsi"/>
          <w:b/>
          <w:color w:val="000000"/>
        </w:rPr>
      </w:pPr>
    </w:p>
    <w:p w14:paraId="415CCBC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Especificaciones mínimas para la elaboración del Estudio Definitivo de Ingeniería:</w:t>
      </w:r>
    </w:p>
    <w:p w14:paraId="2001AA6B" w14:textId="1CD665B6"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Requerimientos mínimos para la ejecución de los estudios básicos y elaboración de los Estudios Definitivos de Ingeniería que deberán ser cumplidos por el CONCESIONARIO y que se desarrollan en el Anexo </w:t>
      </w:r>
      <w:r w:rsidRPr="00285D58">
        <w:rPr>
          <w:rFonts w:asciiTheme="minorHAnsi" w:eastAsia="Calibri" w:hAnsiTheme="minorHAnsi" w:cstheme="minorHAnsi"/>
        </w:rPr>
        <w:t xml:space="preserve">08 </w:t>
      </w:r>
      <w:r w:rsidRPr="00285D58">
        <w:rPr>
          <w:rFonts w:asciiTheme="minorHAnsi" w:eastAsia="Calibri" w:hAnsiTheme="minorHAnsi" w:cstheme="minorHAnsi"/>
          <w:color w:val="000000"/>
        </w:rPr>
        <w:t>del presente Contrato. </w:t>
      </w:r>
    </w:p>
    <w:p w14:paraId="7AF395A5" w14:textId="77777777" w:rsidR="007422BA" w:rsidRPr="00285D58" w:rsidRDefault="007422BA" w:rsidP="008D1FFF">
      <w:pPr>
        <w:spacing w:line="276" w:lineRule="auto"/>
        <w:ind w:firstLine="567"/>
        <w:jc w:val="both"/>
        <w:rPr>
          <w:rFonts w:asciiTheme="minorHAnsi" w:eastAsia="Calibri" w:hAnsiTheme="minorHAnsi" w:cstheme="minorHAnsi"/>
        </w:rPr>
      </w:pPr>
    </w:p>
    <w:p w14:paraId="6DC0E5C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 xml:space="preserve">Especificaciones Técnicas Básicas </w:t>
      </w:r>
    </w:p>
    <w:p w14:paraId="1C3C19D4"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Se refiere a los criterios, estándares, parámetros técnicos y procedimientos que deben seguirse durante el diseño, construcción y mantenimiento del Proyecto. Comprende la descripción de los materiales, dimensiones, geometría, normas de calidad y requisitos necesarios para garantizar que las obras y el equipamiento electromecánico cumpla con las expectativas de funcionalidad, seguridad y durabilidad del Proyecto.</w:t>
      </w:r>
    </w:p>
    <w:p w14:paraId="48B78A58" w14:textId="77777777" w:rsidR="007422BA" w:rsidRPr="00285D58" w:rsidRDefault="007422BA" w:rsidP="008D1FFF">
      <w:pPr>
        <w:spacing w:line="276" w:lineRule="auto"/>
        <w:ind w:left="425"/>
        <w:jc w:val="both"/>
        <w:rPr>
          <w:rFonts w:asciiTheme="minorHAnsi" w:eastAsia="Calibri" w:hAnsiTheme="minorHAnsi" w:cstheme="minorHAnsi"/>
        </w:rPr>
      </w:pPr>
    </w:p>
    <w:p w14:paraId="444331E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Estudio Definitivo de Ingeniería o EDI:</w:t>
      </w:r>
    </w:p>
    <w:p w14:paraId="60DD4B65" w14:textId="6808A5F2"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documento de detalle que contiene la información necesaria y suficiente para permitir la ejecución y supervisión de las Obras, así como la implementación del Equipamiento Electromecánico, en cada Área de la Concesión, en consistencia con las Especificaciones Técnicas mínimas para la elaboración del Estudio Definitivo de Ingeniería. Es elaborado por el CONCESIONARIO, con la correspondiente conformidad del CONCEDENTE, previa opinión del Supervisor,</w:t>
      </w:r>
      <w:r w:rsidRPr="00285D58">
        <w:rPr>
          <w:rFonts w:asciiTheme="minorHAnsi" w:eastAsia="Calibri" w:hAnsiTheme="minorHAnsi" w:cstheme="minorHAnsi"/>
        </w:rPr>
        <w:t xml:space="preserve"> </w:t>
      </w:r>
      <w:r w:rsidRPr="00285D58">
        <w:rPr>
          <w:rFonts w:asciiTheme="minorHAnsi" w:eastAsia="Calibri" w:hAnsiTheme="minorHAnsi" w:cstheme="minorHAnsi"/>
          <w:color w:val="000000"/>
        </w:rPr>
        <w:t xml:space="preserve">que deberá contener el desarrollo del Proyecto en el Área de la Concesión respectiva a nivel definitivo, de conformidad con el Anexo </w:t>
      </w:r>
      <w:r w:rsidRPr="00285D58">
        <w:rPr>
          <w:rFonts w:asciiTheme="minorHAnsi" w:eastAsia="Calibri" w:hAnsiTheme="minorHAnsi" w:cstheme="minorHAnsi"/>
        </w:rPr>
        <w:t>08</w:t>
      </w:r>
      <w:r w:rsidRPr="00285D58">
        <w:rPr>
          <w:rFonts w:asciiTheme="minorHAnsi" w:eastAsia="Calibri" w:hAnsiTheme="minorHAnsi" w:cstheme="minorHAnsi"/>
          <w:color w:val="000000"/>
        </w:rPr>
        <w:t xml:space="preserve"> y la Propuesta Técnica del Adjudicatario del Anexo </w:t>
      </w:r>
      <w:r w:rsidRPr="00285D58">
        <w:rPr>
          <w:rFonts w:asciiTheme="minorHAnsi" w:eastAsia="Calibri" w:hAnsiTheme="minorHAnsi" w:cstheme="minorHAnsi"/>
        </w:rPr>
        <w:t>14</w:t>
      </w:r>
      <w:r w:rsidRPr="00285D58">
        <w:rPr>
          <w:rFonts w:asciiTheme="minorHAnsi" w:eastAsia="Calibri" w:hAnsiTheme="minorHAnsi" w:cstheme="minorHAnsi"/>
          <w:color w:val="000000"/>
        </w:rPr>
        <w:t>. Tiene carácter vinculante para la ejecución de las Obras y la implementación del Equipamiento Electromecánico.</w:t>
      </w:r>
    </w:p>
    <w:p w14:paraId="24A2468C" w14:textId="77777777" w:rsidR="007422BA" w:rsidRPr="00285D58" w:rsidRDefault="007422BA" w:rsidP="008D1FFF">
      <w:pPr>
        <w:spacing w:line="276" w:lineRule="auto"/>
        <w:ind w:firstLine="567"/>
        <w:jc w:val="both"/>
        <w:rPr>
          <w:rFonts w:asciiTheme="minorHAnsi" w:eastAsia="Calibri" w:hAnsiTheme="minorHAnsi" w:cstheme="minorHAnsi"/>
        </w:rPr>
      </w:pPr>
    </w:p>
    <w:p w14:paraId="00792F12" w14:textId="77777777" w:rsidR="007422BA" w:rsidRPr="00285D58" w:rsidRDefault="007422BA" w:rsidP="00A3732C">
      <w:pPr>
        <w:widowControl/>
        <w:numPr>
          <w:ilvl w:val="0"/>
          <w:numId w:val="133"/>
        </w:numPr>
        <w:tabs>
          <w:tab w:val="left" w:pos="849"/>
          <w:tab w:val="left" w:pos="850"/>
        </w:tabs>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 xml:space="preserve"> Incumplimiento de Nivel de Servicio</w:t>
      </w:r>
    </w:p>
    <w:p w14:paraId="440F8095" w14:textId="77777777" w:rsidR="007422BA" w:rsidRPr="00285D58" w:rsidRDefault="0000000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30"/>
          <w:id w:val="-1516840723"/>
        </w:sdtPr>
        <w:sdtContent/>
      </w:sdt>
      <w:sdt>
        <w:sdtPr>
          <w:rPr>
            <w:rFonts w:asciiTheme="minorHAnsi" w:hAnsiTheme="minorHAnsi" w:cstheme="minorHAnsi"/>
          </w:rPr>
          <w:tag w:val="goog_rdk_31"/>
          <w:id w:val="1543179605"/>
        </w:sdtPr>
        <w:sdtContent/>
      </w:sdt>
      <w:sdt>
        <w:sdtPr>
          <w:rPr>
            <w:rFonts w:asciiTheme="minorHAnsi" w:hAnsiTheme="minorHAnsi" w:cstheme="minorHAnsi"/>
          </w:rPr>
          <w:tag w:val="goog_rdk_32"/>
          <w:id w:val="-899279251"/>
          <w:showingPlcHdr/>
        </w:sdtPr>
        <w:sdtContent>
          <w:r w:rsidR="007422BA" w:rsidRPr="00285D58">
            <w:rPr>
              <w:rFonts w:asciiTheme="minorHAnsi" w:hAnsiTheme="minorHAnsi" w:cstheme="minorHAnsi"/>
            </w:rPr>
            <w:t xml:space="preserve">     </w:t>
          </w:r>
        </w:sdtContent>
      </w:sdt>
      <w:r w:rsidR="007422BA" w:rsidRPr="00285D58">
        <w:rPr>
          <w:rFonts w:asciiTheme="minorHAnsi" w:eastAsia="Calibri" w:hAnsiTheme="minorHAnsi" w:cstheme="minorHAnsi"/>
          <w:color w:val="000000"/>
        </w:rPr>
        <w:t>Es el incumplimiento del CONCESIONARIO de un Indicador de Desempeño, que inicia luego de finalizar el Periodo para Rectificar, sin que se haya solucionado el requerimiento de la Solicitud de Servicio.</w:t>
      </w:r>
    </w:p>
    <w:p w14:paraId="21C4B311"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1216577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de que el Indicador de Desempeño no tenga un Periodo para Rectificar o este sea cero, el Incumplimiento de Nivel de Servicio inicia a partir de la asignación del número de reporte y culminan con el cierre del reporte generado en el SIDIG.</w:t>
      </w:r>
    </w:p>
    <w:p w14:paraId="7E25295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72B0F88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Fecha de Cierre:</w:t>
      </w:r>
    </w:p>
    <w:p w14:paraId="0A3A425C"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Día en que se suscribe el Contrato de Concesión, entre el CONCEDENTE y el CONCESIONARIO, en la hora y lugar previstos para ello. </w:t>
      </w:r>
    </w:p>
    <w:p w14:paraId="781080A3"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C23D66A"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Fecha de Terminación</w:t>
      </w:r>
    </w:p>
    <w:p w14:paraId="75E57B3E" w14:textId="03385573"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Fecha en que se hace efectiva la Terminación, produciéndose los efectos de la cláusula 16.13 </w:t>
      </w:r>
      <w:r w:rsidR="003831D6">
        <w:rPr>
          <w:rFonts w:asciiTheme="minorHAnsi" w:eastAsia="Calibri" w:hAnsiTheme="minorHAnsi" w:cstheme="minorHAnsi"/>
          <w:color w:val="000000"/>
        </w:rPr>
        <w:t>a 16.18</w:t>
      </w:r>
      <w:r w:rsidRPr="00285D58">
        <w:rPr>
          <w:rFonts w:asciiTheme="minorHAnsi" w:eastAsia="Calibri" w:hAnsiTheme="minorHAnsi" w:cstheme="minorHAnsi"/>
          <w:color w:val="000000"/>
        </w:rPr>
        <w:t>.</w:t>
      </w:r>
    </w:p>
    <w:p w14:paraId="7FB5F873"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309489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Fideicomiso de Administración:</w:t>
      </w:r>
    </w:p>
    <w:p w14:paraId="1632A997"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Corresponde al Contrato de Fideicomiso que suscribirán el CONCEDENTE, el CONCESIONARIO y el Fiduciario designado para la administración de los flujos derivados del Proyecto.</w:t>
      </w:r>
    </w:p>
    <w:p w14:paraId="23CFD994" w14:textId="1860E6D4" w:rsidR="007422BA" w:rsidRPr="00285D58" w:rsidRDefault="0000000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33"/>
          <w:id w:val="-1499807886"/>
        </w:sdtPr>
        <w:sdtContent/>
      </w:sdt>
      <w:sdt>
        <w:sdtPr>
          <w:rPr>
            <w:rFonts w:asciiTheme="minorHAnsi" w:hAnsiTheme="minorHAnsi" w:cstheme="minorHAnsi"/>
          </w:rPr>
          <w:tag w:val="goog_rdk_34"/>
          <w:id w:val="-360748057"/>
        </w:sdtPr>
        <w:sdtContent/>
      </w:sdt>
    </w:p>
    <w:p w14:paraId="77DAC40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Garantía de Fiel Cumplimiento de Contrato:</w:t>
      </w:r>
    </w:p>
    <w:p w14:paraId="1E9F2267" w14:textId="74EF10FE"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las cartas fianzas o carta de crédito </w:t>
      </w:r>
      <w:r w:rsidRPr="00285D58">
        <w:rPr>
          <w:rFonts w:asciiTheme="minorHAnsi" w:eastAsia="Calibri" w:hAnsiTheme="minorHAnsi" w:cstheme="minorHAnsi"/>
          <w:i/>
          <w:color w:val="000000"/>
        </w:rPr>
        <w:t>stand by</w:t>
      </w:r>
      <w:r w:rsidRPr="00285D58">
        <w:rPr>
          <w:rFonts w:asciiTheme="minorHAnsi" w:eastAsia="Calibri" w:hAnsiTheme="minorHAnsi" w:cstheme="minorHAnsi"/>
          <w:color w:val="000000"/>
        </w:rPr>
        <w:t xml:space="preserve"> confirmadas por una Entidad Financiera conforme a los Anexos </w:t>
      </w:r>
      <w:r w:rsidRPr="00285D58">
        <w:rPr>
          <w:rFonts w:asciiTheme="minorHAnsi" w:eastAsia="Calibri" w:hAnsiTheme="minorHAnsi" w:cstheme="minorHAnsi"/>
        </w:rPr>
        <w:t>05 y 06</w:t>
      </w:r>
      <w:r w:rsidRPr="00285D58">
        <w:rPr>
          <w:rFonts w:asciiTheme="minorHAnsi" w:eastAsia="Calibri" w:hAnsiTheme="minorHAnsi" w:cstheme="minorHAnsi"/>
          <w:color w:val="000000"/>
        </w:rPr>
        <w:t xml:space="preserve"> que presentará el CONCESIONARIO a favor del CONCEDENTE cuya denominación estará acorde al periodo del Proyecto, conforme a lo establecido en </w:t>
      </w:r>
      <w:r w:rsidRPr="00285D58">
        <w:rPr>
          <w:rFonts w:asciiTheme="minorHAnsi" w:eastAsia="Calibri" w:hAnsiTheme="minorHAnsi" w:cstheme="minorHAnsi"/>
        </w:rPr>
        <w:t>el Capítulo XI</w:t>
      </w:r>
      <w:r w:rsidRPr="00285D58">
        <w:rPr>
          <w:rFonts w:asciiTheme="minorHAnsi" w:eastAsia="Calibri" w:hAnsiTheme="minorHAnsi" w:cstheme="minorHAnsi"/>
          <w:color w:val="000000"/>
        </w:rPr>
        <w:t>. </w:t>
      </w:r>
    </w:p>
    <w:p w14:paraId="59F78596"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7CC9FD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Podrán estar constituida por más de una carta fianza o, alternativamente, carta de crédito stand-by confirmada por una Entidad Financiera conforme a lo previsto en el Capítulo X del Contrato, a condición de que sumen el total de monto exigido para la correspondiente garantía.</w:t>
      </w:r>
    </w:p>
    <w:p w14:paraId="0AE3701C" w14:textId="77777777" w:rsidR="00ED3A19" w:rsidRDefault="00ED3A19" w:rsidP="008D1FFF">
      <w:pPr>
        <w:spacing w:line="276" w:lineRule="auto"/>
        <w:ind w:left="425"/>
        <w:jc w:val="both"/>
        <w:rPr>
          <w:rFonts w:asciiTheme="minorHAnsi" w:eastAsia="Calibri" w:hAnsiTheme="minorHAnsi" w:cstheme="minorHAnsi"/>
          <w:color w:val="000000"/>
        </w:rPr>
      </w:pPr>
    </w:p>
    <w:p w14:paraId="501DA8FE" w14:textId="1422820A"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Estas garantías deberán tener las características de ser solidarias, incondicionales, irrevocables, con renuncia expresa al beneficio de excusión y división, y de ejecución automática. El monto de la Garantía de Fiel Cumplimiento de Contrato no constituye un límite a las penalidades o indemnizaciones que puedan corresponder por los incumplimientos.</w:t>
      </w:r>
    </w:p>
    <w:p w14:paraId="1CE8EB99"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EA2FF76"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Conforme al Capítulo X, esta garantía está conformada por las siguientes:</w:t>
      </w:r>
    </w:p>
    <w:p w14:paraId="3E2F1228"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del Periodo Pre-Operativo</w:t>
      </w:r>
    </w:p>
    <w:p w14:paraId="2ED85C87"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del PPO</w:t>
      </w:r>
    </w:p>
    <w:p w14:paraId="3D627245" w14:textId="77777777" w:rsidR="007422BA" w:rsidRPr="00285D58" w:rsidRDefault="007422BA" w:rsidP="00A3732C">
      <w:pPr>
        <w:widowControl/>
        <w:numPr>
          <w:ilvl w:val="0"/>
          <w:numId w:val="1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Garantía de Fiel Cumplimiento de Periodo Operativo</w:t>
      </w:r>
    </w:p>
    <w:p w14:paraId="04C6A8FF"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544DEFA4"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Asimismo, las garantías serán presentadas por el CONCESIONARIO a favor del CONCEDENTE para garantizar durante su vigencia: </w:t>
      </w:r>
    </w:p>
    <w:p w14:paraId="4CEF3879"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El cumplimiento de todas sus obligaciones previstas en el Contrato de Concesión; </w:t>
      </w:r>
    </w:p>
    <w:p w14:paraId="10566841"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El pago de las penalidades; y, </w:t>
      </w:r>
    </w:p>
    <w:p w14:paraId="5DEA4779"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lastRenderedPageBreak/>
        <w:t>Las sumas ordenadas a pagar, mediante cosa decidida, sentencia definitiva firme o laudo arbitral exigible; y, </w:t>
      </w:r>
    </w:p>
    <w:p w14:paraId="7FC4E031" w14:textId="77777777" w:rsidR="007422BA" w:rsidRPr="00285D58" w:rsidRDefault="007422BA" w:rsidP="00A3732C">
      <w:pPr>
        <w:widowControl/>
        <w:numPr>
          <w:ilvl w:val="0"/>
          <w:numId w:val="131"/>
        </w:numPr>
        <w:spacing w:line="276" w:lineRule="auto"/>
        <w:ind w:left="1985" w:hanging="284"/>
        <w:jc w:val="both"/>
        <w:rPr>
          <w:rFonts w:asciiTheme="minorHAnsi" w:eastAsia="Calibri" w:hAnsiTheme="minorHAnsi" w:cstheme="minorHAnsi"/>
        </w:rPr>
      </w:pPr>
      <w:r w:rsidRPr="00285D58">
        <w:rPr>
          <w:rFonts w:asciiTheme="minorHAnsi" w:eastAsia="Calibri" w:hAnsiTheme="minorHAnsi" w:cstheme="minorHAnsi"/>
          <w:color w:val="000000"/>
        </w:rPr>
        <w:t>Otras declaraciones y estipulaciones previstas en el Contrato de Concesión.</w:t>
      </w:r>
    </w:p>
    <w:p w14:paraId="3ED9C5F1" w14:textId="77777777" w:rsidR="007422BA" w:rsidRPr="00285D58" w:rsidRDefault="007422BA" w:rsidP="008D1FFF">
      <w:pPr>
        <w:spacing w:line="276" w:lineRule="auto"/>
        <w:ind w:left="425"/>
        <w:jc w:val="both"/>
        <w:rPr>
          <w:rFonts w:asciiTheme="minorHAnsi" w:eastAsia="Calibri" w:hAnsiTheme="minorHAnsi" w:cstheme="minorHAnsi"/>
        </w:rPr>
      </w:pPr>
    </w:p>
    <w:p w14:paraId="438B780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Grupos de Interés</w:t>
      </w:r>
    </w:p>
    <w:p w14:paraId="58899231"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Son los grupos o individuos que son o se perciben como </w:t>
      </w:r>
      <w:sdt>
        <w:sdtPr>
          <w:rPr>
            <w:rFonts w:asciiTheme="minorHAnsi" w:hAnsiTheme="minorHAnsi" w:cstheme="minorHAnsi"/>
          </w:rPr>
          <w:tag w:val="goog_rdk_40"/>
          <w:id w:val="1117710956"/>
        </w:sdtPr>
        <w:sdtContent>
          <w:sdt>
            <w:sdtPr>
              <w:rPr>
                <w:rFonts w:asciiTheme="minorHAnsi" w:hAnsiTheme="minorHAnsi" w:cstheme="minorHAnsi"/>
              </w:rPr>
              <w:tag w:val="goog_rdk_41"/>
              <w:id w:val="-1453327718"/>
            </w:sdtPr>
            <w:sdtContent/>
          </w:sdt>
          <w:sdt>
            <w:sdtPr>
              <w:rPr>
                <w:rFonts w:asciiTheme="minorHAnsi" w:hAnsiTheme="minorHAnsi" w:cstheme="minorHAnsi"/>
              </w:rPr>
              <w:tag w:val="goog_rdk_42"/>
              <w:id w:val="1243612859"/>
            </w:sdtPr>
            <w:sdtContent/>
          </w:sdt>
          <w:r w:rsidRPr="00285D58">
            <w:rPr>
              <w:rFonts w:asciiTheme="minorHAnsi" w:eastAsia="Calibri" w:hAnsiTheme="minorHAnsi" w:cstheme="minorHAnsi"/>
              <w:color w:val="000000"/>
            </w:rPr>
            <w:t xml:space="preserve">impactados </w:t>
          </w:r>
        </w:sdtContent>
      </w:sdt>
      <w:sdt>
        <w:sdtPr>
          <w:rPr>
            <w:rFonts w:asciiTheme="minorHAnsi" w:hAnsiTheme="minorHAnsi" w:cstheme="minorHAnsi"/>
          </w:rPr>
          <w:tag w:val="goog_rdk_43"/>
          <w:id w:val="2139447043"/>
          <w:showingPlcHdr/>
        </w:sdtPr>
        <w:sdtContent>
          <w:r w:rsidRPr="00285D58">
            <w:rPr>
              <w:rFonts w:asciiTheme="minorHAnsi" w:hAnsiTheme="minorHAnsi" w:cstheme="minorHAnsi"/>
            </w:rPr>
            <w:t xml:space="preserve">     </w:t>
          </w:r>
        </w:sdtContent>
      </w:sdt>
      <w:r w:rsidRPr="00285D58">
        <w:rPr>
          <w:rFonts w:asciiTheme="minorHAnsi" w:eastAsia="Calibri" w:hAnsiTheme="minorHAnsi" w:cstheme="minorHAnsi"/>
          <w:color w:val="000000"/>
        </w:rPr>
        <w:t>directa o indirectamente por el desarrollo del Proyecto y, por lo tanto, también tienen la capacidad de afectar directa o indirectamente el desarrollo de este.</w:t>
      </w:r>
    </w:p>
    <w:p w14:paraId="30BA4B3A" w14:textId="77777777" w:rsidR="007422BA" w:rsidRPr="00285D58" w:rsidRDefault="007422BA" w:rsidP="008D1FFF">
      <w:pPr>
        <w:spacing w:line="276" w:lineRule="auto"/>
        <w:ind w:left="425"/>
        <w:jc w:val="both"/>
        <w:rPr>
          <w:rFonts w:asciiTheme="minorHAnsi" w:eastAsia="Calibri" w:hAnsiTheme="minorHAnsi" w:cstheme="minorHAnsi"/>
        </w:rPr>
      </w:pPr>
    </w:p>
    <w:p w14:paraId="75E4B95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Grupo Económico:</w:t>
      </w:r>
    </w:p>
    <w:p w14:paraId="62A77DE5"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conjunto de personas jurídicas, cualquiera sea su actividad u objeto social, que están sujetas al control de una misma persona natural o de un mismo conjunto de personas naturales, conforme a las definiciones contenidas en la Resolución SMV N° 00019-2015-SMV/01, o norma que la modifique o sustituya.</w:t>
      </w:r>
    </w:p>
    <w:p w14:paraId="4E95B00E" w14:textId="77777777" w:rsidR="007422BA" w:rsidRPr="00285D58" w:rsidRDefault="007422BA" w:rsidP="008D1FFF">
      <w:pPr>
        <w:spacing w:line="276" w:lineRule="auto"/>
        <w:ind w:firstLine="567"/>
        <w:jc w:val="both"/>
        <w:rPr>
          <w:rFonts w:asciiTheme="minorHAnsi" w:eastAsia="Calibri" w:hAnsiTheme="minorHAnsi" w:cstheme="minorHAnsi"/>
        </w:rPr>
      </w:pPr>
    </w:p>
    <w:p w14:paraId="5F8FD83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IGV:</w:t>
      </w:r>
    </w:p>
    <w:p w14:paraId="2C666244"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Impuesto General a las Ventas, a que se refiere el Texto Único Ordenado de la Ley de Impuesto General a las Ventas e Impuesto Selectivo al Consumo, aprobado mediante Decreto Supremo N° 055-99-EF, o normas que lo modifiquen o sustituyan, así como el Impuesto de Promoción Municipal a que se refiere el Texto Único Ordenado de la Ley de Tributación Municipal, aprobado mediante el Decreto Supremo N° 156-2004-EF, o normas que lo modifiquen o sustituyan.</w:t>
      </w:r>
    </w:p>
    <w:p w14:paraId="6ED48B97" w14:textId="77777777" w:rsidR="007422BA" w:rsidRPr="00285D58" w:rsidRDefault="007422BA" w:rsidP="008D1FFF">
      <w:pPr>
        <w:spacing w:line="276" w:lineRule="auto"/>
        <w:ind w:firstLine="567"/>
        <w:jc w:val="both"/>
        <w:rPr>
          <w:rFonts w:asciiTheme="minorHAnsi" w:eastAsia="Calibri" w:hAnsiTheme="minorHAnsi" w:cstheme="minorHAnsi"/>
        </w:rPr>
      </w:pPr>
    </w:p>
    <w:p w14:paraId="6AFC053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Índice de Servicio</w:t>
      </w:r>
    </w:p>
    <w:p w14:paraId="61619F7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puntaje que resulta del promedio ponderado de la calificación, realizada por el Supervisor, a los Niveles de Servicio.</w:t>
      </w:r>
    </w:p>
    <w:p w14:paraId="793096BC" w14:textId="77777777" w:rsidR="007422BA" w:rsidRPr="00285D58" w:rsidRDefault="007422BA" w:rsidP="008D1FFF">
      <w:pPr>
        <w:spacing w:line="276" w:lineRule="auto"/>
        <w:ind w:firstLine="567"/>
        <w:jc w:val="both"/>
        <w:rPr>
          <w:rFonts w:asciiTheme="minorHAnsi" w:eastAsia="Calibri" w:hAnsiTheme="minorHAnsi" w:cstheme="minorHAnsi"/>
        </w:rPr>
      </w:pPr>
    </w:p>
    <w:p w14:paraId="5813B51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Informe de Hallazgos</w:t>
      </w:r>
    </w:p>
    <w:p w14:paraId="07160FF1" w14:textId="77777777" w:rsidR="007422BA" w:rsidRPr="00285D58" w:rsidRDefault="00000000" w:rsidP="008D1FFF">
      <w:pPr>
        <w:spacing w:line="276" w:lineRule="auto"/>
        <w:ind w:left="425"/>
        <w:jc w:val="both"/>
        <w:rPr>
          <w:rFonts w:asciiTheme="minorHAnsi" w:eastAsia="Calibri" w:hAnsiTheme="minorHAnsi" w:cstheme="minorHAnsi"/>
          <w:color w:val="000000"/>
        </w:rPr>
      </w:pPr>
      <w:sdt>
        <w:sdtPr>
          <w:rPr>
            <w:rFonts w:asciiTheme="minorHAnsi" w:hAnsiTheme="minorHAnsi" w:cstheme="minorHAnsi"/>
          </w:rPr>
          <w:tag w:val="goog_rdk_44"/>
          <w:id w:val="1024528358"/>
        </w:sdtPr>
        <w:sdtContent/>
      </w:sdt>
      <w:sdt>
        <w:sdtPr>
          <w:rPr>
            <w:rFonts w:asciiTheme="minorHAnsi" w:hAnsiTheme="minorHAnsi" w:cstheme="minorHAnsi"/>
          </w:rPr>
          <w:tag w:val="goog_rdk_45"/>
          <w:id w:val="1209617649"/>
        </w:sdtPr>
        <w:sdtContent/>
      </w:sdt>
      <w:sdt>
        <w:sdtPr>
          <w:rPr>
            <w:rFonts w:asciiTheme="minorHAnsi" w:hAnsiTheme="minorHAnsi" w:cstheme="minorHAnsi"/>
          </w:rPr>
          <w:tag w:val="goog_rdk_46"/>
          <w:id w:val="338593691"/>
        </w:sdtPr>
        <w:sdtContent/>
      </w:sdt>
      <w:r w:rsidR="007422BA" w:rsidRPr="00285D58">
        <w:rPr>
          <w:rFonts w:asciiTheme="minorHAnsi" w:eastAsia="Calibri" w:hAnsiTheme="minorHAnsi" w:cstheme="minorHAnsi"/>
          <w:color w:val="000000"/>
        </w:rPr>
        <w:t>Es el informe que el Supervisor elabora en el marco del proceso de reversión de los Bienes de la Concesión.</w:t>
      </w:r>
    </w:p>
    <w:p w14:paraId="746E3DF4" w14:textId="77777777" w:rsidR="007422BA" w:rsidRPr="00285D58" w:rsidRDefault="007422BA" w:rsidP="008D1FFF">
      <w:pPr>
        <w:spacing w:line="276" w:lineRule="auto"/>
        <w:ind w:left="360"/>
        <w:jc w:val="both"/>
        <w:rPr>
          <w:rFonts w:asciiTheme="minorHAnsi" w:eastAsia="Calibri" w:hAnsiTheme="minorHAnsi" w:cstheme="minorHAnsi"/>
          <w:b/>
          <w:color w:val="000000"/>
        </w:rPr>
      </w:pPr>
    </w:p>
    <w:p w14:paraId="4290D6FF" w14:textId="77777777" w:rsidR="00A909F8" w:rsidRPr="00285D58" w:rsidRDefault="00A909F8"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Informe de Liquidación </w:t>
      </w:r>
    </w:p>
    <w:p w14:paraId="6F3773AB" w14:textId="3FFD02C3" w:rsidR="00A909F8" w:rsidRPr="00285D58" w:rsidRDefault="002C2A94" w:rsidP="008D1FFF">
      <w:pPr>
        <w:spacing w:line="276" w:lineRule="auto"/>
        <w:ind w:left="425"/>
        <w:jc w:val="both"/>
        <w:rPr>
          <w:rFonts w:asciiTheme="minorHAnsi" w:hAnsiTheme="minorHAnsi" w:cstheme="minorHAnsi"/>
        </w:rPr>
      </w:pPr>
      <w:r w:rsidRPr="00285D58">
        <w:rPr>
          <w:rFonts w:asciiTheme="minorHAnsi" w:hAnsiTheme="minorHAnsi" w:cstheme="minorHAnsi"/>
        </w:rPr>
        <w:t xml:space="preserve">Es el informe trimestral que el Supervisor elaborará con base a las deducciones calculadas por el Supervisor conforme al Apéndice 3 del </w:t>
      </w:r>
      <w:r w:rsidR="003B582D" w:rsidRPr="00285D58">
        <w:rPr>
          <w:rFonts w:asciiTheme="minorHAnsi" w:hAnsiTheme="minorHAnsi" w:cstheme="minorHAnsi"/>
        </w:rPr>
        <w:t xml:space="preserve">Anexo </w:t>
      </w:r>
      <w:r w:rsidRPr="00285D58">
        <w:rPr>
          <w:rFonts w:asciiTheme="minorHAnsi" w:hAnsiTheme="minorHAnsi" w:cstheme="minorHAnsi"/>
        </w:rPr>
        <w:t xml:space="preserve">11. Este informe es enviado por el Supervisor al CONCEDENTE, en el que se indica el Saldo por Liquidar que servirá como base para el cálculo y aplicación del PPD del siguiente trimestre, de conformidad con los tiempos y el contenido previstos en los numerales del </w:t>
      </w:r>
      <w:r w:rsidR="00156ACB" w:rsidRPr="00285D58">
        <w:rPr>
          <w:rFonts w:asciiTheme="minorHAnsi" w:hAnsiTheme="minorHAnsi" w:cstheme="minorHAnsi"/>
        </w:rPr>
        <w:t>35</w:t>
      </w:r>
      <w:r w:rsidRPr="00285D58">
        <w:rPr>
          <w:rFonts w:asciiTheme="minorHAnsi" w:hAnsiTheme="minorHAnsi" w:cstheme="minorHAnsi"/>
        </w:rPr>
        <w:t xml:space="preserve"> al </w:t>
      </w:r>
      <w:r w:rsidR="00156ACB" w:rsidRPr="00285D58">
        <w:rPr>
          <w:rFonts w:asciiTheme="minorHAnsi" w:hAnsiTheme="minorHAnsi" w:cstheme="minorHAnsi"/>
        </w:rPr>
        <w:t>40</w:t>
      </w:r>
      <w:r w:rsidRPr="00285D58">
        <w:rPr>
          <w:rFonts w:asciiTheme="minorHAnsi" w:hAnsiTheme="minorHAnsi" w:cstheme="minorHAnsi"/>
        </w:rPr>
        <w:t xml:space="preserve"> del Anexo 11 y usando los formatos del Apéndice 4 del Anexo 11.</w:t>
      </w:r>
    </w:p>
    <w:p w14:paraId="50CC980F" w14:textId="77777777" w:rsidR="002C2A94" w:rsidRPr="00285D58" w:rsidRDefault="002C2A94" w:rsidP="008D1FFF">
      <w:pPr>
        <w:spacing w:line="276" w:lineRule="auto"/>
        <w:ind w:left="425"/>
        <w:jc w:val="both"/>
        <w:rPr>
          <w:rFonts w:asciiTheme="minorHAnsi" w:eastAsia="Calibri" w:hAnsiTheme="minorHAnsi" w:cstheme="minorHAnsi"/>
        </w:rPr>
      </w:pPr>
    </w:p>
    <w:p w14:paraId="3D5D52B8" w14:textId="77777777" w:rsidR="00A909F8" w:rsidRPr="00285D58" w:rsidRDefault="0000000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50"/>
          <w:id w:val="-1406367807"/>
          <w:showingPlcHdr/>
        </w:sdtPr>
        <w:sdtContent>
          <w:r w:rsidR="00A909F8" w:rsidRPr="00285D58">
            <w:rPr>
              <w:rFonts w:asciiTheme="minorHAnsi" w:hAnsiTheme="minorHAnsi" w:cstheme="minorHAnsi"/>
            </w:rPr>
            <w:t xml:space="preserve">     </w:t>
          </w:r>
        </w:sdtContent>
      </w:sdt>
      <w:sdt>
        <w:sdtPr>
          <w:rPr>
            <w:rFonts w:asciiTheme="minorHAnsi" w:hAnsiTheme="minorHAnsi" w:cstheme="minorHAnsi"/>
          </w:rPr>
          <w:tag w:val="goog_rdk_51"/>
          <w:id w:val="1352296269"/>
        </w:sdtPr>
        <w:sdtContent/>
      </w:sdt>
      <w:sdt>
        <w:sdtPr>
          <w:rPr>
            <w:rFonts w:asciiTheme="minorHAnsi" w:hAnsiTheme="minorHAnsi" w:cstheme="minorHAnsi"/>
          </w:rPr>
          <w:tag w:val="goog_rdk_52"/>
          <w:id w:val="1422755719"/>
        </w:sdtPr>
        <w:sdtContent/>
      </w:sdt>
      <w:r w:rsidR="00A909F8" w:rsidRPr="00285D58">
        <w:rPr>
          <w:rFonts w:asciiTheme="minorHAnsi" w:eastAsia="Calibri" w:hAnsiTheme="minorHAnsi" w:cstheme="minorHAnsi"/>
          <w:b/>
          <w:color w:val="000000"/>
        </w:rPr>
        <w:t>Informe de Pagos por Disponibilidad </w:t>
      </w:r>
    </w:p>
    <w:p w14:paraId="403B3064" w14:textId="1349C88A" w:rsidR="00A909F8" w:rsidRPr="00285D58" w:rsidRDefault="00A909F8"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informe que el Supervisor elaborará con base al Informe de Liquidación. Este informe es enviado por el Supervisor al Fiduciario con copia al CONCESIONARIO y al CONCEDENTE, indicando el valor de la liquidación de acuerdo al numeral 11 del Apéndice 1 del Anexo 11, así como los saldos por liquidar del PPD1 y del PPD2 de los trimestres anteriores, de </w:t>
      </w:r>
      <w:r w:rsidRPr="00285D58">
        <w:rPr>
          <w:rFonts w:asciiTheme="minorHAnsi" w:eastAsia="Calibri" w:hAnsiTheme="minorHAnsi" w:cstheme="minorHAnsi"/>
          <w:color w:val="000000"/>
        </w:rPr>
        <w:lastRenderedPageBreak/>
        <w:t xml:space="preserve">conformidad con los tiempos y el contenido en el numeral </w:t>
      </w:r>
      <w:r w:rsidR="00C100B2" w:rsidRPr="00285D58">
        <w:rPr>
          <w:rFonts w:asciiTheme="minorHAnsi" w:eastAsia="Calibri" w:hAnsiTheme="minorHAnsi" w:cstheme="minorHAnsi"/>
          <w:color w:val="000000"/>
        </w:rPr>
        <w:t>30</w:t>
      </w:r>
      <w:r w:rsidRPr="00285D58">
        <w:rPr>
          <w:rFonts w:asciiTheme="minorHAnsi" w:eastAsia="Calibri" w:hAnsiTheme="minorHAnsi" w:cstheme="minorHAnsi"/>
          <w:color w:val="000000"/>
        </w:rPr>
        <w:t xml:space="preserve"> del Apéndice 1 del Anexo 11 y tomando como referencia el formato del Apéndice 4 del mismo anexo. </w:t>
      </w:r>
    </w:p>
    <w:p w14:paraId="229067CA" w14:textId="77777777" w:rsidR="007422BA" w:rsidRPr="00285D58" w:rsidRDefault="007422BA" w:rsidP="008D1FFF">
      <w:pPr>
        <w:spacing w:line="276" w:lineRule="auto"/>
        <w:ind w:left="425"/>
        <w:jc w:val="both"/>
        <w:rPr>
          <w:rFonts w:asciiTheme="minorHAnsi" w:eastAsia="Calibri" w:hAnsiTheme="minorHAnsi" w:cstheme="minorHAnsi"/>
          <w:lang w:val="es-PE"/>
        </w:rPr>
      </w:pPr>
    </w:p>
    <w:p w14:paraId="18EA771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Informe Mensual de Actividades:</w:t>
      </w:r>
    </w:p>
    <w:p w14:paraId="75E87F5B" w14:textId="3F51E214" w:rsidR="007422BA" w:rsidRPr="00285D58" w:rsidRDefault="007422BA"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 elaborado por el CONCESIONARIO, que contendrá el listado y descripción de las actividades ejecutadas durante el mes para el cumplimiento de la prestación de los Servicios Obligatorios de acuerdo </w:t>
      </w:r>
      <w:r w:rsidR="00190435" w:rsidRPr="00285D58">
        <w:rPr>
          <w:rFonts w:asciiTheme="minorHAnsi" w:eastAsia="Calibri" w:hAnsiTheme="minorHAnsi" w:cstheme="minorHAnsi"/>
          <w:color w:val="000000"/>
        </w:rPr>
        <w:t>con</w:t>
      </w:r>
      <w:r w:rsidRPr="00285D58">
        <w:rPr>
          <w:rFonts w:asciiTheme="minorHAnsi" w:eastAsia="Calibri" w:hAnsiTheme="minorHAnsi" w:cstheme="minorHAnsi"/>
          <w:color w:val="000000"/>
        </w:rPr>
        <w:t xml:space="preserve"> lo estipulado en los planes anuales. Además del cálculo mensual de los Indicadores de los Niveles de Servicio de acuerdo </w:t>
      </w:r>
      <w:r w:rsidR="00190435" w:rsidRPr="00285D58">
        <w:rPr>
          <w:rFonts w:asciiTheme="minorHAnsi" w:eastAsia="Calibri" w:hAnsiTheme="minorHAnsi" w:cstheme="minorHAnsi"/>
          <w:color w:val="000000"/>
        </w:rPr>
        <w:t>con</w:t>
      </w:r>
      <w:r w:rsidRPr="00285D58">
        <w:rPr>
          <w:rFonts w:asciiTheme="minorHAnsi" w:eastAsia="Calibri" w:hAnsiTheme="minorHAnsi" w:cstheme="minorHAnsi"/>
          <w:color w:val="000000"/>
        </w:rPr>
        <w:t xml:space="preserve"> lo establecido en el Apéndice I del Anexo 9.</w:t>
      </w:r>
    </w:p>
    <w:p w14:paraId="736AAE81" w14:textId="77777777" w:rsidR="007422BA" w:rsidRPr="00285D58" w:rsidRDefault="007422BA" w:rsidP="008D1FFF">
      <w:pPr>
        <w:widowControl/>
        <w:spacing w:line="276" w:lineRule="auto"/>
        <w:ind w:left="360"/>
        <w:jc w:val="both"/>
        <w:rPr>
          <w:rFonts w:asciiTheme="minorHAnsi" w:eastAsia="Calibri" w:hAnsiTheme="minorHAnsi" w:cstheme="minorHAnsi"/>
          <w:b/>
          <w:color w:val="000000"/>
        </w:rPr>
      </w:pPr>
    </w:p>
    <w:p w14:paraId="5EB59328" w14:textId="77777777" w:rsidR="007422BA" w:rsidRPr="00285D58" w:rsidRDefault="007422BA" w:rsidP="00A3732C">
      <w:pPr>
        <w:widowControl/>
        <w:numPr>
          <w:ilvl w:val="0"/>
          <w:numId w:val="133"/>
        </w:numPr>
        <w:spacing w:line="276" w:lineRule="auto"/>
        <w:ind w:left="425"/>
        <w:jc w:val="both"/>
        <w:rPr>
          <w:rFonts w:asciiTheme="minorHAnsi" w:eastAsia="Calibri" w:hAnsiTheme="minorHAnsi" w:cstheme="minorHAnsi"/>
        </w:rPr>
      </w:pPr>
      <w:r w:rsidRPr="00285D58">
        <w:rPr>
          <w:rFonts w:asciiTheme="minorHAnsi" w:eastAsia="Calibri" w:hAnsiTheme="minorHAnsi" w:cstheme="minorHAnsi"/>
          <w:b/>
          <w:color w:val="000000"/>
        </w:rPr>
        <w:t>Informes Especiales:</w:t>
      </w:r>
    </w:p>
    <w:p w14:paraId="76DB4EF4" w14:textId="77777777" w:rsidR="007422BA" w:rsidRPr="00285D58" w:rsidRDefault="007422BA" w:rsidP="008D1FFF">
      <w:pPr>
        <w:widowControl/>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Documento solicitado por el Supervisor y elaborado por el CONCESIONARIO durante la Etapa de Operación, donde se detalle, aclare o explique cualquier situación o aspecto relacionado a la prestación de los Servicios Obligatorios del Contrato de Concesión.</w:t>
      </w:r>
    </w:p>
    <w:p w14:paraId="5670D648" w14:textId="77777777" w:rsidR="007422BA" w:rsidRPr="00285D58" w:rsidRDefault="007422BA" w:rsidP="008D1FFF">
      <w:pPr>
        <w:spacing w:line="276" w:lineRule="auto"/>
        <w:jc w:val="both"/>
        <w:rPr>
          <w:rFonts w:asciiTheme="minorHAnsi" w:eastAsia="Calibri" w:hAnsiTheme="minorHAnsi" w:cstheme="minorHAnsi"/>
        </w:rPr>
      </w:pPr>
    </w:p>
    <w:p w14:paraId="41D97ADF" w14:textId="12A04AD2"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Ingresos por Tarifa</w:t>
      </w:r>
    </w:p>
    <w:p w14:paraId="4F4B9A5F" w14:textId="77777777" w:rsidR="007422BA" w:rsidRPr="00285D58" w:rsidRDefault="007422BA" w:rsidP="008D1FFF">
      <w:pPr>
        <w:widowControl/>
        <w:spacing w:line="276" w:lineRule="auto"/>
        <w:ind w:left="426"/>
        <w:jc w:val="both"/>
        <w:rPr>
          <w:rFonts w:asciiTheme="minorHAnsi" w:eastAsia="Times New Roman" w:hAnsiTheme="minorHAnsi" w:cstheme="minorHAnsi"/>
          <w:lang w:val="es-PE"/>
        </w:rPr>
      </w:pPr>
      <w:r w:rsidRPr="00285D58">
        <w:rPr>
          <w:rFonts w:asciiTheme="minorHAnsi" w:eastAsia="Times New Roman" w:hAnsiTheme="minorHAnsi" w:cstheme="minorHAnsi"/>
          <w:lang w:val="es-PE"/>
        </w:rPr>
        <w:t xml:space="preserve">Son los recursos provenientes del cobro de tarifas a usuarios, los cuales serán depositados en el </w:t>
      </w:r>
      <w:r w:rsidRPr="00285D58">
        <w:rPr>
          <w:rFonts w:asciiTheme="minorHAnsi" w:hAnsiTheme="minorHAnsi" w:cstheme="minorHAnsi"/>
          <w:color w:val="000000"/>
          <w:lang w:val="es-PE"/>
        </w:rPr>
        <w:t xml:space="preserve">Fideicomiso de Administración y serán </w:t>
      </w:r>
      <w:r w:rsidRPr="00285D58">
        <w:rPr>
          <w:rFonts w:asciiTheme="minorHAnsi" w:eastAsia="Times New Roman" w:hAnsiTheme="minorHAnsi" w:cstheme="minorHAnsi"/>
          <w:lang w:val="es-PE"/>
        </w:rPr>
        <w:t>destinados al pago de PPD y cualquier otra obligación, del CONCEDENTE que se derive del Contrato de Concesión.</w:t>
      </w:r>
    </w:p>
    <w:p w14:paraId="226E14CA" w14:textId="77777777" w:rsidR="007422BA" w:rsidRPr="00285D58" w:rsidRDefault="007422BA" w:rsidP="008D1FFF">
      <w:pPr>
        <w:widowControl/>
        <w:spacing w:line="276" w:lineRule="auto"/>
        <w:ind w:left="360"/>
        <w:jc w:val="both"/>
        <w:rPr>
          <w:rFonts w:asciiTheme="minorHAnsi" w:eastAsia="Calibri" w:hAnsiTheme="minorHAnsi" w:cstheme="minorHAnsi"/>
          <w:lang w:val="es-PE"/>
        </w:rPr>
      </w:pPr>
    </w:p>
    <w:p w14:paraId="742060E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Instrumento de Gestión Ambiental (IGA): </w:t>
      </w:r>
    </w:p>
    <w:p w14:paraId="19323764"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estudio de impacto ambiental detallado, que incluye sus modificaciones y actualizaciones, y otros instrumentos de gestión ambiental complementarios, que será elaborado por el CONCESIONARIO y aprobado por la Autoridad Ambiental Competente, que prevé la generación de impactos ambientales negativos y mitigación de los mismos. Asimismo, establece la estrategia de manejo ambiental que considera los mecanismos y acciones para la implementación de las actividades de mitigación y compromisos que el CONCESIONARIO está obligado a cumplir durante el periodo de Concesión.</w:t>
      </w:r>
    </w:p>
    <w:p w14:paraId="3683B718" w14:textId="77777777" w:rsidR="007422BA" w:rsidRPr="00285D58" w:rsidRDefault="007422BA" w:rsidP="008D1FFF">
      <w:pPr>
        <w:spacing w:line="276" w:lineRule="auto"/>
        <w:ind w:firstLine="567"/>
        <w:jc w:val="both"/>
        <w:rPr>
          <w:rFonts w:asciiTheme="minorHAnsi" w:eastAsia="Calibri" w:hAnsiTheme="minorHAnsi" w:cstheme="minorHAnsi"/>
        </w:rPr>
      </w:pPr>
    </w:p>
    <w:p w14:paraId="7613DD4C" w14:textId="77777777" w:rsidR="007422BA" w:rsidRPr="00285D58" w:rsidRDefault="00000000" w:rsidP="00A3732C">
      <w:pPr>
        <w:widowControl/>
        <w:numPr>
          <w:ilvl w:val="0"/>
          <w:numId w:val="133"/>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53"/>
          <w:id w:val="-870906534"/>
        </w:sdtPr>
        <w:sdtContent/>
      </w:sdt>
      <w:sdt>
        <w:sdtPr>
          <w:rPr>
            <w:rFonts w:asciiTheme="minorHAnsi" w:hAnsiTheme="minorHAnsi" w:cstheme="minorHAnsi"/>
          </w:rPr>
          <w:tag w:val="goog_rdk_54"/>
          <w:id w:val="-2023613681"/>
        </w:sdtPr>
        <w:sdtContent/>
      </w:sdt>
      <w:sdt>
        <w:sdtPr>
          <w:rPr>
            <w:rFonts w:asciiTheme="minorHAnsi" w:hAnsiTheme="minorHAnsi" w:cstheme="minorHAnsi"/>
          </w:rPr>
          <w:tag w:val="goog_rdk_55"/>
          <w:id w:val="1218626021"/>
        </w:sdtPr>
        <w:sdtContent/>
      </w:sdt>
      <w:r w:rsidR="007422BA" w:rsidRPr="00285D58">
        <w:rPr>
          <w:rFonts w:asciiTheme="minorHAnsi" w:eastAsia="Calibri" w:hAnsiTheme="minorHAnsi" w:cstheme="minorHAnsi"/>
          <w:b/>
          <w:color w:val="000000"/>
        </w:rPr>
        <w:t>Interventor:</w:t>
      </w:r>
    </w:p>
    <w:p w14:paraId="731D94AF" w14:textId="77777777" w:rsidR="007422BA" w:rsidRPr="00285D58" w:rsidRDefault="0000000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57"/>
          <w:id w:val="-728759220"/>
        </w:sdtPr>
        <w:sdtContent>
          <w:r w:rsidR="007422BA" w:rsidRPr="00285D58">
            <w:rPr>
              <w:rFonts w:asciiTheme="minorHAnsi" w:eastAsia="Calibri" w:hAnsiTheme="minorHAnsi" w:cstheme="minorHAnsi"/>
            </w:rPr>
            <w:t xml:space="preserve">Es la persona jurídica de derecho privado o público, contratada por los Acreedores Permitidos, a su cuenta, costo y riesgo, que participará de manera temporal y extraordinaria, conforme a lo establecido en el Capítulo VIII. </w:t>
          </w:r>
        </w:sdtContent>
      </w:sdt>
      <w:sdt>
        <w:sdtPr>
          <w:rPr>
            <w:rFonts w:asciiTheme="minorHAnsi" w:hAnsiTheme="minorHAnsi" w:cstheme="minorHAnsi"/>
          </w:rPr>
          <w:tag w:val="goog_rdk_58"/>
          <w:id w:val="344214831"/>
          <w:showingPlcHdr/>
        </w:sdtPr>
        <w:sdtContent>
          <w:r w:rsidR="007422BA" w:rsidRPr="00285D58">
            <w:rPr>
              <w:rFonts w:asciiTheme="minorHAnsi" w:hAnsiTheme="minorHAnsi" w:cstheme="minorHAnsi"/>
            </w:rPr>
            <w:t xml:space="preserve">     </w:t>
          </w:r>
        </w:sdtContent>
      </w:sdt>
    </w:p>
    <w:p w14:paraId="50DDE2F4" w14:textId="77777777" w:rsidR="007422BA" w:rsidRPr="00285D58" w:rsidRDefault="007422BA" w:rsidP="008D1FFF">
      <w:pPr>
        <w:spacing w:line="276" w:lineRule="auto"/>
        <w:ind w:left="567" w:firstLine="567"/>
        <w:jc w:val="both"/>
        <w:rPr>
          <w:rFonts w:asciiTheme="minorHAnsi" w:eastAsia="Calibri" w:hAnsiTheme="minorHAnsi" w:cstheme="minorHAnsi"/>
        </w:rPr>
      </w:pPr>
    </w:p>
    <w:p w14:paraId="6B587B56"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Inversión: </w:t>
      </w:r>
    </w:p>
    <w:p w14:paraId="3C808422" w14:textId="77777777" w:rsidR="007422BA" w:rsidRPr="00285D58" w:rsidRDefault="007422BA" w:rsidP="008D1FFF">
      <w:pPr>
        <w:spacing w:line="276" w:lineRule="auto"/>
        <w:ind w:left="567"/>
        <w:jc w:val="both"/>
        <w:rPr>
          <w:rFonts w:asciiTheme="minorHAnsi" w:eastAsia="Calibri" w:hAnsiTheme="minorHAnsi" w:cstheme="minorHAnsi"/>
          <w:color w:val="000000"/>
        </w:rPr>
      </w:pPr>
      <w:r w:rsidRPr="00285D58">
        <w:rPr>
          <w:rFonts w:asciiTheme="minorHAnsi" w:eastAsia="Calibri" w:hAnsiTheme="minorHAnsi" w:cstheme="minorHAnsi"/>
          <w:color w:val="000000"/>
        </w:rPr>
        <w:t>Comprende los recursos necesarios para ejecutar el Proyecto, así como los gastos financieros asociados a su desarrollo, otros gastos considerados en la estructuración del financiamiento, incluyendo, de manera enunciativa pero no limitativa: </w:t>
      </w:r>
    </w:p>
    <w:p w14:paraId="05770C5E" w14:textId="1A0F78D6"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Inversión en Obras</w:t>
      </w:r>
    </w:p>
    <w:p w14:paraId="43223549" w14:textId="0E4A5CA8" w:rsidR="007422BA" w:rsidRPr="00BB5F42" w:rsidRDefault="0061644C"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rPr>
        <w:t>Equipamiento Electromecánico</w:t>
      </w:r>
      <w:r w:rsidR="00627533" w:rsidRPr="00285D58">
        <w:rPr>
          <w:rFonts w:asciiTheme="minorHAnsi" w:eastAsia="Calibri" w:hAnsiTheme="minorHAnsi" w:cstheme="minorHAnsi"/>
          <w:color w:val="000000"/>
        </w:rPr>
        <w:t xml:space="preserve"> </w:t>
      </w:r>
      <w:r w:rsidR="007422BA" w:rsidRPr="00285D58">
        <w:rPr>
          <w:rFonts w:asciiTheme="minorHAnsi" w:eastAsia="Calibri" w:hAnsiTheme="minorHAnsi" w:cstheme="minorHAnsi"/>
          <w:color w:val="000000"/>
        </w:rPr>
        <w:t>y Mobiliario</w:t>
      </w:r>
      <w:r w:rsidR="00285D58">
        <w:rPr>
          <w:rFonts w:asciiTheme="minorHAnsi" w:eastAsia="Calibri" w:hAnsiTheme="minorHAnsi" w:cstheme="minorHAnsi"/>
          <w:color w:val="000000"/>
        </w:rPr>
        <w:t xml:space="preserve"> </w:t>
      </w:r>
    </w:p>
    <w:p w14:paraId="126301C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Costos administrativos del Concesionario</w:t>
      </w:r>
    </w:p>
    <w:p w14:paraId="7B47AAA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Coste de la supervisión</w:t>
      </w:r>
    </w:p>
    <w:p w14:paraId="076A721B"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gastos del proceso a PROINVERSION</w:t>
      </w:r>
    </w:p>
    <w:p w14:paraId="19A83A85"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 de contratación y primas de seguros</w:t>
      </w:r>
    </w:p>
    <w:p w14:paraId="65D9C972"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Costo de la Garantía de Fiel Cumplimiento</w:t>
      </w:r>
    </w:p>
    <w:p w14:paraId="6F11FF0A"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Costos de la Junta de Resolución de Disputas</w:t>
      </w:r>
    </w:p>
    <w:p w14:paraId="207220AA" w14:textId="08DB4473"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supervisión durante la elaboración del EDI y el Periodo de Construcción</w:t>
      </w:r>
    </w:p>
    <w:p w14:paraId="555BE150" w14:textId="7AACA52D"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intereses del Periodo de Construcción correspondientes al activo financiero</w:t>
      </w:r>
    </w:p>
    <w:p w14:paraId="40DFA5CF" w14:textId="4C499BEB"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gastos generales y la utilidad</w:t>
      </w:r>
    </w:p>
    <w:p w14:paraId="5EE8D7AE" w14:textId="77777777" w:rsidR="007422BA" w:rsidRPr="00285D58" w:rsidRDefault="007422BA" w:rsidP="00A3732C">
      <w:pPr>
        <w:widowControl/>
        <w:numPr>
          <w:ilvl w:val="0"/>
          <w:numId w:val="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gastos preoperativos e intangibles asociados al Proyecto, previos al inicio del Periodo de Operación, que estén relacionados al cumplimiento de las obligaciones del CONCESIONARIO en el marco del Contrato.</w:t>
      </w:r>
    </w:p>
    <w:p w14:paraId="25A7141E" w14:textId="77777777" w:rsidR="007422BA" w:rsidRPr="00285D58" w:rsidRDefault="007422BA" w:rsidP="008D1FFF">
      <w:pPr>
        <w:spacing w:line="276" w:lineRule="auto"/>
        <w:ind w:firstLine="567"/>
        <w:jc w:val="both"/>
        <w:rPr>
          <w:rFonts w:asciiTheme="minorHAnsi" w:eastAsia="Calibri" w:hAnsiTheme="minorHAnsi" w:cstheme="minorHAnsi"/>
        </w:rPr>
      </w:pPr>
    </w:p>
    <w:p w14:paraId="15BB779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     Inversión en Obras:</w:t>
      </w:r>
    </w:p>
    <w:p w14:paraId="53E7107A" w14:textId="77777777"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Comprende los recursos necesarios para llevar a cabo el diseño y las Obras, incluyendo, de manera enunciativa pero no limitativa: </w:t>
      </w:r>
    </w:p>
    <w:p w14:paraId="626FFC7F" w14:textId="69A3D438" w:rsidR="007422BA" w:rsidRPr="00BB5F42"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BB5F42">
        <w:rPr>
          <w:rFonts w:asciiTheme="minorHAnsi" w:eastAsia="Calibri" w:hAnsiTheme="minorHAnsi" w:cstheme="minorHAnsi"/>
          <w:color w:val="000000"/>
        </w:rPr>
        <w:t>La elaboración de los Estudios Definitivos de Ingeniería</w:t>
      </w:r>
    </w:p>
    <w:p w14:paraId="7D368EB7" w14:textId="2C669CC1" w:rsidR="007422BA" w:rsidRPr="00285D58"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285D58">
        <w:rPr>
          <w:rFonts w:asciiTheme="minorHAnsi" w:eastAsia="Calibri" w:hAnsiTheme="minorHAnsi" w:cstheme="minorHAnsi"/>
          <w:color w:val="000000"/>
        </w:rPr>
        <w:t xml:space="preserve">Los gastos del Periodo de Construcción, que incluyen: </w:t>
      </w:r>
      <w:r w:rsidRPr="00BB5F42">
        <w:rPr>
          <w:rFonts w:asciiTheme="minorHAnsi" w:eastAsia="Calibri" w:hAnsiTheme="minorHAnsi" w:cstheme="minorHAnsi"/>
          <w:color w:val="000000"/>
        </w:rPr>
        <w:t>elaboración, aprobación e implementación del (de los) Instrumento(s) de Gestión Ambiental</w:t>
      </w:r>
      <w:r w:rsidRPr="00285D58">
        <w:rPr>
          <w:rFonts w:asciiTheme="minorHAnsi" w:eastAsia="Calibri" w:hAnsiTheme="minorHAnsi" w:cstheme="minorHAnsi"/>
          <w:color w:val="000000"/>
        </w:rPr>
        <w:t xml:space="preserve">, </w:t>
      </w:r>
      <w:r w:rsidRPr="00BB5F42">
        <w:rPr>
          <w:rFonts w:asciiTheme="minorHAnsi" w:eastAsia="Calibri" w:hAnsiTheme="minorHAnsi" w:cstheme="minorHAnsi"/>
          <w:color w:val="000000"/>
        </w:rPr>
        <w:t>la obtención del CIRA y otras autorizaciones, certificaciones, servidumbres, permisos, habilitaciones urbanas y licencias, entre otros, que sean necesarios según Leyes y Disposiciones Aplicables para la ejecución del proyecto</w:t>
      </w:r>
    </w:p>
    <w:p w14:paraId="310E08FA" w14:textId="77985ACC" w:rsidR="007422BA" w:rsidRPr="00285D58"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285D58">
        <w:rPr>
          <w:rFonts w:asciiTheme="minorHAnsi" w:eastAsia="Calibri" w:hAnsiTheme="minorHAnsi" w:cstheme="minorHAnsi"/>
          <w:color w:val="000000"/>
        </w:rPr>
        <w:t>La ejecución de las Obras, incluyendo los gastos de la Puesta en Marcha hasta el inicio del Período de Operación</w:t>
      </w:r>
    </w:p>
    <w:p w14:paraId="027B3A76" w14:textId="3B2A4F6F" w:rsidR="007422BA" w:rsidRPr="00BB5F42" w:rsidRDefault="007422BA" w:rsidP="00A3732C">
      <w:pPr>
        <w:widowControl/>
        <w:numPr>
          <w:ilvl w:val="0"/>
          <w:numId w:val="91"/>
        </w:numPr>
        <w:spacing w:line="276" w:lineRule="auto"/>
        <w:ind w:left="1418" w:hanging="284"/>
        <w:jc w:val="both"/>
        <w:rPr>
          <w:rFonts w:asciiTheme="minorHAnsi" w:eastAsia="Calibri" w:hAnsiTheme="minorHAnsi" w:cstheme="minorHAnsi"/>
        </w:rPr>
      </w:pPr>
      <w:r w:rsidRPr="00BB5F42">
        <w:rPr>
          <w:rFonts w:asciiTheme="minorHAnsi" w:eastAsia="Calibri" w:hAnsiTheme="minorHAnsi" w:cstheme="minorHAnsi"/>
        </w:rPr>
        <w:t>Los gastos generales y la utilidad</w:t>
      </w:r>
      <w:r w:rsidR="00B00C61" w:rsidRPr="00BB5F42">
        <w:rPr>
          <w:rFonts w:asciiTheme="minorHAnsi" w:eastAsia="Calibri" w:hAnsiTheme="minorHAnsi" w:cstheme="minorHAnsi"/>
        </w:rPr>
        <w:t xml:space="preserve"> </w:t>
      </w:r>
    </w:p>
    <w:p w14:paraId="4C7E79F6" w14:textId="77777777" w:rsidR="007422BA" w:rsidRPr="00285D58" w:rsidRDefault="007422BA" w:rsidP="008D1FFF">
      <w:pPr>
        <w:widowControl/>
        <w:spacing w:line="276" w:lineRule="auto"/>
        <w:ind w:left="1418"/>
        <w:jc w:val="both"/>
        <w:rPr>
          <w:rFonts w:asciiTheme="minorHAnsi" w:eastAsia="Calibri" w:hAnsiTheme="minorHAnsi" w:cstheme="minorHAnsi"/>
        </w:rPr>
      </w:pPr>
    </w:p>
    <w:p w14:paraId="2B19BBF2" w14:textId="77777777" w:rsidR="007422BA" w:rsidRPr="00285D58" w:rsidRDefault="007422BA" w:rsidP="008D1FFF">
      <w:pPr>
        <w:spacing w:line="276" w:lineRule="auto"/>
        <w:ind w:left="851" w:hanging="284"/>
        <w:jc w:val="both"/>
        <w:rPr>
          <w:rFonts w:asciiTheme="minorHAnsi" w:eastAsia="Calibri" w:hAnsiTheme="minorHAnsi" w:cstheme="minorHAnsi"/>
        </w:rPr>
      </w:pPr>
      <w:r w:rsidRPr="00285D58">
        <w:rPr>
          <w:rFonts w:asciiTheme="minorHAnsi" w:eastAsia="Calibri" w:hAnsiTheme="minorHAnsi" w:cstheme="minorHAnsi"/>
          <w:color w:val="000000"/>
        </w:rPr>
        <w:t>La Inversión en Obras es aquella consignada en el Estudio Definitivo de Ingeniería.</w:t>
      </w:r>
    </w:p>
    <w:p w14:paraId="154BFAC6" w14:textId="77777777" w:rsidR="007422BA" w:rsidRPr="00285D58" w:rsidRDefault="007422BA" w:rsidP="008D1FFF">
      <w:pPr>
        <w:spacing w:line="276" w:lineRule="auto"/>
        <w:ind w:firstLine="567"/>
        <w:jc w:val="both"/>
        <w:rPr>
          <w:rFonts w:asciiTheme="minorHAnsi" w:eastAsia="Calibri" w:hAnsiTheme="minorHAnsi" w:cstheme="minorHAnsi"/>
        </w:rPr>
      </w:pPr>
    </w:p>
    <w:p w14:paraId="1EE038D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Inicial:</w:t>
      </w:r>
    </w:p>
    <w:p w14:paraId="1AF0C7A7" w14:textId="0BB13E81"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CONCEDENTE en el cual se detallarán el o los bienes inmuebles que serán entregados como Bienes de la Concesión, y formará parte del Acta de Entrega de Áreas de la Concesión,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222812B5"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766276B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 xml:space="preserve">Inventario de Obras, Equipamiento Electromecánico y Bienes Afectados a la Concesión: </w:t>
      </w:r>
    </w:p>
    <w:p w14:paraId="3A70C623" w14:textId="29B785CD"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que deberá integrar el Acta de Recepción de Obras y Equipamiento Electromecánico, el mismo que 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136DF22D"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7BF06A6E"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Anual:</w:t>
      </w:r>
    </w:p>
    <w:p w14:paraId="5130061B" w14:textId="0094C006"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junto con el Plan Anual de Operación, y 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3A67154C" w14:textId="77777777" w:rsidR="007422BA" w:rsidRPr="00285D58" w:rsidRDefault="007422BA" w:rsidP="008D1FFF">
      <w:pPr>
        <w:widowControl/>
        <w:spacing w:line="276" w:lineRule="auto"/>
        <w:ind w:left="360"/>
        <w:jc w:val="both"/>
        <w:rPr>
          <w:rFonts w:asciiTheme="minorHAnsi" w:eastAsia="Calibri" w:hAnsiTheme="minorHAnsi" w:cstheme="minorHAnsi"/>
          <w:b/>
        </w:rPr>
      </w:pPr>
    </w:p>
    <w:p w14:paraId="1FA8D622"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b/>
        </w:rPr>
        <w:t>Inventario Final:</w:t>
      </w:r>
    </w:p>
    <w:p w14:paraId="2B2BA1CE" w14:textId="659762A5"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Es el documento elaborado por el CONCESIONARIO junto con el Plan Anual de Operación, el cual es requisito para la suscripción del Acta de Reversión de los Bienes de Concesión, y deberá ser aprobado por el CONCEDENTE,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lo dispuesto en el Contrato de Concesión.</w:t>
      </w:r>
    </w:p>
    <w:p w14:paraId="43EB324E"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30F5A55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Leyes y Disposiciones Aplicables:</w:t>
      </w:r>
    </w:p>
    <w:p w14:paraId="5AD4CDA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conjunto de disposiciones normativas vigentes, tales como la Constitución Política del Perú, las normas con rango de ley, los decretos supremos, los reglamentos, normas regulatorias, directivas, resoluciones, así como cualquier otra que, conforme al ordenamiento jurídico del Estado de la República del Perú, resulte aplicable, que serán de observancia obligatoria para las Partes y el Supervisor, o las que sean dictadas en el curso de la Concesión por cualquier Autoridad Gubernamental Competente.</w:t>
      </w:r>
    </w:p>
    <w:p w14:paraId="30E156DB" w14:textId="77777777" w:rsidR="007422BA" w:rsidRPr="00285D58" w:rsidRDefault="007422BA" w:rsidP="008D1FFF">
      <w:pPr>
        <w:spacing w:line="276" w:lineRule="auto"/>
        <w:ind w:firstLine="567"/>
        <w:jc w:val="both"/>
        <w:rPr>
          <w:rFonts w:asciiTheme="minorHAnsi" w:eastAsia="Calibri" w:hAnsiTheme="minorHAnsi" w:cstheme="minorHAnsi"/>
        </w:rPr>
      </w:pPr>
    </w:p>
    <w:p w14:paraId="4FCDE05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Mantenimiento:</w:t>
      </w:r>
    </w:p>
    <w:p w14:paraId="2823EF6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Conjunto de operaciones necesarias para mantener y restablecer el estado especificado de las edificaciones, obras, instalaciones y Equipamiento Electromecánico, así como el de sus estructuras, subestructuras, elementos o subcomponentes, y la constatación y evaluación de su estado efectivo.</w:t>
      </w:r>
    </w:p>
    <w:p w14:paraId="05A30F32" w14:textId="77777777" w:rsidR="007422BA" w:rsidRPr="00285D58" w:rsidRDefault="007422BA" w:rsidP="008D1FFF">
      <w:pPr>
        <w:spacing w:line="276" w:lineRule="auto"/>
        <w:ind w:firstLine="567"/>
        <w:jc w:val="both"/>
        <w:rPr>
          <w:rFonts w:asciiTheme="minorHAnsi" w:eastAsia="Calibri" w:hAnsiTheme="minorHAnsi" w:cstheme="minorHAnsi"/>
        </w:rPr>
      </w:pPr>
    </w:p>
    <w:p w14:paraId="538DD0E4" w14:textId="15C90C5D" w:rsidR="00C100B2" w:rsidRPr="00285D58" w:rsidRDefault="00C100B2"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Nacionalización</w:t>
      </w:r>
    </w:p>
    <w:p w14:paraId="305D482C" w14:textId="77777777" w:rsidR="00C100B2" w:rsidRPr="00285D58" w:rsidRDefault="00C100B2" w:rsidP="008D1FFF">
      <w:pPr>
        <w:pStyle w:val="Prrafodelista"/>
        <w:widowControl/>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Fecha en la que la SUNAT autoriza el despacho a consumo, es decir, que el Equipamiento Electromecánico cuenta con la numeración de la declaración de aduanas y el Concesionario obtiene la autorización de libre circulación del Equipamiento Electromecánico dentro del territorio aduanero peruano, una vez que han cumplido con todos los requisitos legales y tributarios establecidos por la SUNAT.</w:t>
      </w:r>
    </w:p>
    <w:p w14:paraId="40E083F7" w14:textId="77777777" w:rsidR="00C100B2" w:rsidRPr="00285D58" w:rsidRDefault="00C100B2" w:rsidP="008D1FFF">
      <w:pPr>
        <w:widowControl/>
        <w:spacing w:line="276" w:lineRule="auto"/>
        <w:ind w:left="360"/>
        <w:jc w:val="both"/>
        <w:rPr>
          <w:rFonts w:asciiTheme="minorHAnsi" w:eastAsia="Calibri" w:hAnsiTheme="minorHAnsi" w:cstheme="minorHAnsi"/>
          <w:b/>
          <w:bCs/>
        </w:rPr>
      </w:pPr>
    </w:p>
    <w:p w14:paraId="5B8A920E" w14:textId="03EDC43B"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bCs/>
        </w:rPr>
      </w:pPr>
      <w:r w:rsidRPr="00285D58">
        <w:rPr>
          <w:rFonts w:asciiTheme="minorHAnsi" w:eastAsia="Calibri" w:hAnsiTheme="minorHAnsi" w:cstheme="minorHAnsi"/>
          <w:b/>
          <w:bCs/>
        </w:rPr>
        <w:t xml:space="preserve">Niño: </w:t>
      </w:r>
    </w:p>
    <w:p w14:paraId="6E121952" w14:textId="76B5594F" w:rsidR="007422BA" w:rsidRPr="00285D58" w:rsidRDefault="007422BA" w:rsidP="008D1FFF">
      <w:pPr>
        <w:widowControl/>
        <w:spacing w:line="276" w:lineRule="auto"/>
        <w:ind w:left="360"/>
        <w:jc w:val="both"/>
        <w:rPr>
          <w:rFonts w:asciiTheme="minorHAnsi" w:eastAsia="Calibri" w:hAnsiTheme="minorHAnsi" w:cstheme="minorHAnsi"/>
        </w:rPr>
      </w:pPr>
      <w:r w:rsidRPr="00285D58">
        <w:rPr>
          <w:rFonts w:asciiTheme="minorHAnsi" w:hAnsiTheme="minorHAnsi" w:cstheme="minorHAnsi"/>
          <w:color w:val="000000"/>
          <w:lang w:val="es-PE"/>
        </w:rPr>
        <w:t xml:space="preserve">Se considera niño a todo ser humano desde su concepción hasta cumplir los doce </w:t>
      </w:r>
      <w:r w:rsidR="00973187" w:rsidRPr="00285D58">
        <w:rPr>
          <w:rFonts w:asciiTheme="minorHAnsi" w:hAnsiTheme="minorHAnsi" w:cstheme="minorHAnsi"/>
          <w:color w:val="000000"/>
          <w:lang w:val="es-PE"/>
        </w:rPr>
        <w:t>años,</w:t>
      </w:r>
      <w:r w:rsidRPr="00285D58">
        <w:rPr>
          <w:rFonts w:asciiTheme="minorHAnsi" w:hAnsiTheme="minorHAnsi" w:cstheme="minorHAnsi"/>
          <w:color w:val="000000"/>
          <w:lang w:val="es-PE"/>
        </w:rPr>
        <w:t xml:space="preserve"> de acuerdo al Artículo 1 del Código de los Niños y Adolescentes, Ley 27337.</w:t>
      </w:r>
    </w:p>
    <w:p w14:paraId="476250C1"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21C0E09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Niveles de Servicio:</w:t>
      </w:r>
    </w:p>
    <w:p w14:paraId="7F74F0F2" w14:textId="168E334A"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 xml:space="preserve">Parámetros y estándares mínimos de calidad de los Servicios Obligatorios que el CONCESIONARIO debe lograr y mantener durante </w:t>
      </w:r>
      <w:sdt>
        <w:sdtPr>
          <w:rPr>
            <w:rFonts w:asciiTheme="minorHAnsi" w:hAnsiTheme="minorHAnsi" w:cstheme="minorHAnsi"/>
          </w:rPr>
          <w:tag w:val="goog_rdk_59"/>
          <w:id w:val="1646083004"/>
        </w:sdtPr>
        <w:sdtContent/>
      </w:sdt>
      <w:sdt>
        <w:sdtPr>
          <w:rPr>
            <w:rFonts w:asciiTheme="minorHAnsi" w:hAnsiTheme="minorHAnsi" w:cstheme="minorHAnsi"/>
          </w:rPr>
          <w:tag w:val="goog_rdk_60"/>
          <w:id w:val="-253056857"/>
        </w:sdtPr>
        <w:sdtContent/>
      </w:sdt>
      <w:sdt>
        <w:sdtPr>
          <w:rPr>
            <w:rFonts w:asciiTheme="minorHAnsi" w:hAnsiTheme="minorHAnsi" w:cstheme="minorHAnsi"/>
          </w:rPr>
          <w:tag w:val="goog_rdk_61"/>
          <w:id w:val="1984889038"/>
        </w:sdtPr>
        <w:sdtContent/>
      </w:sdt>
      <w:r w:rsidRPr="00285D58">
        <w:rPr>
          <w:rFonts w:asciiTheme="minorHAnsi" w:eastAsia="Calibri" w:hAnsiTheme="minorHAnsi" w:cstheme="minorHAnsi"/>
        </w:rPr>
        <w:t>la Operación</w:t>
      </w:r>
      <w:r w:rsidRPr="00285D58">
        <w:rPr>
          <w:rFonts w:asciiTheme="minorHAnsi" w:eastAsia="Calibri" w:hAnsiTheme="minorHAnsi" w:cstheme="minorHAnsi"/>
          <w:color w:val="000000"/>
        </w:rPr>
        <w:t>, de acuerdo con lo establecido en el Anexo</w:t>
      </w:r>
      <w:r w:rsidRPr="00285D58">
        <w:rPr>
          <w:rFonts w:asciiTheme="minorHAnsi" w:eastAsia="Calibri" w:hAnsiTheme="minorHAnsi" w:cstheme="minorHAnsi"/>
        </w:rPr>
        <w:t xml:space="preserve"> 09</w:t>
      </w:r>
      <w:r w:rsidRPr="00285D58">
        <w:rPr>
          <w:rFonts w:asciiTheme="minorHAnsi" w:eastAsia="Calibri" w:hAnsiTheme="minorHAnsi" w:cstheme="minorHAnsi"/>
          <w:color w:val="000000"/>
        </w:rPr>
        <w:t>. </w:t>
      </w:r>
    </w:p>
    <w:p w14:paraId="444C69ED" w14:textId="77777777" w:rsidR="007422BA" w:rsidRPr="00285D58" w:rsidRDefault="007422BA" w:rsidP="008D1FFF">
      <w:pPr>
        <w:spacing w:line="276" w:lineRule="auto"/>
        <w:ind w:firstLine="567"/>
        <w:jc w:val="both"/>
        <w:rPr>
          <w:rFonts w:asciiTheme="minorHAnsi" w:eastAsia="Calibri" w:hAnsiTheme="minorHAnsi" w:cstheme="minorHAnsi"/>
        </w:rPr>
      </w:pPr>
    </w:p>
    <w:p w14:paraId="4288863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Obras:</w:t>
      </w:r>
    </w:p>
    <w:p w14:paraId="0A927D2C"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las estructuras, edificaciones, instalaciones y otros activos, relacionados con el Proyecto, que serán construidos durante la vigencia de la Concesión, respecto de cada </w:t>
      </w:r>
      <w:r w:rsidRPr="00285D58">
        <w:rPr>
          <w:rFonts w:asciiTheme="minorHAnsi" w:eastAsia="Calibri" w:hAnsiTheme="minorHAnsi" w:cstheme="minorHAnsi"/>
        </w:rPr>
        <w:t>Área</w:t>
      </w:r>
      <w:r w:rsidRPr="00285D58">
        <w:rPr>
          <w:rFonts w:asciiTheme="minorHAnsi" w:eastAsia="Calibri" w:hAnsiTheme="minorHAnsi" w:cstheme="minorHAnsi"/>
          <w:color w:val="000000"/>
        </w:rPr>
        <w:t xml:space="preserve"> de la </w:t>
      </w:r>
      <w:r w:rsidRPr="00285D58">
        <w:rPr>
          <w:rFonts w:asciiTheme="minorHAnsi" w:eastAsia="Calibri" w:hAnsiTheme="minorHAnsi" w:cstheme="minorHAnsi"/>
        </w:rPr>
        <w:t>Concesión</w:t>
      </w:r>
      <w:r w:rsidRPr="00285D58">
        <w:rPr>
          <w:rFonts w:asciiTheme="minorHAnsi" w:eastAsia="Calibri" w:hAnsiTheme="minorHAnsi" w:cstheme="minorHAnsi"/>
          <w:color w:val="000000"/>
        </w:rPr>
        <w:t xml:space="preserve">. </w:t>
      </w:r>
    </w:p>
    <w:p w14:paraId="39C71C78" w14:textId="77777777" w:rsidR="007422BA" w:rsidRPr="00285D58" w:rsidRDefault="007422BA" w:rsidP="008D1FFF">
      <w:pPr>
        <w:spacing w:line="276" w:lineRule="auto"/>
        <w:ind w:left="360"/>
        <w:jc w:val="both"/>
        <w:rPr>
          <w:rFonts w:asciiTheme="minorHAnsi" w:eastAsia="Calibri" w:hAnsiTheme="minorHAnsi" w:cstheme="minorHAnsi"/>
        </w:rPr>
      </w:pPr>
    </w:p>
    <w:p w14:paraId="269BE8C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Oferta Económica:</w:t>
      </w:r>
    </w:p>
    <w:p w14:paraId="463E1B8B" w14:textId="00BD1BC5"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la contenida en el Anexo </w:t>
      </w:r>
      <w:r w:rsidRPr="00285D58">
        <w:rPr>
          <w:rFonts w:asciiTheme="minorHAnsi" w:eastAsia="Calibri" w:hAnsiTheme="minorHAnsi" w:cstheme="minorHAnsi"/>
        </w:rPr>
        <w:t>1</w:t>
      </w:r>
      <w:r w:rsidR="003831D6">
        <w:rPr>
          <w:rFonts w:asciiTheme="minorHAnsi" w:eastAsia="Calibri" w:hAnsiTheme="minorHAnsi" w:cstheme="minorHAnsi"/>
        </w:rPr>
        <w:t>4</w:t>
      </w:r>
      <w:r w:rsidRPr="00285D58">
        <w:rPr>
          <w:rFonts w:asciiTheme="minorHAnsi" w:eastAsia="Calibri" w:hAnsiTheme="minorHAnsi" w:cstheme="minorHAnsi"/>
          <w:color w:val="000000"/>
        </w:rPr>
        <w:t>, cuyo contenido vincula al CONCESIONARIO.</w:t>
      </w:r>
    </w:p>
    <w:p w14:paraId="57B389FF" w14:textId="77777777" w:rsidR="007422BA" w:rsidRPr="00285D58" w:rsidRDefault="007422BA" w:rsidP="008D1FFF">
      <w:pPr>
        <w:spacing w:line="276" w:lineRule="auto"/>
        <w:ind w:firstLine="567"/>
        <w:jc w:val="both"/>
        <w:rPr>
          <w:rFonts w:asciiTheme="minorHAnsi" w:eastAsia="Calibri" w:hAnsiTheme="minorHAnsi" w:cstheme="minorHAnsi"/>
        </w:rPr>
      </w:pPr>
    </w:p>
    <w:p w14:paraId="1DC1E80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Operación:</w:t>
      </w:r>
    </w:p>
    <w:p w14:paraId="32F05AEC" w14:textId="77777777" w:rsidR="007422BA" w:rsidRPr="00285D58" w:rsidRDefault="0000000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62"/>
          <w:id w:val="456301741"/>
        </w:sdtPr>
        <w:sdtContent/>
      </w:sdt>
      <w:sdt>
        <w:sdtPr>
          <w:rPr>
            <w:rFonts w:asciiTheme="minorHAnsi" w:hAnsiTheme="minorHAnsi" w:cstheme="minorHAnsi"/>
          </w:rPr>
          <w:tag w:val="goog_rdk_63"/>
          <w:id w:val="166836391"/>
        </w:sdtPr>
        <w:sdtContent/>
      </w:sdt>
      <w:sdt>
        <w:sdtPr>
          <w:rPr>
            <w:rFonts w:asciiTheme="minorHAnsi" w:hAnsiTheme="minorHAnsi" w:cstheme="minorHAnsi"/>
          </w:rPr>
          <w:tag w:val="goog_rdk_64"/>
          <w:id w:val="1228419865"/>
        </w:sdtPr>
        <w:sdtContent/>
      </w:sdt>
      <w:r w:rsidR="007422BA" w:rsidRPr="00285D58">
        <w:rPr>
          <w:rFonts w:asciiTheme="minorHAnsi" w:eastAsia="Calibri" w:hAnsiTheme="minorHAnsi" w:cstheme="minorHAnsi"/>
          <w:color w:val="000000"/>
        </w:rPr>
        <w:t>Comprende la prestación de los Servicios Obligatorios, de manera exclusiva para los fines previstos en el Contrato de Concesión durante el Periodo Operativo.</w:t>
      </w:r>
    </w:p>
    <w:p w14:paraId="49DCD08C" w14:textId="77777777" w:rsidR="007422BA" w:rsidRPr="00285D58" w:rsidRDefault="007422BA" w:rsidP="008D1FFF">
      <w:pPr>
        <w:spacing w:line="276" w:lineRule="auto"/>
        <w:ind w:firstLine="567"/>
        <w:jc w:val="both"/>
        <w:rPr>
          <w:rFonts w:asciiTheme="minorHAnsi" w:eastAsia="Calibri" w:hAnsiTheme="minorHAnsi" w:cstheme="minorHAnsi"/>
        </w:rPr>
      </w:pPr>
    </w:p>
    <w:p w14:paraId="37396945" w14:textId="1BBC31BE"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  Pago por Disponibilidad o PPD:</w:t>
      </w:r>
    </w:p>
    <w:p w14:paraId="33CCCFEA" w14:textId="167CFD7D" w:rsidR="00AD76BB" w:rsidRPr="00285D58" w:rsidRDefault="002C2A94" w:rsidP="008D1FFF">
      <w:pPr>
        <w:spacing w:line="276" w:lineRule="auto"/>
        <w:ind w:left="425"/>
        <w:jc w:val="both"/>
        <w:rPr>
          <w:rFonts w:asciiTheme="minorHAnsi" w:eastAsia="Calibri" w:hAnsiTheme="minorHAnsi" w:cstheme="minorHAnsi"/>
          <w:color w:val="000000"/>
        </w:rPr>
      </w:pPr>
      <w:bookmarkStart w:id="2" w:name="_Hlk179972779"/>
      <w:r w:rsidRPr="00285D58">
        <w:rPr>
          <w:rFonts w:asciiTheme="minorHAnsi" w:eastAsia="Calibri" w:hAnsiTheme="minorHAnsi" w:cstheme="minorHAnsi"/>
          <w:color w:val="000000"/>
        </w:rPr>
        <w:t xml:space="preserve">Es el pago trimestral, que efectúa el CONCEDENTE al CONCESIONARIO por la Inversión, y la gestión y prestación de los Servicios Obligatorios, el cual comprende la operación y </w:t>
      </w:r>
      <w:r w:rsidRPr="00285D58">
        <w:rPr>
          <w:rFonts w:asciiTheme="minorHAnsi" w:eastAsia="Calibri" w:hAnsiTheme="minorHAnsi" w:cstheme="minorHAnsi"/>
          <w:color w:val="000000"/>
        </w:rPr>
        <w:lastRenderedPageBreak/>
        <w:t>mantenimiento. Este pago incluye la retribución por todas las obligaciones previstas en el Contrato de Concesión, conforme a los numerales 04 al 40   del Apéndice 1 del Anexo 11 del Contrato de Concesión, con excepción de las reconocidas por el Pago por Obras (PPO).</w:t>
      </w:r>
    </w:p>
    <w:p w14:paraId="21A3ED3C" w14:textId="77777777" w:rsidR="002C2A94" w:rsidRPr="00285D58" w:rsidRDefault="002C2A94" w:rsidP="008D1FFF">
      <w:pPr>
        <w:spacing w:line="276" w:lineRule="auto"/>
        <w:ind w:left="425"/>
        <w:jc w:val="both"/>
        <w:rPr>
          <w:rFonts w:asciiTheme="minorHAnsi" w:eastAsia="Calibri" w:hAnsiTheme="minorHAnsi" w:cstheme="minorHAnsi"/>
          <w:color w:val="000000"/>
        </w:rPr>
      </w:pPr>
    </w:p>
    <w:bookmarkEnd w:id="2"/>
    <w:p w14:paraId="23CD2BB6"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PPD1</w:t>
      </w:r>
    </w:p>
    <w:p w14:paraId="1645F96A" w14:textId="31ED234B" w:rsidR="00AD76BB" w:rsidRPr="00285D58" w:rsidRDefault="002C2A94" w:rsidP="008D1FFF">
      <w:pPr>
        <w:widowControl/>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componente PPD1, reconocerá la Inversión (con excepción de la inversión reconocida mediante el PPO) y formará parte de la liquidación del PPD durante </w:t>
      </w:r>
      <w:r w:rsidR="00156ACB" w:rsidRPr="00285D58">
        <w:rPr>
          <w:rFonts w:asciiTheme="minorHAnsi" w:eastAsia="Calibri" w:hAnsiTheme="minorHAnsi" w:cstheme="minorHAnsi"/>
          <w:color w:val="000000"/>
        </w:rPr>
        <w:t>quince</w:t>
      </w:r>
      <w:r w:rsidRPr="00285D58">
        <w:rPr>
          <w:rFonts w:asciiTheme="minorHAnsi" w:eastAsia="Calibri" w:hAnsiTheme="minorHAnsi" w:cstheme="minorHAnsi"/>
          <w:color w:val="000000"/>
        </w:rPr>
        <w:t xml:space="preserve"> (15) años. El PPD1 se pagará en Dólares en cuotas que se liquidarán trimestralmente, asimismo, será ajustado por la inflación entre la fecha de la Buena Pro y el inicio de cada avance de obra semestral.  </w:t>
      </w:r>
    </w:p>
    <w:p w14:paraId="5C7898F9" w14:textId="77777777" w:rsidR="002C2A94" w:rsidRPr="00285D58" w:rsidRDefault="002C2A94" w:rsidP="008D1FFF">
      <w:pPr>
        <w:widowControl/>
        <w:spacing w:line="276" w:lineRule="auto"/>
        <w:ind w:left="360"/>
        <w:jc w:val="both"/>
        <w:rPr>
          <w:rFonts w:asciiTheme="minorHAnsi" w:eastAsia="Calibri" w:hAnsiTheme="minorHAnsi" w:cstheme="minorHAnsi"/>
          <w:b/>
          <w:color w:val="000000"/>
        </w:rPr>
      </w:pPr>
    </w:p>
    <w:p w14:paraId="157E0751"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PPD2</w:t>
      </w:r>
    </w:p>
    <w:p w14:paraId="4670F417" w14:textId="77777777"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componente PPD2 reconocerá la Operación y Mantenimiento y formará parte de la liquidación trimestral del PPD durante todo el Periodo Operativo del Proyecto y será sujetos a Deducciones en función al cumplimiento de los Niveles de Servicio establecidos en el Anexo 9. El </w:t>
      </w:r>
      <w:sdt>
        <w:sdtPr>
          <w:rPr>
            <w:rFonts w:asciiTheme="minorHAnsi" w:eastAsia="Calibri" w:hAnsiTheme="minorHAnsi" w:cstheme="minorHAnsi"/>
            <w:color w:val="000000"/>
          </w:rPr>
          <w:tag w:val="goog_rdk_329"/>
          <w:id w:val="-870385924"/>
        </w:sdtPr>
        <w:sdtContent/>
      </w:sdt>
      <w:sdt>
        <w:sdtPr>
          <w:rPr>
            <w:rFonts w:asciiTheme="minorHAnsi" w:eastAsia="Calibri" w:hAnsiTheme="minorHAnsi" w:cstheme="minorHAnsi"/>
            <w:color w:val="000000"/>
          </w:rPr>
          <w:tag w:val="goog_rdk_330"/>
          <w:id w:val="-1728918214"/>
        </w:sdtPr>
        <w:sdtContent/>
      </w:sdt>
      <w:sdt>
        <w:sdtPr>
          <w:rPr>
            <w:rFonts w:asciiTheme="minorHAnsi" w:eastAsia="Calibri" w:hAnsiTheme="minorHAnsi" w:cstheme="minorHAnsi"/>
            <w:color w:val="000000"/>
          </w:rPr>
          <w:tag w:val="goog_rdk_331"/>
          <w:id w:val="-1706557738"/>
        </w:sdtPr>
        <w:sdtContent/>
      </w:sdt>
      <w:r w:rsidRPr="00285D58">
        <w:rPr>
          <w:rFonts w:asciiTheme="minorHAnsi" w:eastAsia="Calibri" w:hAnsiTheme="minorHAnsi" w:cstheme="minorHAnsi"/>
          <w:color w:val="000000"/>
        </w:rPr>
        <w:t>PPD2 se pagará en Soles en cuotas que se liquidarán trimestralmente y será ajustado anualmente por la inflación</w:t>
      </w:r>
      <w:sdt>
        <w:sdtPr>
          <w:rPr>
            <w:rFonts w:asciiTheme="minorHAnsi" w:eastAsia="Calibri" w:hAnsiTheme="minorHAnsi" w:cstheme="minorHAnsi"/>
            <w:color w:val="000000"/>
          </w:rPr>
          <w:tag w:val="goog_rdk_333"/>
          <w:id w:val="-1269462931"/>
        </w:sdtPr>
        <w:sdtContent>
          <w:r w:rsidRPr="00285D58">
            <w:rPr>
              <w:rFonts w:asciiTheme="minorHAnsi" w:eastAsia="Calibri" w:hAnsiTheme="minorHAnsi" w:cstheme="minorHAnsi"/>
              <w:color w:val="000000"/>
            </w:rPr>
            <w:t xml:space="preserve"> </w:t>
          </w:r>
          <w:sdt>
            <w:sdtPr>
              <w:rPr>
                <w:rFonts w:asciiTheme="minorHAnsi" w:eastAsia="Calibri" w:hAnsiTheme="minorHAnsi" w:cstheme="minorHAnsi"/>
                <w:color w:val="000000"/>
              </w:rPr>
              <w:tag w:val="goog_rdk_334"/>
              <w:id w:val="771294259"/>
            </w:sdtPr>
            <w:sdtContent/>
          </w:sdt>
          <w:sdt>
            <w:sdtPr>
              <w:rPr>
                <w:rFonts w:asciiTheme="minorHAnsi" w:eastAsia="Calibri" w:hAnsiTheme="minorHAnsi" w:cstheme="minorHAnsi"/>
                <w:color w:val="000000"/>
              </w:rPr>
              <w:tag w:val="goog_rdk_335"/>
              <w:id w:val="1595289901"/>
            </w:sdtPr>
            <w:sdtContent/>
          </w:sdt>
          <w:sdt>
            <w:sdtPr>
              <w:rPr>
                <w:rFonts w:asciiTheme="minorHAnsi" w:eastAsia="Calibri" w:hAnsiTheme="minorHAnsi" w:cstheme="minorHAnsi"/>
                <w:color w:val="000000"/>
              </w:rPr>
              <w:tag w:val="goog_rdk_336"/>
              <w:id w:val="-808631246"/>
            </w:sdtPr>
            <w:sdtContent/>
          </w:sdt>
        </w:sdtContent>
      </w:sdt>
      <w:r w:rsidRPr="00285D58">
        <w:rPr>
          <w:rFonts w:asciiTheme="minorHAnsi" w:eastAsia="Calibri" w:hAnsiTheme="minorHAnsi" w:cstheme="minorHAnsi"/>
          <w:color w:val="000000"/>
        </w:rPr>
        <w:t xml:space="preserve"> trascurrida entre el momento de presentación de la Buena Pro y el inicio de cada Año Calendario correspondiente a cada Componente.</w:t>
      </w:r>
    </w:p>
    <w:p w14:paraId="7650F895" w14:textId="77777777" w:rsidR="00AD76BB" w:rsidRPr="00285D58" w:rsidRDefault="00AD76BB" w:rsidP="008D1FFF">
      <w:pPr>
        <w:widowControl/>
        <w:spacing w:line="276" w:lineRule="auto"/>
        <w:ind w:left="360"/>
        <w:jc w:val="both"/>
        <w:rPr>
          <w:rFonts w:asciiTheme="minorHAnsi" w:eastAsia="Calibri" w:hAnsiTheme="minorHAnsi" w:cstheme="minorHAnsi"/>
          <w:b/>
          <w:color w:val="000000"/>
        </w:rPr>
      </w:pPr>
    </w:p>
    <w:p w14:paraId="1B5D715B" w14:textId="77777777" w:rsidR="00AD76BB" w:rsidRPr="00BB5F42" w:rsidRDefault="00AD76BB" w:rsidP="00A3732C">
      <w:pPr>
        <w:widowControl/>
        <w:numPr>
          <w:ilvl w:val="0"/>
          <w:numId w:val="133"/>
        </w:numPr>
        <w:spacing w:line="276" w:lineRule="auto"/>
        <w:ind w:left="360"/>
        <w:jc w:val="both"/>
        <w:rPr>
          <w:rFonts w:asciiTheme="minorHAnsi" w:eastAsia="Calibri" w:hAnsiTheme="minorHAnsi" w:cstheme="minorHAnsi"/>
          <w:b/>
          <w:color w:val="000000"/>
          <w:lang w:val="pt-BR"/>
        </w:rPr>
      </w:pPr>
      <w:r w:rsidRPr="00BB5F42">
        <w:rPr>
          <w:rFonts w:asciiTheme="minorHAnsi" w:eastAsia="Calibri" w:hAnsiTheme="minorHAnsi" w:cstheme="minorHAnsi"/>
          <w:b/>
          <w:color w:val="000000"/>
          <w:lang w:val="pt-BR"/>
        </w:rPr>
        <w:t>Pago por Obra o PPO:</w:t>
      </w:r>
    </w:p>
    <w:p w14:paraId="6AD26209" w14:textId="41AB25D6"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w:t>
      </w:r>
      <w:r w:rsidR="00C100B2" w:rsidRPr="00285D58">
        <w:rPr>
          <w:rFonts w:asciiTheme="minorHAnsi" w:eastAsia="Calibri" w:hAnsiTheme="minorHAnsi" w:cstheme="minorHAnsi"/>
          <w:color w:val="000000"/>
        </w:rPr>
        <w:t>anticipo</w:t>
      </w:r>
      <w:r w:rsidRPr="00285D58">
        <w:rPr>
          <w:rFonts w:asciiTheme="minorHAnsi" w:eastAsia="Calibri" w:hAnsiTheme="minorHAnsi" w:cstheme="minorHAnsi"/>
          <w:color w:val="000000"/>
        </w:rPr>
        <w:t xml:space="preserve"> que efectúa el CONCEDENTE al CONCESIONARIO </w:t>
      </w:r>
      <w:r w:rsidR="00C100B2" w:rsidRPr="00285D58">
        <w:rPr>
          <w:rFonts w:asciiTheme="minorHAnsi" w:eastAsia="Calibri" w:hAnsiTheme="minorHAnsi" w:cstheme="minorHAnsi"/>
          <w:color w:val="000000"/>
        </w:rPr>
        <w:t xml:space="preserve">como parte del pago por la fabricación </w:t>
      </w:r>
      <w:r w:rsidR="00973187" w:rsidRPr="00285D58">
        <w:rPr>
          <w:rFonts w:asciiTheme="minorHAnsi" w:eastAsia="Calibri" w:hAnsiTheme="minorHAnsi" w:cstheme="minorHAnsi"/>
          <w:color w:val="000000"/>
        </w:rPr>
        <w:t>del Equipamiento</w:t>
      </w:r>
      <w:r w:rsidRPr="00285D58">
        <w:rPr>
          <w:rFonts w:asciiTheme="minorHAnsi" w:eastAsia="Calibri" w:hAnsiTheme="minorHAnsi" w:cstheme="minorHAnsi"/>
          <w:color w:val="000000"/>
        </w:rPr>
        <w:t xml:space="preserve"> Electromecánico de</w:t>
      </w:r>
      <w:r w:rsidR="00C100B2" w:rsidRPr="00285D58">
        <w:rPr>
          <w:rFonts w:asciiTheme="minorHAnsi" w:eastAsia="Calibri" w:hAnsiTheme="minorHAnsi" w:cstheme="minorHAnsi"/>
          <w:color w:val="000000"/>
        </w:rPr>
        <w:t xml:space="preserve"> ambos Componentes</w:t>
      </w:r>
      <w:r w:rsidR="00C100B2" w:rsidRPr="00BB5F42">
        <w:rPr>
          <w:rFonts w:asciiTheme="minorHAnsi" w:eastAsia="Calibri" w:hAnsiTheme="minorHAnsi" w:cstheme="minorHAnsi"/>
          <w:color w:val="000000"/>
        </w:rPr>
        <w:t xml:space="preserve">. </w:t>
      </w:r>
      <w:r w:rsidRPr="00BB5F42">
        <w:rPr>
          <w:rFonts w:asciiTheme="minorHAnsi" w:eastAsia="Calibri" w:hAnsiTheme="minorHAnsi" w:cstheme="minorHAnsi"/>
          <w:color w:val="000000"/>
        </w:rPr>
        <w:t>El</w:t>
      </w:r>
      <w:r w:rsidRPr="00285D58">
        <w:rPr>
          <w:rFonts w:asciiTheme="minorHAnsi" w:eastAsia="Calibri" w:hAnsiTheme="minorHAnsi" w:cstheme="minorHAnsi"/>
          <w:color w:val="000000"/>
        </w:rPr>
        <w:t xml:space="preserve"> </w:t>
      </w:r>
      <w:r w:rsidR="002369C1" w:rsidRPr="00285D58">
        <w:rPr>
          <w:rFonts w:asciiTheme="minorHAnsi" w:eastAsia="Calibri" w:hAnsiTheme="minorHAnsi" w:cstheme="minorHAnsi"/>
          <w:color w:val="000000"/>
        </w:rPr>
        <w:t xml:space="preserve">monto del </w:t>
      </w:r>
      <w:r w:rsidRPr="00285D58">
        <w:rPr>
          <w:rFonts w:asciiTheme="minorHAnsi" w:eastAsia="Calibri" w:hAnsiTheme="minorHAnsi" w:cstheme="minorHAnsi"/>
          <w:color w:val="000000"/>
        </w:rPr>
        <w:t>PPO</w:t>
      </w:r>
      <w:r w:rsidR="002369C1" w:rsidRPr="00285D58">
        <w:rPr>
          <w:rFonts w:asciiTheme="minorHAnsi" w:eastAsia="Calibri" w:hAnsiTheme="minorHAnsi" w:cstheme="minorHAnsi"/>
          <w:color w:val="000000"/>
        </w:rPr>
        <w:t xml:space="preserve"> es fijo y establecido previamente al Concurso, asimismo,</w:t>
      </w:r>
      <w:r w:rsidRPr="00285D58">
        <w:rPr>
          <w:rFonts w:asciiTheme="minorHAnsi" w:eastAsia="Calibri" w:hAnsiTheme="minorHAnsi" w:cstheme="minorHAnsi"/>
          <w:color w:val="000000"/>
        </w:rPr>
        <w:t xml:space="preserve"> se pagará de acuerdo con el cronograma establecido en la Propuesta Técnica del CONCESIONARIO y de acuerdo </w:t>
      </w:r>
      <w:r w:rsidR="00C100B2" w:rsidRPr="00285D58">
        <w:rPr>
          <w:rFonts w:asciiTheme="minorHAnsi" w:eastAsia="Calibri" w:hAnsiTheme="minorHAnsi" w:cstheme="minorHAnsi"/>
          <w:color w:val="000000"/>
        </w:rPr>
        <w:t>con el</w:t>
      </w:r>
      <w:r w:rsidRPr="00285D58">
        <w:rPr>
          <w:rFonts w:asciiTheme="minorHAnsi" w:eastAsia="Calibri" w:hAnsiTheme="minorHAnsi" w:cstheme="minorHAnsi"/>
          <w:color w:val="000000"/>
        </w:rPr>
        <w:t xml:space="preserve"> Apéndice 1 del Anexo 11.</w:t>
      </w:r>
    </w:p>
    <w:p w14:paraId="22AF5291" w14:textId="77777777" w:rsidR="00AD76BB" w:rsidRPr="00285D58" w:rsidRDefault="00AD76BB" w:rsidP="008D1FFF">
      <w:pPr>
        <w:widowControl/>
        <w:tabs>
          <w:tab w:val="left" w:pos="1069"/>
          <w:tab w:val="left" w:pos="1969"/>
        </w:tabs>
        <w:spacing w:line="276" w:lineRule="auto"/>
        <w:ind w:left="426"/>
        <w:jc w:val="both"/>
        <w:rPr>
          <w:rFonts w:asciiTheme="minorHAnsi" w:eastAsia="Calibri" w:hAnsiTheme="minorHAnsi" w:cstheme="minorHAnsi"/>
          <w:color w:val="000000"/>
        </w:rPr>
      </w:pPr>
    </w:p>
    <w:p w14:paraId="697960E8"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Parte:</w:t>
      </w:r>
    </w:p>
    <w:p w14:paraId="70879B7D"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Para efectos del Contrato de Concesión, es, según sea el caso, el CONCEDENTE o el CONCESIONARIO.</w:t>
      </w:r>
    </w:p>
    <w:p w14:paraId="1D650A3E" w14:textId="77777777" w:rsidR="007422BA" w:rsidRPr="00285D58" w:rsidRDefault="007422BA" w:rsidP="008D1FFF">
      <w:pPr>
        <w:spacing w:line="276" w:lineRule="auto"/>
        <w:ind w:firstLine="567"/>
        <w:jc w:val="both"/>
        <w:rPr>
          <w:rFonts w:asciiTheme="minorHAnsi" w:eastAsia="Calibri" w:hAnsiTheme="minorHAnsi" w:cstheme="minorHAnsi"/>
        </w:rPr>
      </w:pPr>
    </w:p>
    <w:p w14:paraId="48469B8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Partes:</w:t>
      </w:r>
    </w:p>
    <w:p w14:paraId="57C8796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Para efectos del Contrato de Concesión, son, conjuntamente, el CONCEDENTE y el CONCESIONARIO.</w:t>
      </w:r>
    </w:p>
    <w:p w14:paraId="40E75B6F" w14:textId="77777777" w:rsidR="007422BA" w:rsidRPr="00285D58" w:rsidRDefault="007422BA" w:rsidP="008D1FFF">
      <w:pPr>
        <w:spacing w:line="276" w:lineRule="auto"/>
        <w:ind w:firstLine="567"/>
        <w:jc w:val="both"/>
        <w:rPr>
          <w:rFonts w:asciiTheme="minorHAnsi" w:eastAsia="Calibri" w:hAnsiTheme="minorHAnsi" w:cstheme="minorHAnsi"/>
        </w:rPr>
      </w:pPr>
    </w:p>
    <w:p w14:paraId="06AB8F7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Participación Mínima:</w:t>
      </w:r>
    </w:p>
    <w:p w14:paraId="7EAA748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participación accionaria mínima, que en ningún momento podrá ser menor al veinticinco por ciento (25%) del capital social suscrito y pagado en efectivo del CONCESIONARIO, que el Socio Estratégico deberá poseer y mantener durante toda la vigencia de la Concesión, conforme a los términos y condiciones que se establecen en el Contrato de Concesión. </w:t>
      </w:r>
    </w:p>
    <w:p w14:paraId="6C46669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63DB9F20"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Esta participación necesariamente tendrá derecho de voz y voto en la Junta General de Accionistas del CONCESIONARIO.</w:t>
      </w:r>
    </w:p>
    <w:p w14:paraId="7B7485D5"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403F3C3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Periodo Operativo:</w:t>
      </w:r>
    </w:p>
    <w:p w14:paraId="54F59299"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lastRenderedPageBreak/>
        <w:t>Es el periodo comprendido desde el Día Calendario en que se suscribe la primera Acta de Inicio de la Operación hasta la fecha de Terminación del Contrato de Concesión. Durante este periodo el CONCESIONARIO llevará a cabo la prestación de los Servicios Obligatorios, que incluye la Operación, Mantenimiento y Conservación de las Obras y Equipamiento Electromecánico y demás obligaciones que se establecen en el Contrato de Concesión.</w:t>
      </w:r>
    </w:p>
    <w:p w14:paraId="6C05CD26" w14:textId="77777777" w:rsidR="007422BA" w:rsidRPr="00285D58" w:rsidRDefault="007422BA" w:rsidP="008D1FFF">
      <w:pPr>
        <w:spacing w:line="276" w:lineRule="auto"/>
        <w:ind w:firstLine="567"/>
        <w:jc w:val="both"/>
        <w:rPr>
          <w:rFonts w:asciiTheme="minorHAnsi" w:eastAsia="Calibri" w:hAnsiTheme="minorHAnsi" w:cstheme="minorHAnsi"/>
        </w:rPr>
      </w:pPr>
    </w:p>
    <w:p w14:paraId="359C1547"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Periodo Pre-Operativo</w:t>
      </w:r>
    </w:p>
    <w:p w14:paraId="3FE922FA"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periodo </w:t>
      </w:r>
      <w:r w:rsidRPr="00285D58">
        <w:rPr>
          <w:rFonts w:asciiTheme="minorHAnsi" w:eastAsia="Calibri" w:hAnsiTheme="minorHAnsi" w:cstheme="minorHAnsi"/>
          <w:color w:val="000000"/>
          <w:u w:val="single"/>
        </w:rPr>
        <w:t>comprendido entre</w:t>
      </w:r>
      <w:r w:rsidRPr="00285D58">
        <w:rPr>
          <w:rFonts w:asciiTheme="minorHAnsi" w:eastAsia="Calibri" w:hAnsiTheme="minorHAnsi" w:cstheme="minorHAnsi"/>
          <w:color w:val="000000"/>
        </w:rPr>
        <w:t xml:space="preserve"> la Fecha de Cierre y la fecha de suscripción de la última Acta de Inicio de Operación. En este periodo se llevará a cabo el diseño, financiamiento y construcción de las Obras e implementación del Equipamiento Electromecánico del Proyecto, así como la Puesta en Marcha de los Componentes Norte y Sur.</w:t>
      </w:r>
    </w:p>
    <w:p w14:paraId="6DEFB705"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204D31B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Plan Anual de Conservación y Mantenimiento:</w:t>
      </w:r>
      <w:r w:rsidRPr="00285D58">
        <w:rPr>
          <w:rFonts w:asciiTheme="minorHAnsi" w:eastAsia="Calibri" w:hAnsiTheme="minorHAnsi" w:cstheme="minorHAnsi"/>
        </w:rPr>
        <w:t xml:space="preserve"> </w:t>
      </w:r>
    </w:p>
    <w:p w14:paraId="4C799099"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Conservación y Mantenimiento de las Obras y Equipamiento, así como también el cumplimiento de los Niveles de Servicio para el periodo de un año.</w:t>
      </w:r>
    </w:p>
    <w:p w14:paraId="6EAD2A3A" w14:textId="77777777" w:rsidR="007422BA" w:rsidRPr="00285D58" w:rsidRDefault="007422BA" w:rsidP="008D1FFF">
      <w:pPr>
        <w:spacing w:line="276" w:lineRule="auto"/>
        <w:jc w:val="both"/>
        <w:rPr>
          <w:rFonts w:asciiTheme="minorHAnsi" w:eastAsia="Calibri" w:hAnsiTheme="minorHAnsi" w:cstheme="minorHAnsi"/>
        </w:rPr>
      </w:pPr>
    </w:p>
    <w:p w14:paraId="0439DB73"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Aseo y Limpieza: </w:t>
      </w:r>
    </w:p>
    <w:p w14:paraId="3AA47F4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Aseo y Limpieza de las Obras y Equipamiento, así como también el cumplimiento de los Niveles de Servicio para el periodo de un año.</w:t>
      </w:r>
    </w:p>
    <w:p w14:paraId="53B49379" w14:textId="77777777" w:rsidR="007422BA" w:rsidRPr="00285D58" w:rsidRDefault="007422BA" w:rsidP="008D1FFF">
      <w:pPr>
        <w:spacing w:line="276" w:lineRule="auto"/>
        <w:jc w:val="both"/>
        <w:rPr>
          <w:rFonts w:asciiTheme="minorHAnsi" w:eastAsia="Calibri" w:hAnsiTheme="minorHAnsi" w:cstheme="minorHAnsi"/>
          <w:b/>
        </w:rPr>
      </w:pPr>
    </w:p>
    <w:p w14:paraId="518A756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Operación: </w:t>
      </w:r>
    </w:p>
    <w:p w14:paraId="47C5DDB5"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de gestión elaborado por el CONCESIONARIO, que contendrá las estrategias, políticas, actividades, frecuencias de ejecución y recursos necesario para la Prestación del Servicio de Transporte Teleférico, así como también el cumplimiento de los Niveles de Servicio para el periodo de un año.</w:t>
      </w:r>
    </w:p>
    <w:p w14:paraId="0CD74FEF"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3B223BD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Plan Anual de Seguridad y Vigilancia: </w:t>
      </w:r>
    </w:p>
    <w:p w14:paraId="2B5FAEC2"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Documento de gestión elaborado por el CONCESIONARIO, que contendrá las estrategias, políticas, actividades, frecuencias de ejecución y recursos necesario para la Prestación del Servicio Seguridad y Vigilancia, así como también el cumplimiento de los Niveles de Servicio para el periodo de un año.</w:t>
      </w:r>
    </w:p>
    <w:p w14:paraId="10C00CAA"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32B2947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Plan de Trabajo:</w:t>
      </w:r>
    </w:p>
    <w:p w14:paraId="07F6C113"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documento por el cual el CONCESIONARIO deberá describir como desarrollará sus actividades para la elaboración de los Estudios Definitivos de Ingeniería, así como el cronograma de avances parciales y entregables que remitirá al CONCEDENTE, con copia al Supervisor, para fines informativos, en el marco de lo previsto en el presente Contrato. Incluirá el esquema de trabajo BIM (Plan de Ejecución BIM) especificando los alcances y limitaciones del Modelo BIM a lo largo del desarrollo del Proyecto, roles, comunicación, convenciones para los elementos de cada especialidad.</w:t>
      </w:r>
    </w:p>
    <w:p w14:paraId="2059A496" w14:textId="77777777" w:rsidR="007422BA" w:rsidRPr="00285D58" w:rsidRDefault="007422BA" w:rsidP="008D1FFF">
      <w:pPr>
        <w:spacing w:line="276" w:lineRule="auto"/>
        <w:ind w:firstLine="567"/>
        <w:jc w:val="both"/>
        <w:rPr>
          <w:rFonts w:asciiTheme="minorHAnsi" w:eastAsia="Calibri" w:hAnsiTheme="minorHAnsi" w:cstheme="minorHAnsi"/>
        </w:rPr>
      </w:pPr>
    </w:p>
    <w:p w14:paraId="2A0BC830"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Plan de Ejecución BIM o BIM Execution Plan (BEP)</w:t>
      </w:r>
    </w:p>
    <w:p w14:paraId="210BAE09"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un documento que define las pautas y métodos de trabajo común que servirán como base y guía de trabajo para el desarrollo de los Estudios Definitivos de Ingeniería elaborados con la metodología BIM.</w:t>
      </w:r>
    </w:p>
    <w:p w14:paraId="58204584"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6917C64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Propuesta Técnica:</w:t>
      </w:r>
    </w:p>
    <w:p w14:paraId="501E45CB" w14:textId="5DD75550"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Es la contenida en el Anexo </w:t>
      </w:r>
      <w:r w:rsidRPr="00285D58">
        <w:rPr>
          <w:rFonts w:asciiTheme="minorHAnsi" w:eastAsia="Calibri" w:hAnsiTheme="minorHAnsi" w:cstheme="minorHAnsi"/>
        </w:rPr>
        <w:t>1</w:t>
      </w:r>
      <w:r w:rsidR="003831D6">
        <w:rPr>
          <w:rFonts w:asciiTheme="minorHAnsi" w:eastAsia="Calibri" w:hAnsiTheme="minorHAnsi" w:cstheme="minorHAnsi"/>
        </w:rPr>
        <w:t>3</w:t>
      </w:r>
      <w:r w:rsidRPr="00285D58">
        <w:rPr>
          <w:rFonts w:asciiTheme="minorHAnsi" w:eastAsia="Calibri" w:hAnsiTheme="minorHAnsi" w:cstheme="minorHAnsi"/>
          <w:color w:val="000000"/>
        </w:rPr>
        <w:t>, cuyo contenido vincula al CONCESIONARIO.</w:t>
      </w:r>
    </w:p>
    <w:p w14:paraId="346858D6" w14:textId="77777777" w:rsidR="007422BA" w:rsidRPr="00285D58" w:rsidRDefault="007422BA" w:rsidP="008D1FFF">
      <w:pPr>
        <w:spacing w:line="276" w:lineRule="auto"/>
        <w:ind w:left="425"/>
        <w:jc w:val="both"/>
        <w:rPr>
          <w:rFonts w:asciiTheme="minorHAnsi" w:eastAsia="Calibri" w:hAnsiTheme="minorHAnsi" w:cstheme="minorHAnsi"/>
        </w:rPr>
      </w:pPr>
    </w:p>
    <w:p w14:paraId="2224C64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Proyecto:</w:t>
      </w:r>
      <w:r w:rsidRPr="00285D58">
        <w:rPr>
          <w:rFonts w:asciiTheme="minorHAnsi" w:eastAsia="Calibri" w:hAnsiTheme="minorHAnsi" w:cstheme="minorHAnsi"/>
          <w:b/>
          <w:color w:val="000000"/>
        </w:rPr>
        <w:tab/>
      </w:r>
    </w:p>
    <w:p w14:paraId="77D7AF5D" w14:textId="2474A429" w:rsidR="007422BA"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Es el proyecto denominado “Mejoramiento de los Servicios Turísticos Públicos del Parque Arqueológico Choquequirao”, ejecutado bajo la modalidad de Asociación Público Privada (APP), de acuerdo con lo establecido en el Contrato de Concesión</w:t>
      </w:r>
      <w:r w:rsidRPr="00285D58">
        <w:rPr>
          <w:rFonts w:asciiTheme="minorHAnsi" w:eastAsia="Calibri" w:hAnsiTheme="minorHAnsi" w:cstheme="minorHAnsi"/>
          <w:color w:val="000000"/>
        </w:rPr>
        <w:t>. </w:t>
      </w:r>
    </w:p>
    <w:p w14:paraId="29CA8985" w14:textId="77777777" w:rsidR="000320C2" w:rsidRPr="00285D58" w:rsidRDefault="000320C2" w:rsidP="008D1FFF">
      <w:pPr>
        <w:spacing w:line="276" w:lineRule="auto"/>
        <w:ind w:left="425"/>
        <w:jc w:val="both"/>
        <w:rPr>
          <w:rFonts w:asciiTheme="minorHAnsi" w:eastAsia="Calibri" w:hAnsiTheme="minorHAnsi" w:cstheme="minorHAnsi"/>
        </w:rPr>
      </w:pPr>
    </w:p>
    <w:p w14:paraId="286F829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Puesta en Marcha:</w:t>
      </w:r>
    </w:p>
    <w:p w14:paraId="58F29661" w14:textId="033B04EF"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w:t>
      </w:r>
      <w:r w:rsidRPr="00285D58">
        <w:rPr>
          <w:rFonts w:asciiTheme="minorHAnsi" w:eastAsia="Calibri" w:hAnsiTheme="minorHAnsi" w:cstheme="minorHAnsi"/>
        </w:rPr>
        <w:t>conjunto</w:t>
      </w:r>
      <w:r w:rsidRPr="00285D58">
        <w:rPr>
          <w:rFonts w:asciiTheme="minorHAnsi" w:eastAsia="Calibri" w:hAnsiTheme="minorHAnsi" w:cstheme="minorHAnsi"/>
          <w:color w:val="000000"/>
        </w:rPr>
        <w:t xml:space="preserve"> de actividades necesarias para verificar la operatividad de las Obras y del Equipamiento Electromecánico, en un periodo de hasta tres (3) meses, que termina con la respectiva emisión del Certificado de Puesta en Marcha.</w:t>
      </w:r>
    </w:p>
    <w:p w14:paraId="6D7FDCCE"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5D46B54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Requerimientos mínimos para el Diseño y Construcción</w:t>
      </w:r>
    </w:p>
    <w:p w14:paraId="7CA675E1" w14:textId="68524BA9"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 xml:space="preserve">Son los requerimientos técnicos mínimos necesarios para realizar las Obras, implementar el Equipamiento Electromecánico, así como los requerimientos mínimos para la implementación del mobiliario y equipamiento administrativo, que deberán ser cumplidos por el CONCESIONARIO y que se desarrollan en el Anexo </w:t>
      </w:r>
      <w:r w:rsidRPr="00285D58">
        <w:rPr>
          <w:rFonts w:asciiTheme="minorHAnsi" w:eastAsia="Calibri" w:hAnsiTheme="minorHAnsi" w:cstheme="minorHAnsi"/>
        </w:rPr>
        <w:t xml:space="preserve">03 </w:t>
      </w:r>
      <w:r w:rsidRPr="00285D58">
        <w:rPr>
          <w:rFonts w:asciiTheme="minorHAnsi" w:eastAsia="Calibri" w:hAnsiTheme="minorHAnsi" w:cstheme="minorHAnsi"/>
          <w:color w:val="000000"/>
        </w:rPr>
        <w:t>del presente Contrato. </w:t>
      </w:r>
    </w:p>
    <w:p w14:paraId="1905454E" w14:textId="77777777" w:rsidR="007422BA" w:rsidRPr="00285D58" w:rsidRDefault="007422BA" w:rsidP="008D1FFF">
      <w:pPr>
        <w:spacing w:line="276" w:lineRule="auto"/>
        <w:ind w:left="425"/>
        <w:jc w:val="both"/>
        <w:rPr>
          <w:rFonts w:asciiTheme="minorHAnsi" w:eastAsia="Calibri" w:hAnsiTheme="minorHAnsi" w:cstheme="minorHAnsi"/>
        </w:rPr>
      </w:pPr>
    </w:p>
    <w:p w14:paraId="7A4091E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Reunión ICE (Ingeniería Concurrente Integrada)</w:t>
      </w:r>
    </w:p>
    <w:p w14:paraId="1A296F0F" w14:textId="77777777" w:rsidR="007422BA" w:rsidRPr="00285D58" w:rsidRDefault="00000000" w:rsidP="008D1FFF">
      <w:pPr>
        <w:spacing w:line="276" w:lineRule="auto"/>
        <w:ind w:left="425"/>
        <w:jc w:val="both"/>
        <w:rPr>
          <w:rFonts w:asciiTheme="minorHAnsi" w:eastAsia="Calibri" w:hAnsiTheme="minorHAnsi" w:cstheme="minorHAnsi"/>
        </w:rPr>
      </w:pPr>
      <w:sdt>
        <w:sdtPr>
          <w:rPr>
            <w:rFonts w:asciiTheme="minorHAnsi" w:hAnsiTheme="minorHAnsi" w:cstheme="minorHAnsi"/>
          </w:rPr>
          <w:tag w:val="goog_rdk_74"/>
          <w:id w:val="949594230"/>
        </w:sdtPr>
        <w:sdtContent/>
      </w:sdt>
      <w:sdt>
        <w:sdtPr>
          <w:rPr>
            <w:rFonts w:asciiTheme="minorHAnsi" w:hAnsiTheme="minorHAnsi" w:cstheme="minorHAnsi"/>
          </w:rPr>
          <w:tag w:val="goog_rdk_75"/>
          <w:id w:val="375361147"/>
        </w:sdtPr>
        <w:sdtContent/>
      </w:sdt>
      <w:sdt>
        <w:sdtPr>
          <w:rPr>
            <w:rFonts w:asciiTheme="minorHAnsi" w:hAnsiTheme="minorHAnsi" w:cstheme="minorHAnsi"/>
          </w:rPr>
          <w:tag w:val="goog_rdk_76"/>
          <w:id w:val="1506010465"/>
        </w:sdtPr>
        <w:sdtContent/>
      </w:sdt>
      <w:r w:rsidR="007422BA" w:rsidRPr="00285D58">
        <w:rPr>
          <w:rFonts w:asciiTheme="minorHAnsi" w:eastAsia="Calibri" w:hAnsiTheme="minorHAnsi" w:cstheme="minorHAnsi"/>
          <w:color w:val="000000"/>
        </w:rPr>
        <w:t>Es cada una de las sesiones de coordinación en las que se reúne el personal debidamente acreditado del CONCESIONARIO, Supervisor y CONCEDENTE, a realizarse de manera periódica en el marco de la elaboración de los Estudios Definitivos de Ingeniería.</w:t>
      </w:r>
    </w:p>
    <w:p w14:paraId="429651EA" w14:textId="77777777" w:rsidR="007422BA" w:rsidRPr="00285D58" w:rsidRDefault="007422BA" w:rsidP="008D1FFF">
      <w:pPr>
        <w:spacing w:line="276" w:lineRule="auto"/>
        <w:ind w:firstLine="567"/>
        <w:jc w:val="both"/>
        <w:rPr>
          <w:rFonts w:asciiTheme="minorHAnsi" w:eastAsia="Calibri" w:hAnsiTheme="minorHAnsi" w:cstheme="minorHAnsi"/>
        </w:rPr>
      </w:pPr>
    </w:p>
    <w:p w14:paraId="1BD15214"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Ruta Crítica</w:t>
      </w:r>
    </w:p>
    <w:p w14:paraId="48469B76"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secuencia de actividades que, en conjunto, determinan el plazo máximo de construcción y que son indispensables para su finalización. Se presenta como parte del Cronograma de Ejecución de Obras y Equipamiento Electromecánico que es incorporada al Estudio Definitivo de Ingeniería.</w:t>
      </w:r>
    </w:p>
    <w:p w14:paraId="57C6E1AC" w14:textId="77777777" w:rsidR="007422BA" w:rsidRPr="00285D58" w:rsidRDefault="007422BA" w:rsidP="008D1FFF">
      <w:pPr>
        <w:spacing w:line="276" w:lineRule="auto"/>
        <w:ind w:firstLine="567"/>
        <w:jc w:val="both"/>
        <w:rPr>
          <w:rFonts w:asciiTheme="minorHAnsi" w:eastAsia="Calibri" w:hAnsiTheme="minorHAnsi" w:cstheme="minorHAnsi"/>
        </w:rPr>
      </w:pPr>
    </w:p>
    <w:p w14:paraId="03CC5B3B"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Saneamiento Físico Legal</w:t>
      </w:r>
    </w:p>
    <w:p w14:paraId="51D48E72"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Comprende todas aquellas acciones que son realizadas sobre las Áreas de la Concesión u otros bienes inmuebles, con el fin de regularizar y formalizar el derecho de propiedad y los derechos reales a dichos inmuebles, teniendo como consecuencia la inscripción de los terrenos, predios o inmuebles de la Concesión en los registros correspondientes, los que se encuentran libres de cargas y gravámenes que pudieran impedir la ejecución del Proyecto.</w:t>
      </w:r>
    </w:p>
    <w:p w14:paraId="6269851A" w14:textId="77777777" w:rsidR="007422BA" w:rsidRPr="00285D58" w:rsidRDefault="007422BA" w:rsidP="008D1FFF">
      <w:pPr>
        <w:spacing w:line="276" w:lineRule="auto"/>
        <w:ind w:left="425"/>
        <w:jc w:val="both"/>
        <w:rPr>
          <w:rFonts w:asciiTheme="minorHAnsi" w:eastAsia="Calibri" w:hAnsiTheme="minorHAnsi" w:cstheme="minorHAnsi"/>
          <w:color w:val="000000"/>
        </w:rPr>
      </w:pPr>
    </w:p>
    <w:p w14:paraId="0524208C"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Servicios Complementarios</w:t>
      </w:r>
    </w:p>
    <w:p w14:paraId="56015620" w14:textId="5078BC0F"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 xml:space="preserve">Son aquellos servicios que sin ser obligatorios para los fines de este Contrato y no contemplados en la Propuesta Técnica, el CONCESIONARIO podrá prestar como producto </w:t>
      </w:r>
      <w:r w:rsidRPr="00285D58">
        <w:rPr>
          <w:rFonts w:asciiTheme="minorHAnsi" w:eastAsia="Calibri" w:hAnsiTheme="minorHAnsi" w:cstheme="minorHAnsi"/>
        </w:rPr>
        <w:lastRenderedPageBreak/>
        <w:t>de la explotación de los Bienes de la Concesión. Podrá incluir la venta de productos que devengan del merchandising de la marca “Teleférico Choquequirao”, para lo cual el CONCESIONARIO debe registrar la marca y el logo del “Teleférico Choquequirao” en el Instituto Nacional de Defensa de la Competencia y de la Protección de la Propiedad Intelectual (Indecopi)</w:t>
      </w:r>
      <w:r w:rsidR="002D5F82" w:rsidRPr="00285D58">
        <w:rPr>
          <w:rFonts w:asciiTheme="minorHAnsi" w:eastAsia="Calibri" w:hAnsiTheme="minorHAnsi" w:cstheme="minorHAnsi"/>
        </w:rPr>
        <w:t xml:space="preserve"> a favor del Estado</w:t>
      </w:r>
      <w:r w:rsidRPr="00285D58">
        <w:rPr>
          <w:rFonts w:asciiTheme="minorHAnsi" w:eastAsia="Calibri" w:hAnsiTheme="minorHAnsi" w:cstheme="minorHAnsi"/>
        </w:rPr>
        <w:t xml:space="preserve">; y cuya prestación deberá ser previamente autorizada por el CONCEDENTE. </w:t>
      </w:r>
    </w:p>
    <w:p w14:paraId="0C51FD78" w14:textId="77777777" w:rsidR="007422BA" w:rsidRPr="00285D58" w:rsidRDefault="007422BA" w:rsidP="008D1FFF">
      <w:pPr>
        <w:spacing w:line="276" w:lineRule="auto"/>
        <w:ind w:left="360"/>
        <w:jc w:val="both"/>
        <w:rPr>
          <w:rFonts w:asciiTheme="minorHAnsi" w:eastAsia="Calibri" w:hAnsiTheme="minorHAnsi" w:cstheme="minorHAnsi"/>
        </w:rPr>
      </w:pPr>
    </w:p>
    <w:p w14:paraId="40759107" w14:textId="7A2AA32D"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 xml:space="preserve">Servicios Obligatorios  </w:t>
      </w:r>
    </w:p>
    <w:p w14:paraId="7949885D" w14:textId="77777777"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Son los servicios que se encuentran contemplados en el marco del Contrato de Concesión por estar referido al objeto del mismo, que son responsabilidad del CONCESIONARIO, que serán implementados y prestados por el mismo, siendo estos los siguientes: </w:t>
      </w:r>
    </w:p>
    <w:p w14:paraId="15015B4A" w14:textId="7408AAA3"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rPr>
      </w:pPr>
      <w:r w:rsidRPr="00285D58">
        <w:rPr>
          <w:rFonts w:asciiTheme="minorHAnsi" w:eastAsia="Calibri" w:hAnsiTheme="minorHAnsi" w:cstheme="minorHAnsi"/>
          <w:b/>
        </w:rPr>
        <w:t xml:space="preserve">Servicio de Conservación y Mantenimiento: </w:t>
      </w:r>
      <w:r w:rsidRPr="00285D58">
        <w:rPr>
          <w:rFonts w:asciiTheme="minorHAnsi" w:eastAsia="Calibri" w:hAnsiTheme="minorHAnsi" w:cstheme="minorHAnsi"/>
        </w:rPr>
        <w:t xml:space="preserve"> Comprende las labores y actividades de Conservación y Mantenimiento de las Obras (Estaciones Centrales, Estaciones del Teleférico</w:t>
      </w:r>
      <w:r w:rsidR="007B3AA9" w:rsidRPr="00285D58">
        <w:rPr>
          <w:rFonts w:asciiTheme="minorHAnsi" w:eastAsia="Calibri" w:hAnsiTheme="minorHAnsi" w:cstheme="minorHAnsi"/>
        </w:rPr>
        <w:t>,</w:t>
      </w:r>
      <w:r w:rsidRPr="00285D58">
        <w:rPr>
          <w:rFonts w:asciiTheme="minorHAnsi" w:eastAsia="Calibri" w:hAnsiTheme="minorHAnsi" w:cstheme="minorHAnsi"/>
        </w:rPr>
        <w:t xml:space="preserve"> las Vías Turísticas</w:t>
      </w:r>
      <w:r w:rsidR="007B3AA9" w:rsidRPr="00285D58">
        <w:rPr>
          <w:rFonts w:asciiTheme="minorHAnsi" w:eastAsia="Calibri" w:hAnsiTheme="minorHAnsi" w:cstheme="minorHAnsi"/>
        </w:rPr>
        <w:t xml:space="preserve"> y los Caminos Peatonales</w:t>
      </w:r>
      <w:r w:rsidRPr="00285D58">
        <w:rPr>
          <w:rFonts w:asciiTheme="minorHAnsi" w:eastAsia="Calibri" w:hAnsiTheme="minorHAnsi" w:cstheme="minorHAnsi"/>
        </w:rPr>
        <w:t xml:space="preserve">), del Equipamiento Electromecánico (Cables, Cabinas, Pinzas, etc.) </w:t>
      </w:r>
      <w:sdt>
        <w:sdtPr>
          <w:rPr>
            <w:rFonts w:asciiTheme="minorHAnsi" w:hAnsiTheme="minorHAnsi" w:cstheme="minorHAnsi"/>
          </w:rPr>
          <w:tag w:val="goog_rdk_78"/>
          <w:id w:val="-1317714902"/>
        </w:sdtPr>
        <w:sdtContent>
          <w:sdt>
            <w:sdtPr>
              <w:rPr>
                <w:rFonts w:asciiTheme="minorHAnsi" w:hAnsiTheme="minorHAnsi" w:cstheme="minorHAnsi"/>
              </w:rPr>
              <w:tag w:val="goog_rdk_79"/>
              <w:id w:val="1360314563"/>
            </w:sdtPr>
            <w:sdtContent/>
          </w:sdt>
          <w:r w:rsidRPr="00285D58">
            <w:rPr>
              <w:rFonts w:asciiTheme="minorHAnsi" w:eastAsia="Calibri" w:hAnsiTheme="minorHAnsi" w:cstheme="minorHAnsi"/>
            </w:rPr>
            <w:t xml:space="preserve">y de los buses </w:t>
          </w:r>
        </w:sdtContent>
      </w:sdt>
      <w:r w:rsidRPr="00285D58">
        <w:rPr>
          <w:rFonts w:asciiTheme="minorHAnsi" w:eastAsia="Calibri" w:hAnsiTheme="minorHAnsi" w:cstheme="minorHAnsi"/>
        </w:rPr>
        <w:t>con los siguientes métodos:</w:t>
      </w:r>
    </w:p>
    <w:p w14:paraId="7017D0F7"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Mantenimiento Preventivo (actividades rutinarias o periódicas)</w:t>
      </w:r>
    </w:p>
    <w:p w14:paraId="5CB87E94"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Mantenimiento Correctivo</w:t>
      </w:r>
    </w:p>
    <w:p w14:paraId="2CDCCE81"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Reposición de Insumos y Componentes </w:t>
      </w:r>
    </w:p>
    <w:p w14:paraId="2DEB036E" w14:textId="77777777" w:rsidR="007422BA" w:rsidRPr="00285D58" w:rsidRDefault="007422BA" w:rsidP="008D1FFF">
      <w:pPr>
        <w:widowControl/>
        <w:numPr>
          <w:ilvl w:val="0"/>
          <w:numId w:val="9"/>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Reposición de Bienes y Mobiliario</w:t>
      </w:r>
    </w:p>
    <w:p w14:paraId="2BEF6143" w14:textId="77777777" w:rsidR="007422BA" w:rsidRPr="00285D58" w:rsidRDefault="007422BA" w:rsidP="008D1FFF">
      <w:pPr>
        <w:pBdr>
          <w:top w:val="nil"/>
          <w:left w:val="nil"/>
          <w:bottom w:val="nil"/>
          <w:right w:val="nil"/>
          <w:between w:val="nil"/>
        </w:pBdr>
        <w:spacing w:line="276" w:lineRule="auto"/>
        <w:ind w:left="1701"/>
        <w:jc w:val="both"/>
        <w:rPr>
          <w:rFonts w:asciiTheme="minorHAnsi" w:eastAsia="Calibri" w:hAnsiTheme="minorHAnsi" w:cstheme="minorHAnsi"/>
          <w:color w:val="000000"/>
        </w:rPr>
      </w:pPr>
    </w:p>
    <w:p w14:paraId="19731A10"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Aseo y Limpieza: </w:t>
      </w:r>
      <w:r w:rsidRPr="00285D58">
        <w:rPr>
          <w:rFonts w:asciiTheme="minorHAnsi" w:eastAsia="Calibri" w:hAnsiTheme="minorHAnsi" w:cstheme="minorHAnsi"/>
        </w:rPr>
        <w:t>Comprende los siguientes servicios:</w:t>
      </w:r>
    </w:p>
    <w:p w14:paraId="6FBB9FAB"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en las Estaciones Centrales y Estaciones de los Teleféricos</w:t>
      </w:r>
    </w:p>
    <w:p w14:paraId="0BE94462"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del Equipamiento Electromecánico de los Teleféricos</w:t>
      </w:r>
    </w:p>
    <w:p w14:paraId="0EF10E64" w14:textId="63356D11"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Aseo y Limpieza de buses</w:t>
      </w:r>
    </w:p>
    <w:p w14:paraId="50C1BAF0" w14:textId="2281250D"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Servicio de Gestión de Residuos Sólidos generados dentro de las estaciones, cabinas </w:t>
      </w:r>
      <w:sdt>
        <w:sdtPr>
          <w:rPr>
            <w:rFonts w:asciiTheme="minorHAnsi" w:hAnsiTheme="minorHAnsi" w:cstheme="minorHAnsi"/>
          </w:rPr>
          <w:tag w:val="goog_rdk_80"/>
          <w:id w:val="1396008527"/>
        </w:sdtPr>
        <w:sdtContent/>
      </w:sdt>
      <w:sdt>
        <w:sdtPr>
          <w:rPr>
            <w:rFonts w:asciiTheme="minorHAnsi" w:hAnsiTheme="minorHAnsi" w:cstheme="minorHAnsi"/>
          </w:rPr>
          <w:tag w:val="goog_rdk_81"/>
          <w:id w:val="1258941242"/>
        </w:sdtPr>
        <w:sdtContent/>
      </w:sdt>
      <w:sdt>
        <w:sdtPr>
          <w:rPr>
            <w:rFonts w:asciiTheme="minorHAnsi" w:hAnsiTheme="minorHAnsi" w:cstheme="minorHAnsi"/>
          </w:rPr>
          <w:tag w:val="goog_rdk_82"/>
          <w:id w:val="1876971781"/>
        </w:sdtPr>
        <w:sdtContent/>
      </w:sdt>
      <w:r w:rsidRPr="00285D58">
        <w:rPr>
          <w:rFonts w:asciiTheme="minorHAnsi" w:eastAsia="Calibri" w:hAnsiTheme="minorHAnsi" w:cstheme="minorHAnsi"/>
          <w:color w:val="000000"/>
        </w:rPr>
        <w:t>y buses</w:t>
      </w:r>
    </w:p>
    <w:p w14:paraId="332D7443" w14:textId="77777777" w:rsidR="007422BA" w:rsidRPr="00285D58" w:rsidRDefault="007422BA" w:rsidP="008D1FFF">
      <w:pPr>
        <w:widowControl/>
        <w:numPr>
          <w:ilvl w:val="0"/>
          <w:numId w:val="8"/>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Control de Plagas</w:t>
      </w:r>
    </w:p>
    <w:p w14:paraId="71D1F778" w14:textId="77777777" w:rsidR="007422BA" w:rsidRPr="00285D58" w:rsidRDefault="007422BA" w:rsidP="008D1FFF">
      <w:pPr>
        <w:pBdr>
          <w:top w:val="nil"/>
          <w:left w:val="nil"/>
          <w:bottom w:val="nil"/>
          <w:right w:val="nil"/>
          <w:between w:val="nil"/>
        </w:pBdr>
        <w:spacing w:line="276" w:lineRule="auto"/>
        <w:ind w:left="1004"/>
        <w:jc w:val="both"/>
        <w:rPr>
          <w:rFonts w:asciiTheme="minorHAnsi" w:eastAsia="Calibri" w:hAnsiTheme="minorHAnsi" w:cstheme="minorHAnsi"/>
          <w:color w:val="000000"/>
        </w:rPr>
      </w:pPr>
    </w:p>
    <w:p w14:paraId="1F0F9B3A"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Seguridad y Vigilancia: </w:t>
      </w:r>
      <w:r w:rsidRPr="00285D58">
        <w:rPr>
          <w:rFonts w:asciiTheme="minorHAnsi" w:eastAsia="Calibri" w:hAnsiTheme="minorHAnsi" w:cstheme="minorHAnsi"/>
        </w:rPr>
        <w:t>Comprende los siguientes servicios:</w:t>
      </w:r>
    </w:p>
    <w:p w14:paraId="34C2B173" w14:textId="77777777" w:rsidR="007422BA" w:rsidRPr="00285D58" w:rsidRDefault="007422BA" w:rsidP="008D1FFF">
      <w:pPr>
        <w:widowControl/>
        <w:numPr>
          <w:ilvl w:val="0"/>
          <w:numId w:val="7"/>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Vigilancia dentro de las Estaciones </w:t>
      </w:r>
    </w:p>
    <w:p w14:paraId="2C1E5727" w14:textId="72ED95D8" w:rsidR="007422BA" w:rsidRPr="00285D58" w:rsidRDefault="007422BA" w:rsidP="008D1FFF">
      <w:pPr>
        <w:widowControl/>
        <w:numPr>
          <w:ilvl w:val="0"/>
          <w:numId w:val="7"/>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Vigilancia rutinaria</w:t>
      </w:r>
      <w:sdt>
        <w:sdtPr>
          <w:rPr>
            <w:rFonts w:asciiTheme="minorHAnsi" w:hAnsiTheme="minorHAnsi" w:cstheme="minorHAnsi"/>
          </w:rPr>
          <w:tag w:val="goog_rdk_83"/>
          <w:id w:val="-1800759564"/>
          <w:showingPlcHdr/>
        </w:sdtPr>
        <w:sdtContent>
          <w:r w:rsidR="008E0D99" w:rsidRPr="00285D58">
            <w:rPr>
              <w:rFonts w:asciiTheme="minorHAnsi" w:hAnsiTheme="minorHAnsi" w:cstheme="minorHAnsi"/>
            </w:rPr>
            <w:t xml:space="preserve">     </w:t>
          </w:r>
        </w:sdtContent>
      </w:sdt>
    </w:p>
    <w:p w14:paraId="23024CDC" w14:textId="77777777" w:rsidR="007422BA" w:rsidRPr="00285D58" w:rsidRDefault="007422BA" w:rsidP="008D1FFF">
      <w:pPr>
        <w:widowControl/>
        <w:numPr>
          <w:ilvl w:val="0"/>
          <w:numId w:val="7"/>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Vigilancia correctiva o Atención de Emergencias</w:t>
      </w:r>
    </w:p>
    <w:p w14:paraId="2A4B57A9" w14:textId="77777777" w:rsidR="007422BA" w:rsidRPr="00285D58" w:rsidRDefault="007422BA" w:rsidP="008D1FFF">
      <w:pPr>
        <w:widowControl/>
        <w:numPr>
          <w:ilvl w:val="0"/>
          <w:numId w:val="7"/>
        </w:numPr>
        <w:pBdr>
          <w:top w:val="nil"/>
          <w:left w:val="nil"/>
          <w:bottom w:val="nil"/>
          <w:right w:val="nil"/>
          <w:between w:val="nil"/>
        </w:pBdr>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Implementación de cámaras de videovigilancia</w:t>
      </w:r>
    </w:p>
    <w:p w14:paraId="276EA9AA" w14:textId="77777777" w:rsidR="007422BA" w:rsidRPr="00285D58" w:rsidRDefault="007422BA"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5B6FAC3B" w14:textId="77777777"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 xml:space="preserve">Servicio de Transporte por Teleférico y Buses: </w:t>
      </w:r>
      <w:r w:rsidRPr="00285D58">
        <w:rPr>
          <w:rFonts w:asciiTheme="minorHAnsi" w:eastAsia="Calibri" w:hAnsiTheme="minorHAnsi" w:cstheme="minorHAnsi"/>
        </w:rPr>
        <w:t>Comprende los siguientes servicios:</w:t>
      </w:r>
    </w:p>
    <w:p w14:paraId="662F4C97" w14:textId="2B3DE7D3" w:rsidR="007422BA" w:rsidRDefault="007422BA" w:rsidP="008D1FFF">
      <w:pPr>
        <w:widowControl/>
        <w:numPr>
          <w:ilvl w:val="0"/>
          <w:numId w:val="2"/>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Transporte por Teleférico y Buses</w:t>
      </w:r>
    </w:p>
    <w:p w14:paraId="00F34E71" w14:textId="77777777" w:rsidR="00837C90" w:rsidRPr="00285D58" w:rsidRDefault="00837C90" w:rsidP="00BB5F42">
      <w:pPr>
        <w:widowControl/>
        <w:pBdr>
          <w:top w:val="nil"/>
          <w:left w:val="nil"/>
          <w:bottom w:val="nil"/>
          <w:right w:val="nil"/>
          <w:between w:val="nil"/>
        </w:pBdr>
        <w:tabs>
          <w:tab w:val="left" w:pos="1701"/>
        </w:tabs>
        <w:spacing w:line="276" w:lineRule="auto"/>
        <w:jc w:val="both"/>
        <w:rPr>
          <w:rFonts w:asciiTheme="minorHAnsi" w:eastAsia="Calibri" w:hAnsiTheme="minorHAnsi" w:cstheme="minorHAnsi"/>
          <w:color w:val="000000"/>
        </w:rPr>
      </w:pPr>
    </w:p>
    <w:p w14:paraId="3F9A320B" w14:textId="248BA3D1"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Transporte Terrestre</w:t>
      </w:r>
      <w:r w:rsidR="002D5F82" w:rsidRPr="00285D58">
        <w:rPr>
          <w:rFonts w:asciiTheme="minorHAnsi" w:eastAsia="Calibri" w:hAnsiTheme="minorHAnsi" w:cstheme="minorHAnsi"/>
          <w:color w:val="000000"/>
        </w:rPr>
        <w:t xml:space="preserve"> en Bus</w:t>
      </w:r>
      <w:r w:rsidRPr="00285D58">
        <w:rPr>
          <w:rFonts w:asciiTheme="minorHAnsi" w:eastAsia="Calibri" w:hAnsiTheme="minorHAnsi" w:cstheme="minorHAnsi"/>
          <w:color w:val="000000"/>
        </w:rPr>
        <w:t xml:space="preserve"> </w:t>
      </w:r>
      <w:r w:rsidR="002D5F82" w:rsidRPr="00285D58">
        <w:rPr>
          <w:rFonts w:asciiTheme="minorHAnsi" w:eastAsia="Calibri" w:hAnsiTheme="minorHAnsi" w:cstheme="minorHAnsi"/>
          <w:color w:val="000000"/>
        </w:rPr>
        <w:t>(</w:t>
      </w:r>
      <w:r w:rsidRPr="00285D58">
        <w:rPr>
          <w:rFonts w:asciiTheme="minorHAnsi" w:eastAsia="Calibri" w:hAnsiTheme="minorHAnsi" w:cstheme="minorHAnsi"/>
          <w:color w:val="000000"/>
        </w:rPr>
        <w:t xml:space="preserve">entre </w:t>
      </w:r>
      <w:r w:rsidR="002D5F82" w:rsidRPr="00285D58">
        <w:rPr>
          <w:rFonts w:asciiTheme="minorHAnsi" w:eastAsia="Calibri" w:hAnsiTheme="minorHAnsi" w:cstheme="minorHAnsi"/>
          <w:color w:val="000000"/>
        </w:rPr>
        <w:t xml:space="preserve">las </w:t>
      </w:r>
      <w:r w:rsidRPr="00285D58">
        <w:rPr>
          <w:rFonts w:asciiTheme="minorHAnsi" w:eastAsia="Calibri" w:hAnsiTheme="minorHAnsi" w:cstheme="minorHAnsi"/>
          <w:color w:val="000000"/>
        </w:rPr>
        <w:t>estaciones centrales y estaciones de salida</w:t>
      </w:r>
      <w:r w:rsidR="002D5F82" w:rsidRPr="00285D58">
        <w:rPr>
          <w:rFonts w:asciiTheme="minorHAnsi" w:eastAsia="Calibri" w:hAnsiTheme="minorHAnsi" w:cstheme="minorHAnsi"/>
          <w:color w:val="000000"/>
        </w:rPr>
        <w:t>)</w:t>
      </w:r>
    </w:p>
    <w:p w14:paraId="197EAD22" w14:textId="77777777"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Gestión y Control de Accesos de Usuarios</w:t>
      </w:r>
    </w:p>
    <w:p w14:paraId="2BC4C2BA" w14:textId="77ED88D1"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Gestión de embarque y desembarque de Usuarios en Estaciones</w:t>
      </w:r>
      <w:r w:rsidR="00CD47E2" w:rsidRPr="00285D58">
        <w:rPr>
          <w:rFonts w:asciiTheme="minorHAnsi" w:eastAsia="Calibri" w:hAnsiTheme="minorHAnsi" w:cstheme="minorHAnsi"/>
          <w:color w:val="000000"/>
        </w:rPr>
        <w:t xml:space="preserve"> </w:t>
      </w:r>
      <w:r w:rsidR="00CD47E2" w:rsidRPr="00285D58">
        <w:rPr>
          <w:rFonts w:asciiTheme="minorHAnsi" w:hAnsiTheme="minorHAnsi" w:cstheme="minorHAnsi"/>
          <w:lang w:val="es-PE"/>
        </w:rPr>
        <w:t>(gestión de colas y aglomeraciones).</w:t>
      </w:r>
    </w:p>
    <w:p w14:paraId="54C8A1EF" w14:textId="77777777" w:rsidR="00CD47E2" w:rsidRPr="00285D58" w:rsidRDefault="00CD47E2" w:rsidP="00E82B67">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Accesibilidad para personas con discapacidad y personas adultas mayores.</w:t>
      </w:r>
    </w:p>
    <w:p w14:paraId="366F1716" w14:textId="0BD1ADA5" w:rsidR="007422BA" w:rsidRPr="00285D58" w:rsidRDefault="007422BA"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Servicio de Información y Atención al Usuario</w:t>
      </w:r>
      <w:r w:rsidR="00CD47E2" w:rsidRPr="00285D58">
        <w:rPr>
          <w:rFonts w:asciiTheme="minorHAnsi" w:eastAsia="Calibri" w:hAnsiTheme="minorHAnsi" w:cstheme="minorHAnsi"/>
          <w:color w:val="000000"/>
        </w:rPr>
        <w:t xml:space="preserve"> en castellano, quechua e inglés.</w:t>
      </w:r>
    </w:p>
    <w:p w14:paraId="05FF4034" w14:textId="624080F5" w:rsidR="00CD47E2" w:rsidRPr="00285D58" w:rsidRDefault="00CD47E2" w:rsidP="008D1FFF">
      <w:pPr>
        <w:widowControl/>
        <w:numPr>
          <w:ilvl w:val="0"/>
          <w:numId w:val="2"/>
        </w:numPr>
        <w:pBdr>
          <w:top w:val="nil"/>
          <w:left w:val="nil"/>
          <w:bottom w:val="nil"/>
          <w:right w:val="nil"/>
          <w:between w:val="nil"/>
        </w:pBdr>
        <w:tabs>
          <w:tab w:val="left" w:pos="1843"/>
        </w:tabs>
        <w:spacing w:line="276" w:lineRule="auto"/>
        <w:ind w:left="170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Servicio de Orientación (señalética) en castellano, quechua e inglés.  </w:t>
      </w:r>
    </w:p>
    <w:p w14:paraId="5ED585B3" w14:textId="77777777" w:rsidR="007422BA" w:rsidRPr="00285D58" w:rsidRDefault="007422BA" w:rsidP="008D1FFF">
      <w:pPr>
        <w:pBdr>
          <w:top w:val="nil"/>
          <w:left w:val="nil"/>
          <w:bottom w:val="nil"/>
          <w:right w:val="nil"/>
          <w:between w:val="nil"/>
        </w:pBdr>
        <w:tabs>
          <w:tab w:val="left" w:pos="1843"/>
        </w:tabs>
        <w:spacing w:line="276" w:lineRule="auto"/>
        <w:jc w:val="both"/>
        <w:rPr>
          <w:rFonts w:asciiTheme="minorHAnsi" w:eastAsia="Calibri" w:hAnsiTheme="minorHAnsi" w:cstheme="minorHAnsi"/>
          <w:color w:val="000000"/>
        </w:rPr>
      </w:pPr>
    </w:p>
    <w:p w14:paraId="407714A5" w14:textId="373762B8" w:rsidR="007422BA" w:rsidRPr="00285D58" w:rsidRDefault="007422BA" w:rsidP="008D1FFF">
      <w:pPr>
        <w:widowControl/>
        <w:numPr>
          <w:ilvl w:val="0"/>
          <w:numId w:val="31"/>
        </w:numPr>
        <w:spacing w:after="160" w:line="276" w:lineRule="auto"/>
        <w:ind w:left="709" w:firstLine="0"/>
        <w:jc w:val="both"/>
        <w:rPr>
          <w:rFonts w:asciiTheme="minorHAnsi" w:eastAsia="Calibri" w:hAnsiTheme="minorHAnsi" w:cstheme="minorHAnsi"/>
          <w:b/>
        </w:rPr>
      </w:pPr>
      <w:r w:rsidRPr="00285D58">
        <w:rPr>
          <w:rFonts w:asciiTheme="minorHAnsi" w:eastAsia="Calibri" w:hAnsiTheme="minorHAnsi" w:cstheme="minorHAnsi"/>
          <w:b/>
        </w:rPr>
        <w:t>Servicio de la Administración de los Servicios</w:t>
      </w:r>
      <w:r w:rsidR="00837C90">
        <w:rPr>
          <w:rFonts w:asciiTheme="minorHAnsi" w:eastAsia="Calibri" w:hAnsiTheme="minorHAnsi" w:cstheme="minorHAnsi"/>
          <w:b/>
        </w:rPr>
        <w:t xml:space="preserve"> Obligatorios</w:t>
      </w:r>
      <w:r w:rsidRPr="00285D58">
        <w:rPr>
          <w:rFonts w:asciiTheme="minorHAnsi" w:eastAsia="Calibri" w:hAnsiTheme="minorHAnsi" w:cstheme="minorHAnsi"/>
          <w:b/>
        </w:rPr>
        <w:t xml:space="preserve">: </w:t>
      </w:r>
      <w:r w:rsidRPr="00285D58">
        <w:rPr>
          <w:rFonts w:asciiTheme="minorHAnsi" w:eastAsia="Calibri" w:hAnsiTheme="minorHAnsi" w:cstheme="minorHAnsi"/>
        </w:rPr>
        <w:t>Comprende los siguientes servicios:</w:t>
      </w:r>
    </w:p>
    <w:p w14:paraId="335FD802"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Elaboración de Informes Mensuales de Actividades</w:t>
      </w:r>
    </w:p>
    <w:p w14:paraId="7EEE84F0"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Evaluación periódica de los Niveles de Servicio e Indicadores</w:t>
      </w:r>
    </w:p>
    <w:p w14:paraId="1F6EDE94"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Registro y documentación de Actividades de Operación  </w:t>
      </w:r>
    </w:p>
    <w:p w14:paraId="7B5DA31D" w14:textId="77777777"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Cumplimiento de los Instrumentos de Gestión Ambiental</w:t>
      </w:r>
    </w:p>
    <w:sdt>
      <w:sdtPr>
        <w:rPr>
          <w:rFonts w:asciiTheme="minorHAnsi" w:hAnsiTheme="minorHAnsi" w:cstheme="minorBidi"/>
        </w:rPr>
        <w:tag w:val="goog_rdk_89"/>
        <w:id w:val="-785125469"/>
      </w:sdtPr>
      <w:sdtContent>
        <w:p w14:paraId="52477716" w14:textId="707B2F7A" w:rsidR="007422BA" w:rsidRPr="00285D58" w:rsidRDefault="007422BA" w:rsidP="008D1FFF">
          <w:pPr>
            <w:widowControl/>
            <w:numPr>
              <w:ilvl w:val="0"/>
              <w:numId w:val="3"/>
            </w:numPr>
            <w:pBdr>
              <w:top w:val="nil"/>
              <w:left w:val="nil"/>
              <w:bottom w:val="nil"/>
              <w:right w:val="nil"/>
              <w:between w:val="nil"/>
            </w:pBdr>
            <w:tabs>
              <w:tab w:val="left" w:pos="1701"/>
            </w:tabs>
            <w:spacing w:line="276" w:lineRule="auto"/>
            <w:ind w:firstLine="272"/>
            <w:jc w:val="both"/>
            <w:rPr>
              <w:rFonts w:asciiTheme="minorHAnsi" w:eastAsia="Calibri" w:hAnsiTheme="minorHAnsi" w:cstheme="minorHAnsi"/>
              <w:color w:val="000000"/>
            </w:rPr>
          </w:pPr>
          <w:r w:rsidRPr="00285D58">
            <w:rPr>
              <w:rFonts w:asciiTheme="minorHAnsi" w:eastAsia="Calibri" w:hAnsiTheme="minorHAnsi" w:cstheme="minorHAnsi"/>
              <w:color w:val="000000"/>
            </w:rPr>
            <w:t>Gestión documentaria</w:t>
          </w:r>
          <w:sdt>
            <w:sdtPr>
              <w:rPr>
                <w:rFonts w:asciiTheme="minorHAnsi" w:hAnsiTheme="minorHAnsi" w:cstheme="minorHAnsi"/>
              </w:rPr>
              <w:tag w:val="goog_rdk_87"/>
              <w:id w:val="-1410986816"/>
            </w:sdtPr>
            <w:sdtContent>
              <w:sdt>
                <w:sdtPr>
                  <w:rPr>
                    <w:rFonts w:asciiTheme="minorHAnsi" w:hAnsiTheme="minorHAnsi" w:cstheme="minorHAnsi"/>
                  </w:rPr>
                  <w:tag w:val="goog_rdk_88"/>
                  <w:id w:val="1869255497"/>
                  <w:showingPlcHdr/>
                </w:sdtPr>
                <w:sdtContent>
                  <w:r w:rsidR="006B710B" w:rsidRPr="00285D58">
                    <w:rPr>
                      <w:rFonts w:asciiTheme="minorHAnsi" w:hAnsiTheme="minorHAnsi" w:cstheme="minorHAnsi"/>
                    </w:rPr>
                    <w:t xml:space="preserve">     </w:t>
                  </w:r>
                </w:sdtContent>
              </w:sdt>
            </w:sdtContent>
          </w:sdt>
        </w:p>
      </w:sdtContent>
    </w:sdt>
    <w:p w14:paraId="1AB06208" w14:textId="77777777" w:rsidR="007422BA" w:rsidRPr="00285D58" w:rsidRDefault="007422BA" w:rsidP="008D1FFF">
      <w:pPr>
        <w:widowControl/>
        <w:pBdr>
          <w:top w:val="nil"/>
          <w:left w:val="nil"/>
          <w:bottom w:val="nil"/>
          <w:right w:val="nil"/>
          <w:between w:val="nil"/>
        </w:pBdr>
        <w:tabs>
          <w:tab w:val="left" w:pos="1701"/>
        </w:tabs>
        <w:spacing w:line="276" w:lineRule="auto"/>
        <w:jc w:val="both"/>
        <w:rPr>
          <w:rFonts w:asciiTheme="minorHAnsi" w:eastAsia="Calibri" w:hAnsiTheme="minorHAnsi" w:cstheme="minorHAnsi"/>
        </w:rPr>
      </w:pPr>
    </w:p>
    <w:p w14:paraId="7BAD9AFA" w14:textId="281491EB" w:rsidR="007422BA" w:rsidRPr="00285D58" w:rsidRDefault="007422BA" w:rsidP="008D1FFF">
      <w:pPr>
        <w:spacing w:line="276" w:lineRule="auto"/>
        <w:ind w:left="567"/>
        <w:jc w:val="both"/>
        <w:rPr>
          <w:rFonts w:asciiTheme="minorHAnsi" w:eastAsia="Calibri" w:hAnsiTheme="minorHAnsi" w:cstheme="minorHAnsi"/>
        </w:rPr>
      </w:pPr>
      <w:r w:rsidRPr="00285D58">
        <w:rPr>
          <w:rFonts w:asciiTheme="minorHAnsi" w:eastAsia="Calibri" w:hAnsiTheme="minorHAnsi" w:cstheme="minorHAnsi"/>
          <w:color w:val="000000"/>
        </w:rPr>
        <w:t xml:space="preserve">Dichos servicios deberán cumplir los Niveles de Servicio establecidos en el Anexo </w:t>
      </w:r>
      <w:r w:rsidRPr="00285D58">
        <w:rPr>
          <w:rFonts w:asciiTheme="minorHAnsi" w:eastAsia="Calibri" w:hAnsiTheme="minorHAnsi" w:cstheme="minorHAnsi"/>
        </w:rPr>
        <w:t xml:space="preserve">09 </w:t>
      </w:r>
      <w:r w:rsidRPr="00285D58">
        <w:rPr>
          <w:rFonts w:asciiTheme="minorHAnsi" w:eastAsia="Calibri" w:hAnsiTheme="minorHAnsi" w:cstheme="minorHAnsi"/>
          <w:color w:val="000000"/>
        </w:rPr>
        <w:t xml:space="preserve">y serán retribuidos a través del PPD, así como lo establecido en </w:t>
      </w:r>
      <w:r w:rsidRPr="00285D58">
        <w:rPr>
          <w:rFonts w:asciiTheme="minorHAnsi" w:eastAsia="Calibri" w:hAnsiTheme="minorHAnsi" w:cstheme="minorHAnsi"/>
        </w:rPr>
        <w:t>el Apéndice 1 del Anexo 09.</w:t>
      </w:r>
    </w:p>
    <w:p w14:paraId="4E1F735D" w14:textId="77777777" w:rsidR="007422BA" w:rsidRPr="00285D58" w:rsidRDefault="007422BA" w:rsidP="008D1FFF">
      <w:pPr>
        <w:spacing w:line="276" w:lineRule="auto"/>
        <w:jc w:val="both"/>
        <w:rPr>
          <w:rFonts w:asciiTheme="minorHAnsi" w:eastAsia="Calibri" w:hAnsiTheme="minorHAnsi" w:cstheme="minorHAnsi"/>
          <w:b/>
          <w:color w:val="000000"/>
        </w:rPr>
      </w:pPr>
    </w:p>
    <w:p w14:paraId="27998B15"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color w:val="000000"/>
        </w:rPr>
      </w:pPr>
      <w:r w:rsidRPr="00285D58">
        <w:rPr>
          <w:rFonts w:asciiTheme="minorHAnsi" w:eastAsia="Calibri" w:hAnsiTheme="minorHAnsi" w:cstheme="minorHAnsi"/>
          <w:b/>
          <w:color w:val="000000"/>
        </w:rPr>
        <w:t>Servicio Turístico</w:t>
      </w:r>
    </w:p>
    <w:p w14:paraId="4879655E" w14:textId="3001B320"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rPr>
        <w:t>Se refiere a la provisión de las instalaciones en el corredor turístico Choquequirao que permitan brindar a los visitantes una alternativa de acceso, seguro y eficiente, al Recurso Turístico “Monumento Arqueológico de Choquequirao”; servicio que incluye la implementación de dos medios de transporte: (i) teleférico, que permitirá acceder de manera directa al recurso, y (ii) buses, servicio de transporte turístico que funcionará como alimentador del Teleférico. Ambos a desarrollarse conforme a lo previsto en el Contrato de Concesión.</w:t>
      </w:r>
    </w:p>
    <w:p w14:paraId="74329E96" w14:textId="77777777" w:rsidR="007422BA" w:rsidRPr="00285D58" w:rsidRDefault="007422BA" w:rsidP="008D1FFF">
      <w:pPr>
        <w:spacing w:line="276" w:lineRule="auto"/>
        <w:jc w:val="both"/>
        <w:rPr>
          <w:rFonts w:asciiTheme="minorHAnsi" w:eastAsia="Calibri" w:hAnsiTheme="minorHAnsi" w:cstheme="minorHAnsi"/>
          <w:b/>
          <w:color w:val="000000"/>
        </w:rPr>
      </w:pPr>
    </w:p>
    <w:p w14:paraId="54FADFB8" w14:textId="77777777" w:rsidR="007422BA" w:rsidRPr="00285D58" w:rsidRDefault="007422BA" w:rsidP="00A3732C">
      <w:pPr>
        <w:widowControl/>
        <w:numPr>
          <w:ilvl w:val="0"/>
          <w:numId w:val="133"/>
        </w:numPr>
        <w:spacing w:line="276" w:lineRule="auto"/>
        <w:ind w:left="425" w:hanging="425"/>
        <w:jc w:val="both"/>
        <w:rPr>
          <w:rFonts w:asciiTheme="minorHAnsi" w:eastAsia="Calibri" w:hAnsiTheme="minorHAnsi" w:cstheme="minorHAnsi"/>
          <w:color w:val="000000"/>
        </w:rPr>
      </w:pPr>
      <w:r w:rsidRPr="00285D58">
        <w:rPr>
          <w:rFonts w:asciiTheme="minorHAnsi" w:eastAsia="Calibri" w:hAnsiTheme="minorHAnsi" w:cstheme="minorHAnsi"/>
          <w:b/>
          <w:color w:val="000000"/>
        </w:rPr>
        <w:t>Sistema Digital Integrado (SIDIG)</w:t>
      </w:r>
    </w:p>
    <w:p w14:paraId="3765802B" w14:textId="633C1D58"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rPr>
        <w:t>Es el sistema informático que implementará el CONCESIONARIO para la gestión de los documentos digitales y monitoreo de toda la documentación que se lleve a cabo desde la suscripción del Contrato hasta el fin de Operación entre el CONCESIONARIO, Supervisor y el CONCE</w:t>
      </w:r>
      <w:r w:rsidR="003831D6">
        <w:rPr>
          <w:rFonts w:asciiTheme="minorHAnsi" w:eastAsia="Calibri" w:hAnsiTheme="minorHAnsi" w:cstheme="minorHAnsi"/>
        </w:rPr>
        <w:t>DENTE</w:t>
      </w:r>
      <w:r w:rsidRPr="00285D58">
        <w:rPr>
          <w:rFonts w:asciiTheme="minorHAnsi" w:eastAsia="Calibri" w:hAnsiTheme="minorHAnsi" w:cstheme="minorHAnsi"/>
        </w:rPr>
        <w:t>.</w:t>
      </w:r>
    </w:p>
    <w:p w14:paraId="4BF2C1CB" w14:textId="77777777" w:rsidR="007422BA" w:rsidRPr="00285D58" w:rsidRDefault="007422BA" w:rsidP="008D1FFF">
      <w:pPr>
        <w:spacing w:line="276" w:lineRule="auto"/>
        <w:ind w:left="360"/>
        <w:jc w:val="both"/>
        <w:rPr>
          <w:rFonts w:asciiTheme="minorHAnsi" w:eastAsia="Calibri" w:hAnsiTheme="minorHAnsi" w:cstheme="minorHAnsi"/>
        </w:rPr>
      </w:pPr>
    </w:p>
    <w:p w14:paraId="3B017039"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Socio Estratégico</w:t>
      </w:r>
    </w:p>
    <w:p w14:paraId="413B0EA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el accionista o participacionista del CONCESIONARIO que acreditó, directamente o a través de sus Empresas Vinculadas, según corresponda, el cumplimiento de los requisitos de capacidad técnica señalados en las Bases, y que ostenta la titularidad de la Participación Mínima en el CONCESIONARIO.</w:t>
      </w:r>
    </w:p>
    <w:p w14:paraId="11ACFAC0" w14:textId="77777777" w:rsidR="007422BA" w:rsidRPr="00285D58" w:rsidRDefault="007422BA" w:rsidP="008D1FFF">
      <w:pPr>
        <w:spacing w:line="276" w:lineRule="auto"/>
        <w:ind w:firstLine="567"/>
        <w:jc w:val="both"/>
        <w:rPr>
          <w:rFonts w:asciiTheme="minorHAnsi" w:eastAsia="Calibri" w:hAnsiTheme="minorHAnsi" w:cstheme="minorHAnsi"/>
        </w:rPr>
      </w:pPr>
    </w:p>
    <w:p w14:paraId="341C5D6F"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Sol o S/</w:t>
      </w:r>
    </w:p>
    <w:p w14:paraId="3F394251"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moneda de curso legal en el Estado de la República del Perú.</w:t>
      </w:r>
    </w:p>
    <w:p w14:paraId="12B1F2D9" w14:textId="77777777" w:rsidR="007422BA" w:rsidRPr="00285D58" w:rsidRDefault="007422BA" w:rsidP="008D1FFF">
      <w:pPr>
        <w:spacing w:line="276" w:lineRule="auto"/>
        <w:ind w:firstLine="567"/>
        <w:jc w:val="both"/>
        <w:rPr>
          <w:rFonts w:asciiTheme="minorHAnsi" w:eastAsia="Calibri" w:hAnsiTheme="minorHAnsi" w:cstheme="minorHAnsi"/>
        </w:rPr>
      </w:pPr>
    </w:p>
    <w:p w14:paraId="4FBE2501"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Supervisor</w:t>
      </w:r>
    </w:p>
    <w:p w14:paraId="4C9E7DB7"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lastRenderedPageBreak/>
        <w:t>Es la empresa o consorcio contratado por el CONCEDENTE, cuyo costo es asumido por el CONCESIONARIO, y que realizará las labores de supervisión relacionadas a controlar y verificar el cumplimiento de las obligaciones establecidas en el Contrato de Concesión y las Leyes y Disposiciones Aplicables, a cargo del CONCESIONARIO, como las actividades de elaboración de los Estudios Definitivos de Ingeniería, la ejecución de las Obras, la implementación del Equipamiento Electromecánico, la Puesta en Marcha, la Operación de los Servicios Obligatorios, el cumplimiento de los Niveles de Servicio, entre otras obligaciones establecidas en el Contrato de Concesión, así como las que sean establecidas en el(los) respectivo(s) contrato(s) de prestación de servicios de supervisión.</w:t>
      </w:r>
    </w:p>
    <w:p w14:paraId="7749B3F6" w14:textId="77777777" w:rsidR="007422BA" w:rsidRPr="00285D58" w:rsidRDefault="007422BA" w:rsidP="008D1FFF">
      <w:pPr>
        <w:spacing w:line="276" w:lineRule="auto"/>
        <w:ind w:firstLine="567"/>
        <w:jc w:val="both"/>
        <w:rPr>
          <w:rFonts w:asciiTheme="minorHAnsi" w:eastAsia="Calibri" w:hAnsiTheme="minorHAnsi" w:cstheme="minorHAnsi"/>
        </w:rPr>
      </w:pPr>
    </w:p>
    <w:p w14:paraId="2553C3E5" w14:textId="77777777" w:rsidR="00AD76BB" w:rsidRPr="00285D58" w:rsidRDefault="00AD76BB"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Tarifa</w:t>
      </w:r>
    </w:p>
    <w:p w14:paraId="198EF572" w14:textId="3D439719" w:rsidR="00AD76BB" w:rsidRPr="00285D58" w:rsidRDefault="00AD76BB"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 el pago único que realizarán los usuarios por la prestación de los Servicios Obligatorios. Específicamente para el Servicio de Transporte por Teleférico y Buses, incluye tanto la ida como la vuelta. </w:t>
      </w:r>
    </w:p>
    <w:p w14:paraId="6D3BAC74" w14:textId="77777777" w:rsidR="00AD76BB" w:rsidRPr="00285D58" w:rsidRDefault="00AD76BB" w:rsidP="008D1FFF">
      <w:pPr>
        <w:widowControl/>
        <w:spacing w:line="276" w:lineRule="auto"/>
        <w:ind w:left="360"/>
        <w:jc w:val="both"/>
        <w:rPr>
          <w:rFonts w:asciiTheme="minorHAnsi" w:eastAsia="Calibri" w:hAnsiTheme="minorHAnsi" w:cstheme="minorHAnsi"/>
          <w:color w:val="000000"/>
        </w:rPr>
      </w:pPr>
    </w:p>
    <w:p w14:paraId="60A724C6" w14:textId="77777777" w:rsidR="007422BA" w:rsidRPr="00285D58" w:rsidRDefault="007422BA" w:rsidP="008D1FFF">
      <w:pPr>
        <w:widowControl/>
        <w:spacing w:line="276" w:lineRule="auto"/>
        <w:ind w:left="360"/>
        <w:jc w:val="both"/>
        <w:rPr>
          <w:rFonts w:asciiTheme="minorHAnsi" w:eastAsia="Calibri" w:hAnsiTheme="minorHAnsi" w:cstheme="minorHAnsi"/>
        </w:rPr>
      </w:pPr>
    </w:p>
    <w:p w14:paraId="6607A2F8" w14:textId="77777777" w:rsidR="00567D5A" w:rsidRPr="00285D58" w:rsidRDefault="00567D5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Tasa Referencial:</w:t>
      </w:r>
    </w:p>
    <w:p w14:paraId="4E03E9D9" w14:textId="77777777" w:rsidR="00567D5A" w:rsidRPr="00285D58" w:rsidRDefault="00567D5A" w:rsidP="00567D5A">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la tasa de interés legal efectiva anual publicada en Soles o Dólares por la Superintendencia de Banca, Seguros y AFP (SBS), o la tasa que la reemplace, según corresponda.</w:t>
      </w:r>
    </w:p>
    <w:p w14:paraId="5C691175" w14:textId="77777777" w:rsidR="00567D5A" w:rsidRPr="00285D58" w:rsidRDefault="00567D5A" w:rsidP="00627533">
      <w:pPr>
        <w:widowControl/>
        <w:spacing w:line="276" w:lineRule="auto"/>
        <w:ind w:left="360"/>
        <w:jc w:val="both"/>
        <w:rPr>
          <w:rFonts w:asciiTheme="minorHAnsi" w:eastAsia="Calibri" w:hAnsiTheme="minorHAnsi" w:cstheme="minorHAnsi"/>
        </w:rPr>
      </w:pPr>
    </w:p>
    <w:p w14:paraId="073A9787" w14:textId="191BD939"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Terminación del Contrato o Terminación:</w:t>
      </w:r>
    </w:p>
    <w:p w14:paraId="6DD3C71E"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Consiste en la extinción de la Concesión por las causales previstas en el Contrato de Concesión o en las Leyes y Disposiciones Aplicables.</w:t>
      </w:r>
    </w:p>
    <w:p w14:paraId="708AC920" w14:textId="77777777" w:rsidR="007422BA" w:rsidRPr="00285D58" w:rsidRDefault="007422BA" w:rsidP="008D1FFF">
      <w:pPr>
        <w:spacing w:line="276" w:lineRule="auto"/>
        <w:ind w:firstLine="567"/>
        <w:jc w:val="both"/>
        <w:rPr>
          <w:rFonts w:asciiTheme="minorHAnsi" w:eastAsia="Calibri" w:hAnsiTheme="minorHAnsi" w:cstheme="minorHAnsi"/>
        </w:rPr>
      </w:pPr>
    </w:p>
    <w:p w14:paraId="10DF3F2D" w14:textId="3BF2FE80" w:rsidR="00567D5A" w:rsidRPr="00285D58" w:rsidRDefault="00567D5A" w:rsidP="00A3732C">
      <w:pPr>
        <w:widowControl/>
        <w:numPr>
          <w:ilvl w:val="0"/>
          <w:numId w:val="133"/>
        </w:numPr>
        <w:spacing w:line="276" w:lineRule="auto"/>
        <w:ind w:left="3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Tipo de Cambio</w:t>
      </w:r>
    </w:p>
    <w:p w14:paraId="5F874B4E" w14:textId="3F280AAC"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Es el promedio del Tipo de Cambio promedio ponderado de compra y del Tipo de Cambio</w:t>
      </w:r>
    </w:p>
    <w:p w14:paraId="6460E4BF" w14:textId="77777777"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promedio ponderado de venta de Dólares del sistema financiero publicado periódicamente</w:t>
      </w:r>
    </w:p>
    <w:p w14:paraId="7434656D" w14:textId="77777777" w:rsidR="00567D5A" w:rsidRPr="00285D58" w:rsidRDefault="00567D5A" w:rsidP="00627533">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por la Superintendencia de Banca, Seguros y AFP (SBS) y publicado en el diario oficial “El</w:t>
      </w:r>
    </w:p>
    <w:p w14:paraId="00B765A1" w14:textId="3EDF06B3" w:rsidR="00567D5A" w:rsidRPr="00285D58" w:rsidRDefault="00567D5A" w:rsidP="00567D5A">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Peruano” para la conversión de Soles a Dólares y viceversa.</w:t>
      </w:r>
    </w:p>
    <w:p w14:paraId="0D10CFA1" w14:textId="77777777" w:rsidR="00567D5A" w:rsidRPr="00285D58" w:rsidRDefault="00567D5A" w:rsidP="00627533">
      <w:pPr>
        <w:spacing w:line="276" w:lineRule="auto"/>
        <w:ind w:left="425"/>
        <w:jc w:val="both"/>
        <w:rPr>
          <w:rFonts w:asciiTheme="minorHAnsi" w:eastAsia="Calibri" w:hAnsiTheme="minorHAnsi" w:cstheme="minorHAnsi"/>
          <w:color w:val="000000"/>
        </w:rPr>
      </w:pPr>
    </w:p>
    <w:p w14:paraId="1752BAF3" w14:textId="0C1AF1B5"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UIT:</w:t>
      </w:r>
    </w:p>
    <w:p w14:paraId="5BDACC86" w14:textId="77777777" w:rsidR="007422BA" w:rsidRPr="00285D58" w:rsidRDefault="007422BA" w:rsidP="008D1FFF">
      <w:pPr>
        <w:spacing w:line="276" w:lineRule="auto"/>
        <w:ind w:left="425"/>
        <w:jc w:val="both"/>
        <w:rPr>
          <w:rFonts w:asciiTheme="minorHAnsi" w:eastAsia="Calibri" w:hAnsiTheme="minorHAnsi" w:cstheme="minorHAnsi"/>
        </w:rPr>
      </w:pPr>
      <w:r w:rsidRPr="00285D58">
        <w:rPr>
          <w:rFonts w:asciiTheme="minorHAnsi" w:eastAsia="Calibri" w:hAnsiTheme="minorHAnsi" w:cstheme="minorHAnsi"/>
          <w:color w:val="000000"/>
        </w:rPr>
        <w:t>Es la Unidad Impositiva Tributaria de conformidad con la Norma XV del Título Preliminar del Texto Único Ordenado del Código Tributario, aprobado por el Decreto Supremo N° 133-2013-EF, o norma que la sustituya. Para fines del presente Contrato de Concesión, se considerará el valor vigente al momento en que se aplique la penalidad o deducción correspondiente, según sea el caso.</w:t>
      </w:r>
    </w:p>
    <w:p w14:paraId="73E51F1F" w14:textId="77777777" w:rsidR="007422BA" w:rsidRPr="00285D58" w:rsidRDefault="007422BA" w:rsidP="008D1FFF">
      <w:pPr>
        <w:spacing w:line="276" w:lineRule="auto"/>
        <w:ind w:firstLine="567"/>
        <w:jc w:val="both"/>
        <w:rPr>
          <w:rFonts w:asciiTheme="minorHAnsi" w:eastAsia="Calibri" w:hAnsiTheme="minorHAnsi" w:cstheme="minorHAnsi"/>
        </w:rPr>
      </w:pPr>
    </w:p>
    <w:p w14:paraId="37E7DE6D" w14:textId="77777777" w:rsidR="007422BA" w:rsidRPr="00285D58" w:rsidRDefault="007422BA" w:rsidP="00A3732C">
      <w:pPr>
        <w:widowControl/>
        <w:numPr>
          <w:ilvl w:val="0"/>
          <w:numId w:val="133"/>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b/>
          <w:color w:val="000000"/>
        </w:rPr>
        <w:t>Valor Contable del Activo:</w:t>
      </w:r>
    </w:p>
    <w:p w14:paraId="554CC04E" w14:textId="5329D0E3" w:rsidR="007422BA" w:rsidRPr="00285D58" w:rsidRDefault="007422BA" w:rsidP="008D1FFF">
      <w:pPr>
        <w:spacing w:line="276" w:lineRule="auto"/>
        <w:ind w:left="425"/>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Independientemente del valor establecido para fines tributarios o para cualquier otro fin, para efectos del Contrato, el “valor contable del activo” </w:t>
      </w:r>
      <w:r w:rsidR="00A25922" w:rsidRPr="00BB5F42">
        <w:rPr>
          <w:rFonts w:asciiTheme="minorHAnsi" w:eastAsia="Calibri" w:hAnsiTheme="minorHAnsi" w:cstheme="minorHAnsi"/>
          <w:color w:val="000000"/>
        </w:rPr>
        <w:t xml:space="preserve">es </w:t>
      </w:r>
      <w:sdt>
        <w:sdtPr>
          <w:rPr>
            <w:rFonts w:asciiTheme="minorHAnsi" w:hAnsiTheme="minorHAnsi" w:cstheme="minorHAnsi"/>
          </w:rPr>
          <w:tag w:val="goog_rdk_91"/>
          <w:id w:val="343208857"/>
        </w:sdtPr>
        <w:sdtContent/>
      </w:sdt>
      <w:sdt>
        <w:sdtPr>
          <w:rPr>
            <w:rFonts w:asciiTheme="minorHAnsi" w:hAnsiTheme="minorHAnsi" w:cstheme="minorHAnsi"/>
          </w:rPr>
          <w:tag w:val="goog_rdk_92"/>
          <w:id w:val="-1892567819"/>
        </w:sdtPr>
        <w:sdtContent/>
      </w:sdt>
      <w:sdt>
        <w:sdtPr>
          <w:rPr>
            <w:rFonts w:asciiTheme="minorHAnsi" w:hAnsiTheme="minorHAnsi" w:cstheme="minorHAnsi"/>
          </w:rPr>
          <w:tag w:val="goog_rdk_93"/>
          <w:id w:val="-1980838388"/>
        </w:sdtPr>
        <w:sdtContent/>
      </w:sdt>
      <w:r w:rsidR="00A25922" w:rsidRPr="00BB5F42">
        <w:rPr>
          <w:rFonts w:asciiTheme="minorHAnsi" w:eastAsia="Calibri" w:hAnsiTheme="minorHAnsi" w:cstheme="minorHAnsi"/>
          <w:color w:val="000000"/>
        </w:rPr>
        <w:t>el valor en libros de la Inversión o del activo financiero que refleja  la Inversión</w:t>
      </w:r>
      <w:r w:rsidR="007C062E" w:rsidRPr="00BB5F42">
        <w:rPr>
          <w:rFonts w:asciiTheme="minorHAnsi" w:eastAsia="Calibri" w:hAnsiTheme="minorHAnsi" w:cstheme="minorHAnsi"/>
          <w:color w:val="000000"/>
        </w:rPr>
        <w:t xml:space="preserve">, excluyendo el </w:t>
      </w:r>
      <w:r w:rsidR="00A25922" w:rsidRPr="00BB5F42">
        <w:rPr>
          <w:rFonts w:asciiTheme="minorHAnsi" w:eastAsia="Calibri" w:hAnsiTheme="minorHAnsi" w:cstheme="minorHAnsi"/>
          <w:color w:val="000000"/>
        </w:rPr>
        <w:t>PPO</w:t>
      </w:r>
      <w:r w:rsidR="00A67CD3" w:rsidRPr="00BB5F42">
        <w:rPr>
          <w:rFonts w:asciiTheme="minorHAnsi" w:eastAsia="Calibri" w:hAnsiTheme="minorHAnsi" w:cstheme="minorHAnsi"/>
          <w:color w:val="000000"/>
        </w:rPr>
        <w:t>,</w:t>
      </w:r>
      <w:r w:rsidR="00A25922" w:rsidRPr="00BB5F42">
        <w:rPr>
          <w:rFonts w:asciiTheme="minorHAnsi" w:eastAsia="Calibri" w:hAnsiTheme="minorHAnsi" w:cstheme="minorHAnsi"/>
          <w:color w:val="000000"/>
        </w:rPr>
        <w:t xml:space="preserve"> expresado</w:t>
      </w:r>
      <w:r w:rsidR="00A25922" w:rsidRPr="00285D58">
        <w:rPr>
          <w:rFonts w:asciiTheme="minorHAnsi" w:eastAsia="Calibri" w:hAnsiTheme="minorHAnsi" w:cstheme="minorHAnsi"/>
          <w:color w:val="000000"/>
        </w:rPr>
        <w:t xml:space="preserve"> </w:t>
      </w:r>
      <w:r w:rsidR="00A25922" w:rsidRPr="00BB5F42">
        <w:rPr>
          <w:rFonts w:asciiTheme="minorHAnsi" w:eastAsia="Calibri" w:hAnsiTheme="minorHAnsi" w:cstheme="minorHAnsi"/>
          <w:color w:val="000000"/>
        </w:rPr>
        <w:t>en Soles</w:t>
      </w:r>
      <w:r w:rsidR="005807FA" w:rsidRPr="00BB5F42">
        <w:rPr>
          <w:rFonts w:asciiTheme="minorHAnsi" w:eastAsia="Calibri" w:hAnsiTheme="minorHAnsi" w:cstheme="minorHAnsi"/>
          <w:color w:val="000000"/>
        </w:rPr>
        <w:t xml:space="preserve"> o Dólares</w:t>
      </w:r>
      <w:r w:rsidR="00A25922" w:rsidRPr="00285D58">
        <w:rPr>
          <w:rFonts w:asciiTheme="minorHAnsi" w:eastAsia="Calibri" w:hAnsiTheme="minorHAnsi" w:cstheme="minorHAnsi"/>
          <w:color w:val="000000"/>
        </w:rPr>
        <w:t xml:space="preserve"> (de acuerdo a Estados Financieros auditados elaborados conforme a las normas y principios generalmente aceptados en Perú), </w:t>
      </w:r>
      <w:r w:rsidR="00A25922" w:rsidRPr="00285D58">
        <w:rPr>
          <w:rFonts w:asciiTheme="minorHAnsi" w:hAnsiTheme="minorHAnsi" w:cstheme="minorHAnsi"/>
          <w:color w:val="000000"/>
          <w:lang w:val="es-PE"/>
        </w:rPr>
        <w:t xml:space="preserve">descontando las amortizaciones y depreciaciones, </w:t>
      </w:r>
      <w:r w:rsidR="00A25922" w:rsidRPr="00285D58">
        <w:rPr>
          <w:rFonts w:asciiTheme="minorHAnsi" w:hAnsiTheme="minorHAnsi" w:cstheme="minorHAnsi"/>
          <w:color w:val="000000"/>
        </w:rPr>
        <w:t xml:space="preserve">según corresponda, de acuerdo a las Normas Internacionales de </w:t>
      </w:r>
      <w:r w:rsidR="00A25922" w:rsidRPr="00285D58">
        <w:rPr>
          <w:rFonts w:asciiTheme="minorHAnsi" w:hAnsiTheme="minorHAnsi" w:cstheme="minorHAnsi"/>
          <w:color w:val="000000"/>
        </w:rPr>
        <w:lastRenderedPageBreak/>
        <w:t xml:space="preserve">Información Financiera y </w:t>
      </w:r>
      <w:r w:rsidR="00A25922" w:rsidRPr="00285D58">
        <w:rPr>
          <w:rFonts w:asciiTheme="minorHAnsi" w:eastAsia="Calibri" w:hAnsiTheme="minorHAnsi" w:cstheme="minorHAnsi"/>
          <w:color w:val="000000"/>
        </w:rPr>
        <w:t>sin aplicar ningún tipo de actualización de dichos valores desde el momento que se ejecutó la Inversión para el inicio de operaciones hasta el momento de hacer el cálculo de la liquidación</w:t>
      </w:r>
      <w:r w:rsidRPr="00285D58">
        <w:rPr>
          <w:rFonts w:asciiTheme="minorHAnsi" w:eastAsia="Calibri" w:hAnsiTheme="minorHAnsi" w:cstheme="minorHAnsi"/>
          <w:color w:val="000000"/>
        </w:rPr>
        <w:t>.</w:t>
      </w:r>
    </w:p>
    <w:p w14:paraId="20DAF681" w14:textId="359E26E6" w:rsidR="00796685" w:rsidRPr="00285D58" w:rsidRDefault="00796685" w:rsidP="008D1FFF">
      <w:pPr>
        <w:spacing w:line="276" w:lineRule="auto"/>
        <w:ind w:left="425"/>
        <w:jc w:val="both"/>
        <w:rPr>
          <w:rFonts w:asciiTheme="minorHAnsi" w:eastAsia="Calibri" w:hAnsiTheme="minorHAnsi" w:cstheme="minorHAnsi"/>
          <w:color w:val="000000"/>
        </w:rPr>
      </w:pPr>
      <w:r w:rsidRPr="00BB5F42">
        <w:rPr>
          <w:rFonts w:asciiTheme="minorHAnsi" w:eastAsia="Calibri" w:hAnsiTheme="minorHAnsi" w:cstheme="minorHAnsi"/>
          <w:color w:val="000000"/>
        </w:rPr>
        <w:t xml:space="preserve">En caso la contabilidad esté expresada en dólares, el Concesionario deberá acreditar que cumple con los requisitos que se fijen en las </w:t>
      </w:r>
      <w:r w:rsidRPr="00BB5F42">
        <w:rPr>
          <w:rFonts w:asciiTheme="minorHAnsi" w:eastAsia="Calibri" w:hAnsiTheme="minorHAnsi" w:cstheme="minorHAnsi"/>
        </w:rPr>
        <w:t>Leyes y Disposiciones Aplicables</w:t>
      </w:r>
      <w:r w:rsidRPr="00285D58">
        <w:rPr>
          <w:rFonts w:asciiTheme="minorHAnsi" w:eastAsia="Calibri" w:hAnsiTheme="minorHAnsi" w:cstheme="minorHAnsi"/>
        </w:rPr>
        <w:t>.</w:t>
      </w:r>
    </w:p>
    <w:p w14:paraId="7C7A5FD3" w14:textId="77777777" w:rsidR="007422BA" w:rsidRPr="00285D58" w:rsidRDefault="007422BA" w:rsidP="008D1FFF">
      <w:pPr>
        <w:spacing w:line="276" w:lineRule="auto"/>
        <w:ind w:firstLine="567"/>
        <w:jc w:val="both"/>
        <w:rPr>
          <w:rFonts w:asciiTheme="minorHAnsi" w:eastAsia="Calibri" w:hAnsiTheme="minorHAnsi" w:cstheme="minorHAnsi"/>
        </w:rPr>
      </w:pPr>
    </w:p>
    <w:p w14:paraId="46C44106" w14:textId="77777777" w:rsidR="007422BA" w:rsidRPr="00285D58" w:rsidRDefault="007422BA" w:rsidP="008D1FFF">
      <w:pPr>
        <w:spacing w:line="276" w:lineRule="auto"/>
        <w:jc w:val="both"/>
        <w:rPr>
          <w:rFonts w:asciiTheme="minorHAnsi" w:eastAsia="Calibri" w:hAnsiTheme="minorHAnsi" w:cstheme="minorHAnsi"/>
          <w:color w:val="000000"/>
        </w:rPr>
      </w:pPr>
      <w:r w:rsidRPr="00285D58">
        <w:rPr>
          <w:rFonts w:asciiTheme="minorHAnsi" w:hAnsiTheme="minorHAnsi" w:cstheme="minorHAnsi"/>
        </w:rPr>
        <w:br w:type="page"/>
      </w:r>
    </w:p>
    <w:p w14:paraId="400EE5CF" w14:textId="140D6B6D" w:rsidR="005D3BD8" w:rsidRPr="00285D58" w:rsidRDefault="005D3BD8" w:rsidP="005D3BD8">
      <w:pPr>
        <w:pStyle w:val="Ttulo1"/>
        <w:spacing w:before="1" w:line="276" w:lineRule="auto"/>
        <w:jc w:val="both"/>
        <w:rPr>
          <w:rFonts w:asciiTheme="minorHAnsi" w:eastAsia="Calibri" w:hAnsiTheme="minorHAnsi" w:cstheme="minorHAnsi"/>
          <w:b/>
          <w:color w:val="5B9BD5"/>
          <w:sz w:val="24"/>
          <w:szCs w:val="24"/>
          <w:u w:val="single"/>
        </w:rPr>
      </w:pPr>
      <w:bookmarkStart w:id="3" w:name="_heading=h.1fob9te" w:colFirst="0" w:colLast="0"/>
      <w:bookmarkStart w:id="4" w:name="_heading=h.3znysh7" w:colFirst="0" w:colLast="0"/>
      <w:bookmarkStart w:id="5" w:name="_Toc182582242"/>
      <w:bookmarkStart w:id="6" w:name="_Toc193979264"/>
      <w:bookmarkEnd w:id="3"/>
      <w:bookmarkEnd w:id="4"/>
      <w:r w:rsidRPr="00285D58">
        <w:rPr>
          <w:rFonts w:asciiTheme="minorHAnsi" w:eastAsia="Calibri" w:hAnsiTheme="minorHAnsi" w:cstheme="minorHAnsi"/>
          <w:b/>
          <w:color w:val="1F4E79"/>
          <w:sz w:val="24"/>
          <w:szCs w:val="24"/>
          <w:u w:val="single"/>
        </w:rPr>
        <w:lastRenderedPageBreak/>
        <w:t>ANEXO 02: ÁREAS DE LA CONCESIÓN</w:t>
      </w:r>
      <w:bookmarkEnd w:id="5"/>
      <w:bookmarkEnd w:id="6"/>
    </w:p>
    <w:p w14:paraId="169302C7" w14:textId="77777777" w:rsidR="005D3BD8" w:rsidRPr="00285D58" w:rsidRDefault="005D3BD8" w:rsidP="005D3BD8">
      <w:pPr>
        <w:spacing w:line="276" w:lineRule="auto"/>
        <w:jc w:val="both"/>
        <w:rPr>
          <w:rFonts w:asciiTheme="minorHAnsi" w:eastAsia="Calibri" w:hAnsiTheme="minorHAnsi" w:cstheme="minorHAnsi"/>
          <w:color w:val="000000"/>
        </w:rPr>
      </w:pPr>
    </w:p>
    <w:p w14:paraId="0CEA5015" w14:textId="2E9DED06" w:rsidR="005D3BD8" w:rsidRDefault="005D3BD8" w:rsidP="00A3732C">
      <w:p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Áreas de la Concesión, comprenden los predios ubicados en las regiones de Cusco y Apurímac que serán entregadas para efectos de la Concesión. Se han agrupado por componentes: Norte y Sur. Los cuales se detallan a continuación: </w:t>
      </w:r>
    </w:p>
    <w:p w14:paraId="194F7927" w14:textId="77777777" w:rsidR="00457A67" w:rsidRPr="00973187" w:rsidRDefault="00457A67" w:rsidP="00457A67">
      <w:pPr>
        <w:spacing w:line="276" w:lineRule="auto"/>
        <w:ind w:firstLine="567"/>
        <w:jc w:val="both"/>
        <w:rPr>
          <w:rFonts w:ascii="Calibri" w:eastAsia="Calibri" w:hAnsi="Calibri" w:cs="Calibri"/>
          <w:color w:val="000000"/>
        </w:rPr>
      </w:pPr>
    </w:p>
    <w:p w14:paraId="18E794BA" w14:textId="77777777" w:rsidR="00457A67" w:rsidRPr="00973187" w:rsidRDefault="00457A67" w:rsidP="00457A67">
      <w:pPr>
        <w:spacing w:line="276" w:lineRule="auto"/>
        <w:rPr>
          <w:rFonts w:ascii="Calibri" w:hAnsi="Calibri" w:cs="Calibri"/>
          <w:b/>
          <w:bCs/>
          <w:color w:val="1F3864" w:themeColor="accent1" w:themeShade="80"/>
        </w:rPr>
      </w:pPr>
      <w:r w:rsidRPr="00973187">
        <w:rPr>
          <w:rFonts w:ascii="Calibri" w:hAnsi="Calibri" w:cs="Calibri"/>
          <w:b/>
          <w:bCs/>
          <w:color w:val="1F3864" w:themeColor="accent1" w:themeShade="80"/>
        </w:rPr>
        <w:t>SECCIÓN 1: COMPONENTE NORTE</w:t>
      </w:r>
    </w:p>
    <w:p w14:paraId="074168F5" w14:textId="77777777" w:rsidR="00457A67" w:rsidRPr="00973187" w:rsidRDefault="00457A67" w:rsidP="00457A67">
      <w:pPr>
        <w:spacing w:line="276" w:lineRule="auto"/>
        <w:ind w:firstLine="567"/>
        <w:jc w:val="both"/>
        <w:rPr>
          <w:rFonts w:ascii="Calibri" w:eastAsia="Calibri" w:hAnsi="Calibri" w:cs="Calibri"/>
          <w:lang w:val="es-PE"/>
        </w:rPr>
      </w:pPr>
    </w:p>
    <w:p w14:paraId="73643A1F" w14:textId="17E053E7" w:rsidR="00457A67" w:rsidRPr="00973187" w:rsidRDefault="00457A67" w:rsidP="00457A67">
      <w:pPr>
        <w:pStyle w:val="Descripcin"/>
        <w:spacing w:line="276" w:lineRule="auto"/>
        <w:rPr>
          <w:rFonts w:ascii="Calibri" w:hAnsi="Calibri"/>
          <w:sz w:val="22"/>
          <w:szCs w:val="22"/>
        </w:rPr>
      </w:pPr>
      <w:r w:rsidRPr="00973187">
        <w:rPr>
          <w:rFonts w:ascii="Calibri" w:hAnsi="Calibri"/>
          <w:sz w:val="22"/>
          <w:szCs w:val="22"/>
        </w:rPr>
        <w:fldChar w:fldCharType="begin"/>
      </w:r>
      <w:r w:rsidRPr="00B07650">
        <w:rPr>
          <w:rFonts w:ascii="Calibri" w:hAnsi="Calibri"/>
          <w:sz w:val="22"/>
          <w:szCs w:val="22"/>
        </w:rPr>
        <w:instrText xml:space="preserve"> SEQ Tabla \* ARABIC </w:instrText>
      </w:r>
      <w:r w:rsidRPr="00973187">
        <w:rPr>
          <w:rFonts w:ascii="Calibri" w:hAnsi="Calibri"/>
          <w:sz w:val="22"/>
          <w:szCs w:val="22"/>
        </w:rPr>
        <w:fldChar w:fldCharType="separate"/>
      </w:r>
      <w:r>
        <w:rPr>
          <w:rFonts w:ascii="Calibri" w:hAnsi="Calibri"/>
          <w:noProof/>
          <w:sz w:val="22"/>
          <w:szCs w:val="22"/>
        </w:rPr>
        <w:t>1</w:t>
      </w:r>
      <w:r w:rsidRPr="00973187">
        <w:rPr>
          <w:rFonts w:ascii="Calibri" w:hAnsi="Calibri"/>
          <w:sz w:val="22"/>
          <w:szCs w:val="22"/>
        </w:rPr>
        <w:fldChar w:fldCharType="end"/>
      </w:r>
      <w:r w:rsidRPr="00973187">
        <w:rPr>
          <w:rFonts w:ascii="Calibri" w:hAnsi="Calibri"/>
          <w:sz w:val="22"/>
          <w:szCs w:val="22"/>
        </w:rPr>
        <w:t>. ÁREA</w:t>
      </w:r>
      <w:r w:rsidR="00F210B9">
        <w:rPr>
          <w:rFonts w:ascii="Calibri" w:hAnsi="Calibri"/>
          <w:sz w:val="22"/>
          <w:szCs w:val="22"/>
        </w:rPr>
        <w:t>S</w:t>
      </w:r>
      <w:r w:rsidRPr="00973187">
        <w:rPr>
          <w:rFonts w:ascii="Calibri" w:hAnsi="Calibri"/>
          <w:sz w:val="22"/>
          <w:szCs w:val="22"/>
        </w:rPr>
        <w:t xml:space="preserve"> DEL TRAZO DE LOS TELEFÉRICOS SAN JUAN – MAIZAL Y MAIZAL – ABRA CHOQUEQUIRAO</w:t>
      </w:r>
      <w:r w:rsidRPr="00973187">
        <w:rPr>
          <w:rStyle w:val="Refdenotaalpie"/>
          <w:rFonts w:ascii="Calibri" w:eastAsia="Arial" w:hAnsi="Calibri" w:cs="Calibri"/>
          <w:sz w:val="22"/>
          <w:szCs w:val="22"/>
        </w:rPr>
        <w:footnoteReference w:id="1"/>
      </w:r>
      <w:r w:rsidRPr="00973187">
        <w:rPr>
          <w:rFonts w:ascii="Calibri" w:hAnsi="Calibri"/>
          <w:sz w:val="22"/>
          <w:szCs w:val="22"/>
        </w:rPr>
        <w:t xml:space="preserve"> </w:t>
      </w:r>
    </w:p>
    <w:p w14:paraId="4AE6980A" w14:textId="77777777" w:rsidR="00457A67" w:rsidRDefault="00457A67" w:rsidP="00457A67">
      <w:pPr>
        <w:spacing w:line="276" w:lineRule="auto"/>
        <w:rPr>
          <w:rFonts w:ascii="Calibri" w:hAnsi="Calibri" w:cs="Calibri"/>
        </w:rPr>
      </w:pPr>
    </w:p>
    <w:p w14:paraId="0B638257" w14:textId="2BEE25D3" w:rsidR="00457A67" w:rsidRDefault="00457A67" w:rsidP="00457A67">
      <w:pPr>
        <w:spacing w:line="276" w:lineRule="auto"/>
        <w:rPr>
          <w:rFonts w:ascii="Calibri" w:eastAsia="Times New Roman" w:hAnsi="Calibri" w:cs="Calibri"/>
          <w:b/>
          <w:caps/>
        </w:rPr>
      </w:pPr>
      <w:r w:rsidRPr="001B00AA">
        <w:rPr>
          <w:rFonts w:ascii="Calibri" w:eastAsia="Times New Roman" w:hAnsi="Calibri" w:cs="Calibri"/>
          <w:b/>
          <w:caps/>
        </w:rPr>
        <w:t xml:space="preserve">Tabla </w:t>
      </w:r>
      <w:r w:rsidRPr="001B00AA">
        <w:rPr>
          <w:rFonts w:ascii="Calibri" w:eastAsia="Times New Roman" w:hAnsi="Calibri" w:cs="Calibri"/>
          <w:b/>
          <w:caps/>
        </w:rPr>
        <w:fldChar w:fldCharType="begin"/>
      </w:r>
      <w:r w:rsidRPr="001B00AA">
        <w:rPr>
          <w:rFonts w:ascii="Calibri" w:eastAsia="Times New Roman" w:hAnsi="Calibri" w:cs="Calibri"/>
          <w:b/>
          <w:caps/>
        </w:rPr>
        <w:instrText xml:space="preserve"> SEQ Tabla \* ARABIC </w:instrText>
      </w:r>
      <w:r w:rsidRPr="001B00AA">
        <w:rPr>
          <w:rFonts w:ascii="Calibri" w:eastAsia="Times New Roman" w:hAnsi="Calibri" w:cs="Calibri"/>
          <w:b/>
          <w:caps/>
        </w:rPr>
        <w:fldChar w:fldCharType="separate"/>
      </w:r>
      <w:r w:rsidRPr="001B00AA">
        <w:rPr>
          <w:rFonts w:ascii="Calibri" w:eastAsia="Times New Roman" w:hAnsi="Calibri" w:cs="Calibri"/>
          <w:b/>
          <w:caps/>
        </w:rPr>
        <w:t>1</w:t>
      </w:r>
      <w:r w:rsidRPr="001B00AA">
        <w:rPr>
          <w:rFonts w:ascii="Calibri" w:eastAsia="Times New Roman" w:hAnsi="Calibri" w:cs="Calibri"/>
          <w:b/>
          <w:caps/>
        </w:rPr>
        <w:fldChar w:fldCharType="end"/>
      </w:r>
      <w:r w:rsidRPr="001B00AA">
        <w:rPr>
          <w:rFonts w:ascii="Calibri" w:eastAsia="Times New Roman" w:hAnsi="Calibri" w:cs="Calibri"/>
          <w:b/>
          <w:caps/>
        </w:rPr>
        <w:t>.</w:t>
      </w:r>
      <w:r>
        <w:rPr>
          <w:rFonts w:ascii="Calibri" w:eastAsia="Times New Roman" w:hAnsi="Calibri" w:cs="Calibri"/>
          <w:b/>
          <w:caps/>
        </w:rPr>
        <w:t>A</w:t>
      </w:r>
      <w:r w:rsidRPr="001B00AA">
        <w:rPr>
          <w:rFonts w:ascii="Calibri" w:eastAsia="Times New Roman" w:hAnsi="Calibri" w:cs="Calibri"/>
          <w:b/>
          <w:caps/>
        </w:rPr>
        <w:t xml:space="preserve"> ÁREA DEL TRAZO DEL TELEFÉRICO SAN JUAN </w:t>
      </w:r>
      <w:r>
        <w:rPr>
          <w:rFonts w:ascii="Calibri" w:eastAsia="Times New Roman" w:hAnsi="Calibri" w:cs="Calibri"/>
          <w:b/>
          <w:caps/>
        </w:rPr>
        <w:t>–</w:t>
      </w:r>
      <w:r w:rsidRPr="001B00AA">
        <w:rPr>
          <w:rFonts w:ascii="Calibri" w:eastAsia="Times New Roman" w:hAnsi="Calibri" w:cs="Calibri"/>
          <w:b/>
          <w:caps/>
        </w:rPr>
        <w:t xml:space="preserve"> MAIZAL</w:t>
      </w:r>
      <w:r>
        <w:rPr>
          <w:rFonts w:ascii="Calibri" w:eastAsia="Times New Roman" w:hAnsi="Calibri" w:cs="Calibri"/>
          <w:b/>
          <w:caps/>
        </w:rPr>
        <w:t xml:space="preserve"> (servidumbre)</w:t>
      </w:r>
    </w:p>
    <w:p w14:paraId="038BFAC2" w14:textId="77777777" w:rsidR="00457A67" w:rsidRPr="001B00AA" w:rsidRDefault="00457A67" w:rsidP="00457A67">
      <w:pPr>
        <w:spacing w:line="276" w:lineRule="auto"/>
        <w:rPr>
          <w:rFonts w:ascii="Calibri" w:eastAsia="Times New Roman" w:hAnsi="Calibri" w:cs="Calibri"/>
          <w:b/>
          <w:caps/>
        </w:rPr>
      </w:pPr>
    </w:p>
    <w:tbl>
      <w:tblPr>
        <w:tblStyle w:val="268"/>
        <w:tblW w:w="4894" w:type="dxa"/>
        <w:jc w:val="center"/>
        <w:tblInd w:w="0" w:type="dxa"/>
        <w:tblLayout w:type="fixed"/>
        <w:tblLook w:val="0400" w:firstRow="0" w:lastRow="0" w:firstColumn="0" w:lastColumn="0" w:noHBand="0" w:noVBand="1"/>
      </w:tblPr>
      <w:tblGrid>
        <w:gridCol w:w="1632"/>
        <w:gridCol w:w="1631"/>
        <w:gridCol w:w="1631"/>
      </w:tblGrid>
      <w:tr w:rsidR="00457A67" w:rsidRPr="00CC1F05" w14:paraId="51495201" w14:textId="77777777" w:rsidTr="00457A67">
        <w:trPr>
          <w:trHeight w:val="288"/>
          <w:jc w:val="center"/>
        </w:trPr>
        <w:tc>
          <w:tcPr>
            <w:tcW w:w="4894" w:type="dxa"/>
            <w:gridSpan w:val="3"/>
            <w:tcBorders>
              <w:top w:val="single" w:sz="4" w:space="0" w:color="auto"/>
              <w:left w:val="single" w:sz="4" w:space="0" w:color="auto"/>
              <w:bottom w:val="single" w:sz="4" w:space="0" w:color="auto"/>
              <w:right w:val="single" w:sz="4" w:space="0" w:color="auto"/>
            </w:tcBorders>
            <w:vAlign w:val="bottom"/>
          </w:tcPr>
          <w:p w14:paraId="2C1F8BF7"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7FEBB2EB" w14:textId="77777777" w:rsidTr="00457A67">
        <w:trPr>
          <w:trHeight w:val="288"/>
          <w:jc w:val="center"/>
        </w:trPr>
        <w:tc>
          <w:tcPr>
            <w:tcW w:w="4894" w:type="dxa"/>
            <w:gridSpan w:val="3"/>
            <w:tcBorders>
              <w:top w:val="single" w:sz="4" w:space="0" w:color="auto"/>
              <w:left w:val="single" w:sz="4" w:space="0" w:color="auto"/>
              <w:bottom w:val="single" w:sz="4" w:space="0" w:color="auto"/>
              <w:right w:val="single" w:sz="4" w:space="0" w:color="auto"/>
            </w:tcBorders>
          </w:tcPr>
          <w:p w14:paraId="04DBD0F3"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Teleférico San Juan – Maizal</w:t>
            </w:r>
          </w:p>
        </w:tc>
      </w:tr>
      <w:tr w:rsidR="00457A67" w:rsidRPr="00CC1F05" w14:paraId="4AE6469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03BEDD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631" w:type="dxa"/>
            <w:tcBorders>
              <w:top w:val="single" w:sz="4" w:space="0" w:color="auto"/>
              <w:left w:val="single" w:sz="4" w:space="0" w:color="auto"/>
              <w:bottom w:val="single" w:sz="4" w:space="0" w:color="auto"/>
              <w:right w:val="single" w:sz="4" w:space="0" w:color="auto"/>
            </w:tcBorders>
            <w:vAlign w:val="bottom"/>
          </w:tcPr>
          <w:p w14:paraId="662100F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631" w:type="dxa"/>
            <w:tcBorders>
              <w:top w:val="single" w:sz="4" w:space="0" w:color="auto"/>
              <w:left w:val="single" w:sz="4" w:space="0" w:color="auto"/>
              <w:bottom w:val="single" w:sz="4" w:space="0" w:color="auto"/>
              <w:right w:val="single" w:sz="4" w:space="0" w:color="auto"/>
            </w:tcBorders>
            <w:vAlign w:val="bottom"/>
          </w:tcPr>
          <w:p w14:paraId="1B2DE63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F1872F5"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7F2FE5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631" w:type="dxa"/>
            <w:tcBorders>
              <w:top w:val="single" w:sz="4" w:space="0" w:color="auto"/>
              <w:left w:val="single" w:sz="4" w:space="0" w:color="auto"/>
              <w:bottom w:val="single" w:sz="4" w:space="0" w:color="auto"/>
              <w:right w:val="single" w:sz="4" w:space="0" w:color="auto"/>
            </w:tcBorders>
            <w:vAlign w:val="bottom"/>
          </w:tcPr>
          <w:p w14:paraId="6B81721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731164.68</w:t>
            </w:r>
            <w:r>
              <w:rPr>
                <w:rFonts w:ascii="Calibri" w:eastAsia="Calibri" w:hAnsi="Calibri" w:cs="Calibri"/>
                <w:color w:val="000000"/>
                <w:sz w:val="22"/>
                <w:szCs w:val="22"/>
              </w:rPr>
              <w:t>85</w:t>
            </w:r>
          </w:p>
        </w:tc>
        <w:tc>
          <w:tcPr>
            <w:tcW w:w="1631" w:type="dxa"/>
            <w:tcBorders>
              <w:top w:val="single" w:sz="4" w:space="0" w:color="auto"/>
              <w:left w:val="single" w:sz="4" w:space="0" w:color="auto"/>
              <w:bottom w:val="single" w:sz="4" w:space="0" w:color="auto"/>
              <w:right w:val="single" w:sz="4" w:space="0" w:color="auto"/>
            </w:tcBorders>
            <w:vAlign w:val="bottom"/>
          </w:tcPr>
          <w:p w14:paraId="6003DBE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8525043.8</w:t>
            </w:r>
            <w:r>
              <w:rPr>
                <w:rFonts w:ascii="Calibri" w:eastAsia="Calibri" w:hAnsi="Calibri" w:cs="Calibri"/>
                <w:color w:val="000000"/>
                <w:sz w:val="22"/>
                <w:szCs w:val="22"/>
              </w:rPr>
              <w:t>877</w:t>
            </w:r>
          </w:p>
        </w:tc>
      </w:tr>
      <w:tr w:rsidR="00457A67" w:rsidRPr="00CC1F05" w14:paraId="6A28B1E8"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37FED76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631" w:type="dxa"/>
            <w:tcBorders>
              <w:top w:val="single" w:sz="4" w:space="0" w:color="auto"/>
              <w:left w:val="single" w:sz="4" w:space="0" w:color="auto"/>
              <w:bottom w:val="single" w:sz="4" w:space="0" w:color="auto"/>
              <w:right w:val="single" w:sz="4" w:space="0" w:color="auto"/>
            </w:tcBorders>
            <w:vAlign w:val="bottom"/>
          </w:tcPr>
          <w:p w14:paraId="469A5F5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729413.50</w:t>
            </w:r>
            <w:r>
              <w:rPr>
                <w:rFonts w:ascii="Calibri" w:eastAsia="Calibri" w:hAnsi="Calibri" w:cs="Calibri"/>
                <w:color w:val="000000"/>
                <w:sz w:val="22"/>
                <w:szCs w:val="22"/>
              </w:rPr>
              <w:t>49</w:t>
            </w:r>
          </w:p>
        </w:tc>
        <w:tc>
          <w:tcPr>
            <w:tcW w:w="1631" w:type="dxa"/>
            <w:tcBorders>
              <w:top w:val="single" w:sz="4" w:space="0" w:color="auto"/>
              <w:left w:val="single" w:sz="4" w:space="0" w:color="auto"/>
              <w:bottom w:val="single" w:sz="4" w:space="0" w:color="auto"/>
              <w:right w:val="single" w:sz="4" w:space="0" w:color="auto"/>
            </w:tcBorders>
            <w:vAlign w:val="bottom"/>
          </w:tcPr>
          <w:p w14:paraId="2B47522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8523174.1</w:t>
            </w:r>
            <w:r>
              <w:rPr>
                <w:rFonts w:ascii="Calibri" w:eastAsia="Calibri" w:hAnsi="Calibri" w:cs="Calibri"/>
                <w:color w:val="000000"/>
                <w:sz w:val="22"/>
                <w:szCs w:val="22"/>
              </w:rPr>
              <w:t>076</w:t>
            </w:r>
          </w:p>
        </w:tc>
      </w:tr>
      <w:tr w:rsidR="00457A67" w:rsidRPr="00CC1F05" w14:paraId="754CE87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363E138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631" w:type="dxa"/>
            <w:tcBorders>
              <w:top w:val="single" w:sz="4" w:space="0" w:color="auto"/>
              <w:left w:val="single" w:sz="4" w:space="0" w:color="auto"/>
              <w:bottom w:val="single" w:sz="4" w:space="0" w:color="auto"/>
              <w:right w:val="single" w:sz="4" w:space="0" w:color="auto"/>
            </w:tcBorders>
            <w:vAlign w:val="bottom"/>
          </w:tcPr>
          <w:p w14:paraId="067F303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729395.2</w:t>
            </w:r>
            <w:r>
              <w:rPr>
                <w:rFonts w:ascii="Calibri" w:eastAsia="Calibri" w:hAnsi="Calibri" w:cs="Calibri"/>
                <w:color w:val="000000"/>
                <w:sz w:val="22"/>
                <w:szCs w:val="22"/>
              </w:rPr>
              <w:t>580</w:t>
            </w:r>
          </w:p>
        </w:tc>
        <w:tc>
          <w:tcPr>
            <w:tcW w:w="1631" w:type="dxa"/>
            <w:tcBorders>
              <w:top w:val="single" w:sz="4" w:space="0" w:color="auto"/>
              <w:left w:val="single" w:sz="4" w:space="0" w:color="auto"/>
              <w:bottom w:val="single" w:sz="4" w:space="0" w:color="auto"/>
              <w:right w:val="single" w:sz="4" w:space="0" w:color="auto"/>
            </w:tcBorders>
            <w:vAlign w:val="bottom"/>
          </w:tcPr>
          <w:p w14:paraId="5869FE4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8523191.</w:t>
            </w:r>
            <w:r>
              <w:rPr>
                <w:rFonts w:ascii="Calibri" w:eastAsia="Calibri" w:hAnsi="Calibri" w:cs="Calibri"/>
                <w:color w:val="000000"/>
                <w:sz w:val="22"/>
                <w:szCs w:val="22"/>
              </w:rPr>
              <w:t>1971</w:t>
            </w:r>
          </w:p>
        </w:tc>
      </w:tr>
      <w:tr w:rsidR="00457A67" w:rsidRPr="00CC1F05" w14:paraId="55A0F148"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22802FE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631" w:type="dxa"/>
            <w:tcBorders>
              <w:top w:val="single" w:sz="4" w:space="0" w:color="auto"/>
              <w:left w:val="single" w:sz="4" w:space="0" w:color="auto"/>
              <w:bottom w:val="single" w:sz="4" w:space="0" w:color="auto"/>
              <w:right w:val="single" w:sz="4" w:space="0" w:color="auto"/>
            </w:tcBorders>
            <w:vAlign w:val="bottom"/>
          </w:tcPr>
          <w:p w14:paraId="2ABA43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731146.44</w:t>
            </w:r>
            <w:r>
              <w:rPr>
                <w:rFonts w:ascii="Calibri" w:eastAsia="Calibri" w:hAnsi="Calibri" w:cs="Calibri"/>
                <w:color w:val="000000"/>
                <w:sz w:val="22"/>
                <w:szCs w:val="22"/>
              </w:rPr>
              <w:t>16</w:t>
            </w:r>
          </w:p>
        </w:tc>
        <w:tc>
          <w:tcPr>
            <w:tcW w:w="1631" w:type="dxa"/>
            <w:tcBorders>
              <w:top w:val="single" w:sz="4" w:space="0" w:color="auto"/>
              <w:left w:val="single" w:sz="4" w:space="0" w:color="auto"/>
              <w:bottom w:val="single" w:sz="4" w:space="0" w:color="auto"/>
              <w:right w:val="single" w:sz="4" w:space="0" w:color="auto"/>
            </w:tcBorders>
            <w:vAlign w:val="bottom"/>
          </w:tcPr>
          <w:p w14:paraId="46B9814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8525060.9</w:t>
            </w:r>
            <w:r>
              <w:rPr>
                <w:rFonts w:ascii="Calibri" w:eastAsia="Calibri" w:hAnsi="Calibri" w:cs="Calibri"/>
                <w:color w:val="000000"/>
                <w:sz w:val="22"/>
                <w:szCs w:val="22"/>
              </w:rPr>
              <w:t>772</w:t>
            </w:r>
          </w:p>
        </w:tc>
      </w:tr>
      <w:tr w:rsidR="00457A67" w:rsidRPr="00CC1F05" w14:paraId="3F8813AD"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A55405C"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Área (m2)</w:t>
            </w:r>
          </w:p>
        </w:tc>
        <w:tc>
          <w:tcPr>
            <w:tcW w:w="3262" w:type="dxa"/>
            <w:gridSpan w:val="2"/>
            <w:tcBorders>
              <w:top w:val="single" w:sz="4" w:space="0" w:color="auto"/>
              <w:left w:val="single" w:sz="4" w:space="0" w:color="auto"/>
              <w:bottom w:val="single" w:sz="4" w:space="0" w:color="auto"/>
              <w:right w:val="single" w:sz="4" w:space="0" w:color="auto"/>
            </w:tcBorders>
          </w:tcPr>
          <w:p w14:paraId="5392BDCC" w14:textId="77777777" w:rsidR="00457A67" w:rsidRPr="00CC1F05"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64</w:t>
            </w:r>
            <w:r>
              <w:rPr>
                <w:rFonts w:ascii="Calibri" w:eastAsia="Calibri" w:hAnsi="Calibri" w:cs="Calibri"/>
                <w:color w:val="000000"/>
                <w:sz w:val="22"/>
                <w:szCs w:val="22"/>
              </w:rPr>
              <w:t>,</w:t>
            </w:r>
            <w:r w:rsidRPr="00356AE3">
              <w:rPr>
                <w:rFonts w:ascii="Calibri" w:eastAsia="Calibri" w:hAnsi="Calibri" w:cs="Calibri"/>
                <w:color w:val="000000"/>
                <w:sz w:val="22"/>
                <w:szCs w:val="22"/>
              </w:rPr>
              <w:t>044.5243</w:t>
            </w:r>
          </w:p>
        </w:tc>
      </w:tr>
      <w:tr w:rsidR="00457A67" w:rsidRPr="00CC1F05" w14:paraId="546B28E6"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6267A225"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Perímetro (ml)</w:t>
            </w:r>
          </w:p>
        </w:tc>
        <w:tc>
          <w:tcPr>
            <w:tcW w:w="3262" w:type="dxa"/>
            <w:gridSpan w:val="2"/>
            <w:tcBorders>
              <w:top w:val="single" w:sz="4" w:space="0" w:color="auto"/>
              <w:left w:val="single" w:sz="4" w:space="0" w:color="auto"/>
              <w:bottom w:val="single" w:sz="4" w:space="0" w:color="auto"/>
              <w:right w:val="single" w:sz="4" w:space="0" w:color="auto"/>
            </w:tcBorders>
            <w:vAlign w:val="bottom"/>
          </w:tcPr>
          <w:p w14:paraId="3CC45E87" w14:textId="77777777" w:rsidR="00457A67" w:rsidRPr="00CC1F05"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5,173.5619</w:t>
            </w:r>
          </w:p>
        </w:tc>
      </w:tr>
    </w:tbl>
    <w:p w14:paraId="2E0CE0D0" w14:textId="2EB893A4" w:rsidR="00457A67" w:rsidRDefault="00457A67" w:rsidP="00457A67">
      <w:pPr>
        <w:spacing w:line="276" w:lineRule="auto"/>
        <w:rPr>
          <w:rFonts w:ascii="Calibri" w:hAnsi="Calibri" w:cs="Calibri"/>
        </w:rPr>
      </w:pPr>
    </w:p>
    <w:p w14:paraId="7A04C9ED" w14:textId="24C370A7" w:rsidR="00457A67" w:rsidRDefault="00457A67" w:rsidP="00457A67">
      <w:pPr>
        <w:spacing w:line="276" w:lineRule="auto"/>
        <w:rPr>
          <w:rFonts w:ascii="Calibri" w:hAnsi="Calibri" w:cs="Calibri"/>
        </w:rPr>
      </w:pPr>
    </w:p>
    <w:p w14:paraId="3F195C8F" w14:textId="6A2DE8D1" w:rsidR="00457A67" w:rsidRPr="001B00AA" w:rsidRDefault="00457A67" w:rsidP="00457A67">
      <w:pPr>
        <w:spacing w:line="276" w:lineRule="auto"/>
        <w:rPr>
          <w:rFonts w:ascii="Calibri" w:eastAsia="Times New Roman" w:hAnsi="Calibri" w:cs="Calibri"/>
          <w:b/>
          <w:caps/>
        </w:rPr>
      </w:pPr>
      <w:r w:rsidRPr="001B00AA">
        <w:rPr>
          <w:rFonts w:ascii="Calibri" w:eastAsia="Times New Roman" w:hAnsi="Calibri" w:cs="Calibri"/>
          <w:b/>
          <w:caps/>
        </w:rPr>
        <w:t xml:space="preserve">Tabla </w:t>
      </w:r>
      <w:r w:rsidRPr="001B00AA">
        <w:rPr>
          <w:rFonts w:ascii="Calibri" w:eastAsia="Times New Roman" w:hAnsi="Calibri" w:cs="Calibri"/>
          <w:b/>
          <w:caps/>
        </w:rPr>
        <w:fldChar w:fldCharType="begin"/>
      </w:r>
      <w:r w:rsidRPr="001B00AA">
        <w:rPr>
          <w:rFonts w:ascii="Calibri" w:eastAsia="Times New Roman" w:hAnsi="Calibri" w:cs="Calibri"/>
          <w:b/>
          <w:caps/>
        </w:rPr>
        <w:instrText xml:space="preserve"> SEQ Tabla \* ARABIC </w:instrText>
      </w:r>
      <w:r w:rsidRPr="001B00AA">
        <w:rPr>
          <w:rFonts w:ascii="Calibri" w:eastAsia="Times New Roman" w:hAnsi="Calibri" w:cs="Calibri"/>
          <w:b/>
          <w:caps/>
        </w:rPr>
        <w:fldChar w:fldCharType="separate"/>
      </w:r>
      <w:r w:rsidRPr="001B00AA">
        <w:rPr>
          <w:rFonts w:ascii="Calibri" w:eastAsia="Times New Roman" w:hAnsi="Calibri" w:cs="Calibri"/>
          <w:b/>
          <w:caps/>
        </w:rPr>
        <w:t>1</w:t>
      </w:r>
      <w:r w:rsidRPr="001B00AA">
        <w:rPr>
          <w:rFonts w:ascii="Calibri" w:eastAsia="Times New Roman" w:hAnsi="Calibri" w:cs="Calibri"/>
          <w:b/>
          <w:caps/>
        </w:rPr>
        <w:fldChar w:fldCharType="end"/>
      </w:r>
      <w:r w:rsidRPr="001B00AA">
        <w:rPr>
          <w:rFonts w:ascii="Calibri" w:eastAsia="Times New Roman" w:hAnsi="Calibri" w:cs="Calibri"/>
          <w:b/>
          <w:caps/>
        </w:rPr>
        <w:t>.</w:t>
      </w:r>
      <w:r>
        <w:rPr>
          <w:rFonts w:ascii="Calibri" w:eastAsia="Times New Roman" w:hAnsi="Calibri" w:cs="Calibri"/>
          <w:b/>
          <w:caps/>
        </w:rPr>
        <w:t>B</w:t>
      </w:r>
      <w:r w:rsidRPr="001B00AA">
        <w:rPr>
          <w:rFonts w:ascii="Calibri" w:eastAsia="Times New Roman" w:hAnsi="Calibri" w:cs="Calibri"/>
          <w:b/>
          <w:caps/>
        </w:rPr>
        <w:t xml:space="preserve"> ÁREA DEL TRAZO DEL TELEFÉRICO </w:t>
      </w:r>
      <w:r>
        <w:rPr>
          <w:rFonts w:ascii="Calibri" w:eastAsia="Times New Roman" w:hAnsi="Calibri" w:cs="Calibri"/>
          <w:b/>
          <w:caps/>
        </w:rPr>
        <w:t>MAIZAL</w:t>
      </w:r>
      <w:r w:rsidRPr="001B00AA">
        <w:rPr>
          <w:rFonts w:ascii="Calibri" w:eastAsia="Times New Roman" w:hAnsi="Calibri" w:cs="Calibri"/>
          <w:b/>
          <w:caps/>
        </w:rPr>
        <w:t xml:space="preserve"> </w:t>
      </w:r>
      <w:r>
        <w:rPr>
          <w:rFonts w:ascii="Calibri" w:eastAsia="Times New Roman" w:hAnsi="Calibri" w:cs="Calibri"/>
          <w:b/>
          <w:caps/>
        </w:rPr>
        <w:t>–</w:t>
      </w:r>
      <w:r w:rsidRPr="001B00AA">
        <w:rPr>
          <w:rFonts w:ascii="Calibri" w:eastAsia="Times New Roman" w:hAnsi="Calibri" w:cs="Calibri"/>
          <w:b/>
          <w:caps/>
        </w:rPr>
        <w:t xml:space="preserve"> </w:t>
      </w:r>
      <w:r>
        <w:rPr>
          <w:rFonts w:ascii="Calibri" w:eastAsia="Times New Roman" w:hAnsi="Calibri" w:cs="Calibri"/>
          <w:b/>
          <w:caps/>
        </w:rPr>
        <w:t>ABRA CHOQUEQUIRAO (servidumbre)</w:t>
      </w:r>
    </w:p>
    <w:p w14:paraId="4B00C15A" w14:textId="77777777" w:rsidR="00457A67" w:rsidRDefault="00457A67" w:rsidP="00457A67">
      <w:pPr>
        <w:spacing w:line="276" w:lineRule="auto"/>
        <w:rPr>
          <w:rFonts w:ascii="Calibri" w:hAnsi="Calibri" w:cs="Calibri"/>
        </w:rPr>
      </w:pPr>
    </w:p>
    <w:tbl>
      <w:tblPr>
        <w:tblStyle w:val="268"/>
        <w:tblW w:w="5243" w:type="dxa"/>
        <w:jc w:val="center"/>
        <w:tblInd w:w="0" w:type="dxa"/>
        <w:tblLayout w:type="fixed"/>
        <w:tblLook w:val="0400" w:firstRow="0" w:lastRow="0" w:firstColumn="0" w:lastColumn="0" w:noHBand="0" w:noVBand="1"/>
      </w:tblPr>
      <w:tblGrid>
        <w:gridCol w:w="1632"/>
        <w:gridCol w:w="1631"/>
        <w:gridCol w:w="1980"/>
      </w:tblGrid>
      <w:tr w:rsidR="00457A67" w:rsidRPr="00CC1F05" w14:paraId="4B9CB6AF" w14:textId="77777777" w:rsidTr="00457A67">
        <w:trPr>
          <w:trHeight w:val="288"/>
          <w:jc w:val="center"/>
        </w:trPr>
        <w:tc>
          <w:tcPr>
            <w:tcW w:w="5243" w:type="dxa"/>
            <w:gridSpan w:val="3"/>
            <w:tcBorders>
              <w:top w:val="single" w:sz="4" w:space="0" w:color="auto"/>
              <w:left w:val="single" w:sz="4" w:space="0" w:color="auto"/>
              <w:bottom w:val="single" w:sz="4" w:space="0" w:color="auto"/>
              <w:right w:val="single" w:sz="4" w:space="0" w:color="auto"/>
            </w:tcBorders>
            <w:vAlign w:val="bottom"/>
          </w:tcPr>
          <w:p w14:paraId="770666A5"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23B6225" w14:textId="77777777" w:rsidTr="00457A67">
        <w:trPr>
          <w:trHeight w:val="288"/>
          <w:jc w:val="center"/>
        </w:trPr>
        <w:tc>
          <w:tcPr>
            <w:tcW w:w="5243" w:type="dxa"/>
            <w:gridSpan w:val="3"/>
            <w:tcBorders>
              <w:top w:val="single" w:sz="4" w:space="0" w:color="auto"/>
              <w:left w:val="single" w:sz="4" w:space="0" w:color="auto"/>
              <w:bottom w:val="single" w:sz="4" w:space="0" w:color="auto"/>
              <w:right w:val="single" w:sz="4" w:space="0" w:color="auto"/>
            </w:tcBorders>
          </w:tcPr>
          <w:p w14:paraId="56194365"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Teleférico Maizal – Abra Choquequirao</w:t>
            </w:r>
          </w:p>
        </w:tc>
      </w:tr>
      <w:tr w:rsidR="00457A67" w:rsidRPr="00CC1F05" w14:paraId="72E345C1"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5B30E0D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631" w:type="dxa"/>
            <w:tcBorders>
              <w:top w:val="single" w:sz="4" w:space="0" w:color="auto"/>
              <w:left w:val="single" w:sz="4" w:space="0" w:color="auto"/>
              <w:bottom w:val="single" w:sz="4" w:space="0" w:color="auto"/>
              <w:right w:val="single" w:sz="4" w:space="0" w:color="auto"/>
            </w:tcBorders>
            <w:vAlign w:val="bottom"/>
          </w:tcPr>
          <w:p w14:paraId="7D2F335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980" w:type="dxa"/>
            <w:tcBorders>
              <w:top w:val="single" w:sz="4" w:space="0" w:color="auto"/>
              <w:left w:val="single" w:sz="4" w:space="0" w:color="auto"/>
              <w:bottom w:val="single" w:sz="4" w:space="0" w:color="auto"/>
              <w:right w:val="single" w:sz="4" w:space="0" w:color="auto"/>
            </w:tcBorders>
            <w:vAlign w:val="bottom"/>
          </w:tcPr>
          <w:p w14:paraId="16D134C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780DC2AE"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13F8008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631" w:type="dxa"/>
            <w:tcBorders>
              <w:top w:val="single" w:sz="4" w:space="0" w:color="auto"/>
              <w:left w:val="single" w:sz="4" w:space="0" w:color="auto"/>
              <w:bottom w:val="single" w:sz="4" w:space="0" w:color="auto"/>
              <w:right w:val="single" w:sz="4" w:space="0" w:color="auto"/>
            </w:tcBorders>
            <w:vAlign w:val="bottom"/>
          </w:tcPr>
          <w:p w14:paraId="2C3978B0"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730223.8712</w:t>
            </w:r>
          </w:p>
        </w:tc>
        <w:tc>
          <w:tcPr>
            <w:tcW w:w="1980" w:type="dxa"/>
            <w:tcBorders>
              <w:top w:val="single" w:sz="4" w:space="0" w:color="auto"/>
              <w:left w:val="single" w:sz="4" w:space="0" w:color="auto"/>
              <w:bottom w:val="single" w:sz="4" w:space="0" w:color="auto"/>
              <w:right w:val="single" w:sz="4" w:space="0" w:color="auto"/>
            </w:tcBorders>
            <w:vAlign w:val="bottom"/>
          </w:tcPr>
          <w:p w14:paraId="33D7C783"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8519362.5917</w:t>
            </w:r>
          </w:p>
        </w:tc>
      </w:tr>
      <w:tr w:rsidR="00457A67" w:rsidRPr="00CC1F05" w14:paraId="37BF8034"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42F2821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631" w:type="dxa"/>
            <w:tcBorders>
              <w:top w:val="single" w:sz="4" w:space="0" w:color="auto"/>
              <w:left w:val="single" w:sz="4" w:space="0" w:color="auto"/>
              <w:bottom w:val="single" w:sz="4" w:space="0" w:color="auto"/>
              <w:right w:val="single" w:sz="4" w:space="0" w:color="auto"/>
            </w:tcBorders>
            <w:vAlign w:val="bottom"/>
          </w:tcPr>
          <w:p w14:paraId="6C75E0B5"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730199.4257</w:t>
            </w:r>
          </w:p>
        </w:tc>
        <w:tc>
          <w:tcPr>
            <w:tcW w:w="1980" w:type="dxa"/>
            <w:tcBorders>
              <w:top w:val="single" w:sz="4" w:space="0" w:color="auto"/>
              <w:left w:val="single" w:sz="4" w:space="0" w:color="auto"/>
              <w:bottom w:val="single" w:sz="4" w:space="0" w:color="auto"/>
              <w:right w:val="single" w:sz="4" w:space="0" w:color="auto"/>
            </w:tcBorders>
            <w:vAlign w:val="bottom"/>
          </w:tcPr>
          <w:p w14:paraId="013A619D"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8519357.3560</w:t>
            </w:r>
          </w:p>
        </w:tc>
      </w:tr>
      <w:tr w:rsidR="00457A67" w:rsidRPr="00CC1F05" w14:paraId="0F9175BA"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48A61F4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631" w:type="dxa"/>
            <w:tcBorders>
              <w:top w:val="single" w:sz="4" w:space="0" w:color="auto"/>
              <w:left w:val="single" w:sz="4" w:space="0" w:color="auto"/>
              <w:bottom w:val="single" w:sz="4" w:space="0" w:color="auto"/>
              <w:right w:val="single" w:sz="4" w:space="0" w:color="auto"/>
            </w:tcBorders>
            <w:vAlign w:val="bottom"/>
          </w:tcPr>
          <w:p w14:paraId="280A2083"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729396.6979</w:t>
            </w:r>
          </w:p>
        </w:tc>
        <w:tc>
          <w:tcPr>
            <w:tcW w:w="1980" w:type="dxa"/>
            <w:tcBorders>
              <w:top w:val="single" w:sz="4" w:space="0" w:color="auto"/>
              <w:left w:val="single" w:sz="4" w:space="0" w:color="auto"/>
              <w:bottom w:val="single" w:sz="4" w:space="0" w:color="auto"/>
              <w:right w:val="single" w:sz="4" w:space="0" w:color="auto"/>
            </w:tcBorders>
            <w:vAlign w:val="bottom"/>
          </w:tcPr>
          <w:p w14:paraId="278E0CE5"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8523105.2782</w:t>
            </w:r>
          </w:p>
        </w:tc>
      </w:tr>
      <w:tr w:rsidR="00457A67" w:rsidRPr="00CC1F05" w14:paraId="0D556DFF"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5A5E0D7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631" w:type="dxa"/>
            <w:tcBorders>
              <w:top w:val="single" w:sz="4" w:space="0" w:color="auto"/>
              <w:left w:val="single" w:sz="4" w:space="0" w:color="auto"/>
              <w:bottom w:val="single" w:sz="4" w:space="0" w:color="auto"/>
              <w:right w:val="single" w:sz="4" w:space="0" w:color="auto"/>
            </w:tcBorders>
            <w:vAlign w:val="bottom"/>
          </w:tcPr>
          <w:p w14:paraId="6536ED69"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729421.1435</w:t>
            </w:r>
          </w:p>
        </w:tc>
        <w:tc>
          <w:tcPr>
            <w:tcW w:w="1980" w:type="dxa"/>
            <w:tcBorders>
              <w:top w:val="single" w:sz="4" w:space="0" w:color="auto"/>
              <w:left w:val="single" w:sz="4" w:space="0" w:color="auto"/>
              <w:bottom w:val="single" w:sz="4" w:space="0" w:color="auto"/>
              <w:right w:val="single" w:sz="4" w:space="0" w:color="auto"/>
            </w:tcBorders>
            <w:vAlign w:val="bottom"/>
          </w:tcPr>
          <w:p w14:paraId="073EBFEC" w14:textId="77777777" w:rsidR="00457A67" w:rsidRPr="00CC1F05" w:rsidRDefault="00457A67" w:rsidP="00457A67">
            <w:pPr>
              <w:spacing w:before="0" w:after="0"/>
              <w:jc w:val="center"/>
              <w:rPr>
                <w:rFonts w:ascii="Calibri" w:eastAsia="Calibri" w:hAnsi="Calibri" w:cs="Calibri"/>
                <w:color w:val="000000"/>
                <w:sz w:val="22"/>
                <w:szCs w:val="22"/>
              </w:rPr>
            </w:pPr>
            <w:r w:rsidRPr="00E61C17">
              <w:rPr>
                <w:rFonts w:ascii="Calibri" w:eastAsia="Calibri" w:hAnsi="Calibri" w:cs="Calibri"/>
                <w:color w:val="000000"/>
                <w:sz w:val="22"/>
                <w:szCs w:val="22"/>
              </w:rPr>
              <w:t>8523110.5139</w:t>
            </w:r>
          </w:p>
        </w:tc>
      </w:tr>
      <w:tr w:rsidR="00457A67" w:rsidRPr="00CC1F05" w14:paraId="1A66AFD4"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21697806"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Área (m2)</w:t>
            </w:r>
          </w:p>
        </w:tc>
        <w:tc>
          <w:tcPr>
            <w:tcW w:w="3611" w:type="dxa"/>
            <w:gridSpan w:val="2"/>
            <w:tcBorders>
              <w:top w:val="single" w:sz="4" w:space="0" w:color="auto"/>
              <w:left w:val="single" w:sz="4" w:space="0" w:color="auto"/>
              <w:bottom w:val="single" w:sz="4" w:space="0" w:color="auto"/>
              <w:right w:val="single" w:sz="4" w:space="0" w:color="auto"/>
            </w:tcBorders>
          </w:tcPr>
          <w:p w14:paraId="662E5458" w14:textId="77777777" w:rsidR="00457A67" w:rsidRPr="00E61C17"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95</w:t>
            </w:r>
            <w:r>
              <w:rPr>
                <w:rFonts w:ascii="Calibri" w:eastAsia="Calibri" w:hAnsi="Calibri" w:cs="Calibri"/>
                <w:color w:val="000000"/>
                <w:sz w:val="22"/>
                <w:szCs w:val="22"/>
              </w:rPr>
              <w:t>,</w:t>
            </w:r>
            <w:r w:rsidRPr="00356AE3">
              <w:rPr>
                <w:rFonts w:ascii="Calibri" w:eastAsia="Calibri" w:hAnsi="Calibri" w:cs="Calibri"/>
                <w:color w:val="000000"/>
                <w:sz w:val="22"/>
                <w:szCs w:val="22"/>
              </w:rPr>
              <w:t>823.0558</w:t>
            </w:r>
          </w:p>
        </w:tc>
      </w:tr>
      <w:tr w:rsidR="00457A67" w:rsidRPr="00CC1F05" w14:paraId="67EAF4C6" w14:textId="77777777" w:rsidTr="00457A67">
        <w:trPr>
          <w:trHeight w:val="288"/>
          <w:jc w:val="center"/>
        </w:trPr>
        <w:tc>
          <w:tcPr>
            <w:tcW w:w="1632" w:type="dxa"/>
            <w:tcBorders>
              <w:top w:val="single" w:sz="4" w:space="0" w:color="auto"/>
              <w:left w:val="single" w:sz="4" w:space="0" w:color="auto"/>
              <w:bottom w:val="single" w:sz="4" w:space="0" w:color="auto"/>
              <w:right w:val="single" w:sz="4" w:space="0" w:color="auto"/>
            </w:tcBorders>
            <w:vAlign w:val="bottom"/>
          </w:tcPr>
          <w:p w14:paraId="70741528" w14:textId="77777777" w:rsidR="00457A67" w:rsidRPr="00CB6446" w:rsidRDefault="00457A67" w:rsidP="00457A67">
            <w:pPr>
              <w:jc w:val="center"/>
              <w:rPr>
                <w:rFonts w:ascii="Calibri" w:eastAsia="Calibri" w:hAnsi="Calibri" w:cs="Calibri"/>
                <w:b/>
                <w:color w:val="000000"/>
              </w:rPr>
            </w:pPr>
            <w:r w:rsidRPr="00CB6446">
              <w:rPr>
                <w:rFonts w:ascii="Calibri" w:eastAsia="Calibri" w:hAnsi="Calibri" w:cs="Calibri"/>
                <w:b/>
                <w:color w:val="000000"/>
                <w:sz w:val="22"/>
                <w:szCs w:val="22"/>
              </w:rPr>
              <w:t>Perímetro (ml)</w:t>
            </w:r>
          </w:p>
        </w:tc>
        <w:tc>
          <w:tcPr>
            <w:tcW w:w="3611" w:type="dxa"/>
            <w:gridSpan w:val="2"/>
            <w:tcBorders>
              <w:top w:val="single" w:sz="4" w:space="0" w:color="auto"/>
              <w:left w:val="single" w:sz="4" w:space="0" w:color="auto"/>
              <w:bottom w:val="single" w:sz="4" w:space="0" w:color="auto"/>
              <w:right w:val="single" w:sz="4" w:space="0" w:color="auto"/>
            </w:tcBorders>
            <w:vAlign w:val="bottom"/>
          </w:tcPr>
          <w:p w14:paraId="305C81C3" w14:textId="77777777" w:rsidR="00457A67" w:rsidRPr="00E61C17" w:rsidRDefault="00457A67" w:rsidP="00457A67">
            <w:pPr>
              <w:jc w:val="center"/>
              <w:rPr>
                <w:rFonts w:ascii="Calibri" w:eastAsia="Calibri" w:hAnsi="Calibri" w:cs="Calibri"/>
                <w:color w:val="000000"/>
              </w:rPr>
            </w:pPr>
            <w:r w:rsidRPr="00356AE3">
              <w:rPr>
                <w:rFonts w:ascii="Calibri" w:eastAsia="Calibri" w:hAnsi="Calibri" w:cs="Calibri"/>
                <w:color w:val="000000"/>
                <w:sz w:val="22"/>
                <w:szCs w:val="22"/>
              </w:rPr>
              <w:t>7</w:t>
            </w:r>
            <w:r>
              <w:rPr>
                <w:rFonts w:ascii="Calibri" w:eastAsia="Calibri" w:hAnsi="Calibri" w:cs="Calibri"/>
                <w:color w:val="000000"/>
                <w:sz w:val="22"/>
                <w:szCs w:val="22"/>
              </w:rPr>
              <w:t>,</w:t>
            </w:r>
            <w:r w:rsidRPr="00356AE3">
              <w:rPr>
                <w:rFonts w:ascii="Calibri" w:eastAsia="Calibri" w:hAnsi="Calibri" w:cs="Calibri"/>
                <w:color w:val="000000"/>
                <w:sz w:val="22"/>
                <w:szCs w:val="22"/>
              </w:rPr>
              <w:t>715.8445</w:t>
            </w:r>
          </w:p>
        </w:tc>
      </w:tr>
    </w:tbl>
    <w:p w14:paraId="7DB327C9" w14:textId="77777777" w:rsidR="00457A67" w:rsidRPr="00CC1F05" w:rsidRDefault="00457A67" w:rsidP="00457A67">
      <w:pPr>
        <w:spacing w:line="276" w:lineRule="auto"/>
        <w:rPr>
          <w:rFonts w:ascii="Calibri" w:hAnsi="Calibri" w:cs="Calibri"/>
        </w:rPr>
      </w:pPr>
    </w:p>
    <w:p w14:paraId="3A61CA1F" w14:textId="7E49799B" w:rsidR="00457A67" w:rsidRDefault="00457A67" w:rsidP="00A3732C">
      <w:pPr>
        <w:pStyle w:val="Descripcin"/>
        <w:spacing w:line="276" w:lineRule="auto"/>
        <w:rPr>
          <w:rFonts w:eastAsia="Calibri"/>
        </w:rPr>
      </w:pPr>
      <w:r w:rsidRPr="00CC1F05">
        <w:rPr>
          <w:rFonts w:ascii="Calibri" w:hAnsi="Calibri"/>
          <w:b w:val="0"/>
          <w:caps w:val="0"/>
        </w:rPr>
        <w:lastRenderedPageBreak/>
        <w:fldChar w:fldCharType="begin"/>
      </w:r>
      <w:r w:rsidRPr="00CC1F05">
        <w:rPr>
          <w:rFonts w:ascii="Calibri" w:hAnsi="Calibri"/>
          <w:sz w:val="22"/>
          <w:szCs w:val="22"/>
        </w:rPr>
        <w:instrText xml:space="preserve"> SEQ Tabla \* ARABIC </w:instrText>
      </w:r>
      <w:r w:rsidRPr="00CC1F05">
        <w:rPr>
          <w:rFonts w:ascii="Calibri" w:hAnsi="Calibri"/>
          <w:b w:val="0"/>
          <w:caps w:val="0"/>
        </w:rPr>
        <w:fldChar w:fldCharType="separate"/>
      </w:r>
      <w:r w:rsidRPr="00CC1F05">
        <w:rPr>
          <w:rFonts w:ascii="Calibri" w:hAnsi="Calibri"/>
          <w:noProof/>
          <w:sz w:val="22"/>
          <w:szCs w:val="22"/>
        </w:rPr>
        <w:t>2</w:t>
      </w:r>
      <w:r w:rsidRPr="00CC1F05">
        <w:rPr>
          <w:rFonts w:ascii="Calibri" w:hAnsi="Calibri"/>
          <w:b w:val="0"/>
          <w:caps w:val="0"/>
        </w:rPr>
        <w:fldChar w:fldCharType="end"/>
      </w:r>
      <w:r w:rsidRPr="00CC1F05">
        <w:rPr>
          <w:rFonts w:ascii="Calibri" w:hAnsi="Calibri"/>
          <w:sz w:val="22"/>
          <w:szCs w:val="22"/>
        </w:rPr>
        <w:t xml:space="preserve">. ÁREAS de las Estaciones SAN JUAN – MAIZAL – ABRA CHOQUEQUIRAO. </w:t>
      </w:r>
    </w:p>
    <w:p w14:paraId="5493D017" w14:textId="77777777" w:rsidR="00457A67" w:rsidRDefault="00457A67" w:rsidP="00457A67">
      <w:pPr>
        <w:spacing w:line="276" w:lineRule="auto"/>
        <w:ind w:firstLine="567"/>
        <w:jc w:val="both"/>
        <w:rPr>
          <w:rFonts w:ascii="Calibri" w:eastAsia="Calibri" w:hAnsi="Calibri" w:cs="Calibri"/>
          <w:color w:val="000000"/>
        </w:rPr>
      </w:pPr>
    </w:p>
    <w:p w14:paraId="45A2F179" w14:textId="63CB2DC9"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2.A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SAN JUAN. </w:t>
      </w:r>
    </w:p>
    <w:p w14:paraId="1716971C" w14:textId="77777777" w:rsidR="00457A67" w:rsidRPr="001B00AA" w:rsidRDefault="00457A67" w:rsidP="00457A67">
      <w:pPr>
        <w:pStyle w:val="Normal0"/>
      </w:pPr>
    </w:p>
    <w:tbl>
      <w:tblPr>
        <w:tblStyle w:val="268"/>
        <w:tblW w:w="4112" w:type="dxa"/>
        <w:jc w:val="center"/>
        <w:tblInd w:w="0" w:type="dxa"/>
        <w:tblLayout w:type="fixed"/>
        <w:tblLook w:val="0400" w:firstRow="0" w:lastRow="0" w:firstColumn="0" w:lastColumn="0" w:noHBand="0" w:noVBand="1"/>
      </w:tblPr>
      <w:tblGrid>
        <w:gridCol w:w="1461"/>
        <w:gridCol w:w="1245"/>
        <w:gridCol w:w="1406"/>
      </w:tblGrid>
      <w:tr w:rsidR="00457A67" w:rsidRPr="00CC1F05" w14:paraId="6C419229"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auto"/>
            </w:tcBorders>
            <w:vAlign w:val="bottom"/>
          </w:tcPr>
          <w:p w14:paraId="58AFD314"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1C44C0CD"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auto"/>
            </w:tcBorders>
            <w:vAlign w:val="bottom"/>
          </w:tcPr>
          <w:p w14:paraId="2A911E51" w14:textId="77777777" w:rsidR="00457A67" w:rsidRPr="00CC1F05" w:rsidRDefault="00457A67" w:rsidP="00457A67">
            <w:pPr>
              <w:spacing w:before="0" w:after="0"/>
              <w:jc w:val="center"/>
              <w:rPr>
                <w:rFonts w:ascii="Calibri" w:eastAsia="Calibri" w:hAnsi="Calibri" w:cs="Calibri"/>
                <w:b/>
                <w:i/>
                <w:color w:val="000000"/>
                <w:sz w:val="22"/>
                <w:szCs w:val="22"/>
              </w:rPr>
            </w:pPr>
            <w:bookmarkStart w:id="7" w:name="_Hlk179836883"/>
            <w:r w:rsidRPr="00CC1F05">
              <w:rPr>
                <w:rFonts w:ascii="Calibri" w:eastAsia="Calibri" w:hAnsi="Calibri" w:cs="Calibri"/>
                <w:b/>
                <w:i/>
                <w:color w:val="000000"/>
                <w:sz w:val="22"/>
                <w:szCs w:val="22"/>
              </w:rPr>
              <w:t>Estación San Juan</w:t>
            </w:r>
          </w:p>
        </w:tc>
      </w:tr>
      <w:tr w:rsidR="00457A67" w:rsidRPr="00CC1F05" w14:paraId="6D7F377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A534D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5" w:type="dxa"/>
            <w:tcBorders>
              <w:top w:val="single" w:sz="4" w:space="0" w:color="auto"/>
              <w:left w:val="single" w:sz="4" w:space="0" w:color="auto"/>
              <w:bottom w:val="single" w:sz="4" w:space="0" w:color="auto"/>
              <w:right w:val="single" w:sz="4" w:space="0" w:color="auto"/>
            </w:tcBorders>
            <w:vAlign w:val="bottom"/>
          </w:tcPr>
          <w:p w14:paraId="20E9EB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6" w:type="dxa"/>
            <w:tcBorders>
              <w:top w:val="single" w:sz="4" w:space="0" w:color="auto"/>
              <w:left w:val="single" w:sz="4" w:space="0" w:color="auto"/>
              <w:bottom w:val="single" w:sz="4" w:space="0" w:color="auto"/>
              <w:right w:val="single" w:sz="4" w:space="0" w:color="auto"/>
            </w:tcBorders>
            <w:vAlign w:val="bottom"/>
          </w:tcPr>
          <w:p w14:paraId="48FEAEA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962FAF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48011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5" w:type="dxa"/>
            <w:tcBorders>
              <w:top w:val="single" w:sz="4" w:space="0" w:color="auto"/>
              <w:left w:val="single" w:sz="4" w:space="0" w:color="auto"/>
              <w:bottom w:val="single" w:sz="4" w:space="0" w:color="auto"/>
              <w:right w:val="single" w:sz="4" w:space="0" w:color="auto"/>
            </w:tcBorders>
            <w:vAlign w:val="bottom"/>
          </w:tcPr>
          <w:p w14:paraId="003F32F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731309.9988</w:t>
            </w:r>
          </w:p>
        </w:tc>
        <w:tc>
          <w:tcPr>
            <w:tcW w:w="1406" w:type="dxa"/>
            <w:tcBorders>
              <w:top w:val="single" w:sz="4" w:space="0" w:color="auto"/>
              <w:left w:val="single" w:sz="4" w:space="0" w:color="auto"/>
              <w:bottom w:val="single" w:sz="4" w:space="0" w:color="auto"/>
              <w:right w:val="single" w:sz="4" w:space="0" w:color="auto"/>
            </w:tcBorders>
            <w:vAlign w:val="bottom"/>
          </w:tcPr>
          <w:p w14:paraId="1393D51A"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8525054.1138</w:t>
            </w:r>
          </w:p>
        </w:tc>
      </w:tr>
      <w:tr w:rsidR="00457A67" w:rsidRPr="00CC1F05" w14:paraId="60F6C0E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542F0F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5" w:type="dxa"/>
            <w:tcBorders>
              <w:top w:val="single" w:sz="4" w:space="0" w:color="auto"/>
              <w:left w:val="single" w:sz="4" w:space="0" w:color="auto"/>
              <w:bottom w:val="single" w:sz="4" w:space="0" w:color="auto"/>
              <w:right w:val="single" w:sz="4" w:space="0" w:color="auto"/>
            </w:tcBorders>
            <w:vAlign w:val="bottom"/>
          </w:tcPr>
          <w:p w14:paraId="0422FCD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731168.4404</w:t>
            </w:r>
          </w:p>
        </w:tc>
        <w:tc>
          <w:tcPr>
            <w:tcW w:w="1406" w:type="dxa"/>
            <w:tcBorders>
              <w:top w:val="single" w:sz="4" w:space="0" w:color="auto"/>
              <w:left w:val="single" w:sz="4" w:space="0" w:color="auto"/>
              <w:bottom w:val="single" w:sz="4" w:space="0" w:color="auto"/>
              <w:right w:val="single" w:sz="4" w:space="0" w:color="auto"/>
            </w:tcBorders>
            <w:vAlign w:val="bottom"/>
          </w:tcPr>
          <w:p w14:paraId="4D4B688D"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8525003.3959</w:t>
            </w:r>
          </w:p>
        </w:tc>
      </w:tr>
      <w:tr w:rsidR="00457A67" w:rsidRPr="00CC1F05" w14:paraId="3C0C991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552B23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5" w:type="dxa"/>
            <w:tcBorders>
              <w:top w:val="single" w:sz="4" w:space="0" w:color="auto"/>
              <w:left w:val="single" w:sz="4" w:space="0" w:color="auto"/>
              <w:bottom w:val="single" w:sz="4" w:space="0" w:color="auto"/>
              <w:right w:val="single" w:sz="4" w:space="0" w:color="auto"/>
            </w:tcBorders>
            <w:vAlign w:val="bottom"/>
          </w:tcPr>
          <w:p w14:paraId="008C859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731105.7425</w:t>
            </w:r>
          </w:p>
        </w:tc>
        <w:tc>
          <w:tcPr>
            <w:tcW w:w="1406" w:type="dxa"/>
            <w:tcBorders>
              <w:top w:val="single" w:sz="4" w:space="0" w:color="auto"/>
              <w:left w:val="single" w:sz="4" w:space="0" w:color="auto"/>
              <w:bottom w:val="single" w:sz="4" w:space="0" w:color="auto"/>
              <w:right w:val="single" w:sz="4" w:space="0" w:color="auto"/>
            </w:tcBorders>
            <w:vAlign w:val="bottom"/>
          </w:tcPr>
          <w:p w14:paraId="29EE7509"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8525060.7890</w:t>
            </w:r>
          </w:p>
        </w:tc>
      </w:tr>
      <w:tr w:rsidR="00457A67" w:rsidRPr="00CC1F05" w14:paraId="0D40356C"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58C20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5" w:type="dxa"/>
            <w:tcBorders>
              <w:top w:val="single" w:sz="4" w:space="0" w:color="auto"/>
              <w:left w:val="single" w:sz="4" w:space="0" w:color="auto"/>
              <w:bottom w:val="single" w:sz="4" w:space="0" w:color="auto"/>
              <w:right w:val="single" w:sz="4" w:space="0" w:color="auto"/>
            </w:tcBorders>
            <w:vAlign w:val="bottom"/>
          </w:tcPr>
          <w:p w14:paraId="4A188C84"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731145.4737</w:t>
            </w:r>
          </w:p>
        </w:tc>
        <w:tc>
          <w:tcPr>
            <w:tcW w:w="1406" w:type="dxa"/>
            <w:tcBorders>
              <w:top w:val="single" w:sz="4" w:space="0" w:color="auto"/>
              <w:left w:val="single" w:sz="4" w:space="0" w:color="auto"/>
              <w:bottom w:val="single" w:sz="4" w:space="0" w:color="auto"/>
              <w:right w:val="single" w:sz="4" w:space="0" w:color="auto"/>
            </w:tcBorders>
            <w:vAlign w:val="bottom"/>
          </w:tcPr>
          <w:p w14:paraId="2AD3751A"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8525103.3387</w:t>
            </w:r>
          </w:p>
        </w:tc>
      </w:tr>
      <w:tr w:rsidR="00457A67" w:rsidRPr="00CC1F05" w14:paraId="102C2CC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34E34F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245" w:type="dxa"/>
            <w:tcBorders>
              <w:top w:val="single" w:sz="4" w:space="0" w:color="auto"/>
              <w:left w:val="single" w:sz="4" w:space="0" w:color="auto"/>
              <w:bottom w:val="single" w:sz="4" w:space="0" w:color="auto"/>
              <w:right w:val="single" w:sz="4" w:space="0" w:color="auto"/>
            </w:tcBorders>
            <w:vAlign w:val="bottom"/>
          </w:tcPr>
          <w:p w14:paraId="1A51F10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731155.1230</w:t>
            </w:r>
          </w:p>
        </w:tc>
        <w:tc>
          <w:tcPr>
            <w:tcW w:w="1406" w:type="dxa"/>
            <w:tcBorders>
              <w:top w:val="single" w:sz="4" w:space="0" w:color="auto"/>
              <w:left w:val="single" w:sz="4" w:space="0" w:color="auto"/>
              <w:bottom w:val="single" w:sz="4" w:space="0" w:color="auto"/>
              <w:right w:val="single" w:sz="4" w:space="0" w:color="auto"/>
            </w:tcBorders>
            <w:vAlign w:val="bottom"/>
          </w:tcPr>
          <w:p w14:paraId="549917A0"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8525102.0208</w:t>
            </w:r>
          </w:p>
        </w:tc>
      </w:tr>
      <w:tr w:rsidR="00457A67" w:rsidRPr="00CC1F05" w14:paraId="5D73A1A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9BF2F2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245" w:type="dxa"/>
            <w:tcBorders>
              <w:top w:val="single" w:sz="4" w:space="0" w:color="auto"/>
              <w:left w:val="single" w:sz="4" w:space="0" w:color="auto"/>
              <w:bottom w:val="single" w:sz="4" w:space="0" w:color="auto"/>
              <w:right w:val="single" w:sz="4" w:space="0" w:color="auto"/>
            </w:tcBorders>
            <w:vAlign w:val="bottom"/>
          </w:tcPr>
          <w:p w14:paraId="0680C8F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731167.3631</w:t>
            </w:r>
          </w:p>
        </w:tc>
        <w:tc>
          <w:tcPr>
            <w:tcW w:w="1406" w:type="dxa"/>
            <w:tcBorders>
              <w:top w:val="single" w:sz="4" w:space="0" w:color="auto"/>
              <w:left w:val="single" w:sz="4" w:space="0" w:color="auto"/>
              <w:bottom w:val="single" w:sz="4" w:space="0" w:color="auto"/>
              <w:right w:val="single" w:sz="4" w:space="0" w:color="auto"/>
            </w:tcBorders>
            <w:vAlign w:val="bottom"/>
          </w:tcPr>
          <w:p w14:paraId="15AB088C"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8525107.2806</w:t>
            </w:r>
          </w:p>
        </w:tc>
      </w:tr>
      <w:tr w:rsidR="00457A67" w:rsidRPr="00CC1F05" w14:paraId="5BCDADB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80D3F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245" w:type="dxa"/>
            <w:tcBorders>
              <w:top w:val="single" w:sz="4" w:space="0" w:color="auto"/>
              <w:left w:val="single" w:sz="4" w:space="0" w:color="auto"/>
              <w:bottom w:val="single" w:sz="4" w:space="0" w:color="auto"/>
              <w:right w:val="single" w:sz="4" w:space="0" w:color="auto"/>
            </w:tcBorders>
            <w:vAlign w:val="bottom"/>
          </w:tcPr>
          <w:p w14:paraId="6F4589E3"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731175.3972</w:t>
            </w:r>
          </w:p>
        </w:tc>
        <w:tc>
          <w:tcPr>
            <w:tcW w:w="1406" w:type="dxa"/>
            <w:tcBorders>
              <w:top w:val="single" w:sz="4" w:space="0" w:color="auto"/>
              <w:left w:val="single" w:sz="4" w:space="0" w:color="auto"/>
              <w:bottom w:val="single" w:sz="4" w:space="0" w:color="auto"/>
              <w:right w:val="single" w:sz="4" w:space="0" w:color="auto"/>
            </w:tcBorders>
            <w:vAlign w:val="bottom"/>
          </w:tcPr>
          <w:p w14:paraId="59C7A9E5"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8525139.2123</w:t>
            </w:r>
          </w:p>
        </w:tc>
      </w:tr>
      <w:tr w:rsidR="00457A67" w:rsidRPr="00CC1F05" w14:paraId="4DEA233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C8DA15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245" w:type="dxa"/>
            <w:tcBorders>
              <w:top w:val="single" w:sz="4" w:space="0" w:color="auto"/>
              <w:left w:val="single" w:sz="4" w:space="0" w:color="auto"/>
              <w:bottom w:val="single" w:sz="4" w:space="0" w:color="auto"/>
              <w:right w:val="single" w:sz="4" w:space="0" w:color="auto"/>
            </w:tcBorders>
            <w:vAlign w:val="bottom"/>
          </w:tcPr>
          <w:p w14:paraId="607457D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731205.2210</w:t>
            </w:r>
          </w:p>
        </w:tc>
        <w:tc>
          <w:tcPr>
            <w:tcW w:w="1406" w:type="dxa"/>
            <w:tcBorders>
              <w:top w:val="single" w:sz="4" w:space="0" w:color="auto"/>
              <w:left w:val="single" w:sz="4" w:space="0" w:color="auto"/>
              <w:bottom w:val="single" w:sz="4" w:space="0" w:color="auto"/>
              <w:right w:val="single" w:sz="4" w:space="0" w:color="auto"/>
            </w:tcBorders>
            <w:vAlign w:val="bottom"/>
          </w:tcPr>
          <w:p w14:paraId="6A5B5C20"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8525144.4406</w:t>
            </w:r>
          </w:p>
        </w:tc>
      </w:tr>
      <w:tr w:rsidR="00457A67" w:rsidRPr="00CC1F05" w14:paraId="1EBAD44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A56154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245" w:type="dxa"/>
            <w:tcBorders>
              <w:top w:val="single" w:sz="4" w:space="0" w:color="auto"/>
              <w:left w:val="single" w:sz="4" w:space="0" w:color="auto"/>
              <w:bottom w:val="single" w:sz="4" w:space="0" w:color="auto"/>
              <w:right w:val="single" w:sz="4" w:space="0" w:color="auto"/>
            </w:tcBorders>
            <w:vAlign w:val="bottom"/>
          </w:tcPr>
          <w:p w14:paraId="437A2665"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731306.5457</w:t>
            </w:r>
          </w:p>
        </w:tc>
        <w:tc>
          <w:tcPr>
            <w:tcW w:w="1406" w:type="dxa"/>
            <w:tcBorders>
              <w:top w:val="single" w:sz="4" w:space="0" w:color="auto"/>
              <w:left w:val="single" w:sz="4" w:space="0" w:color="auto"/>
              <w:bottom w:val="single" w:sz="4" w:space="0" w:color="auto"/>
              <w:right w:val="single" w:sz="4" w:space="0" w:color="auto"/>
            </w:tcBorders>
            <w:vAlign w:val="bottom"/>
          </w:tcPr>
          <w:p w14:paraId="401FCAFB" w14:textId="77777777" w:rsidR="00457A67" w:rsidRPr="00CC1F05" w:rsidRDefault="00457A67" w:rsidP="00457A67">
            <w:pPr>
              <w:spacing w:before="0" w:after="0"/>
              <w:jc w:val="center"/>
              <w:rPr>
                <w:rFonts w:ascii="Calibri" w:eastAsia="Calibri" w:hAnsi="Calibri" w:cs="Calibri"/>
                <w:color w:val="000000"/>
                <w:sz w:val="22"/>
                <w:szCs w:val="22"/>
              </w:rPr>
            </w:pPr>
            <w:r w:rsidRPr="00FA1DCF">
              <w:rPr>
                <w:rFonts w:ascii="Calibri" w:eastAsia="Calibri" w:hAnsi="Calibri" w:cs="Calibri"/>
                <w:color w:val="000000"/>
                <w:sz w:val="22"/>
                <w:szCs w:val="22"/>
              </w:rPr>
              <w:t>8525121.4901</w:t>
            </w:r>
          </w:p>
        </w:tc>
      </w:tr>
      <w:tr w:rsidR="00457A67" w:rsidRPr="00CC1F05" w14:paraId="418A6BF2"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06F7501" w14:textId="77777777" w:rsidR="00457A67" w:rsidRPr="00845FBD" w:rsidRDefault="00457A67" w:rsidP="00457A67">
            <w:pPr>
              <w:spacing w:before="0" w:after="0"/>
              <w:jc w:val="center"/>
              <w:rPr>
                <w:rFonts w:ascii="Calibri" w:eastAsia="Calibri" w:hAnsi="Calibri" w:cs="Calibri"/>
                <w:b/>
                <w:color w:val="000000"/>
                <w:sz w:val="22"/>
                <w:szCs w:val="22"/>
              </w:rPr>
            </w:pPr>
            <w:r w:rsidRPr="00845FBD">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4EE8517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18,445.43</w:t>
            </w:r>
            <w:r>
              <w:rPr>
                <w:rFonts w:ascii="Calibri" w:eastAsia="Calibri" w:hAnsi="Calibri" w:cs="Calibri"/>
                <w:color w:val="000000"/>
                <w:sz w:val="22"/>
                <w:szCs w:val="22"/>
              </w:rPr>
              <w:t>26</w:t>
            </w:r>
          </w:p>
        </w:tc>
      </w:tr>
      <w:tr w:rsidR="00457A67" w:rsidRPr="00CC1F05" w14:paraId="227F196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65BF1D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40589CAB" w14:textId="77777777" w:rsidR="00457A67" w:rsidRPr="00CC1F05" w:rsidRDefault="00457A67" w:rsidP="00457A67">
            <w:pPr>
              <w:spacing w:before="0" w:after="0"/>
              <w:jc w:val="center"/>
              <w:rPr>
                <w:rFonts w:ascii="Calibri" w:eastAsia="Calibri" w:hAnsi="Calibri" w:cs="Calibri"/>
                <w:color w:val="000000"/>
              </w:rPr>
            </w:pPr>
            <w:r w:rsidRPr="007D2DC4">
              <w:rPr>
                <w:rFonts w:ascii="Calibri" w:eastAsia="Calibri" w:hAnsi="Calibri" w:cs="Calibri"/>
                <w:color w:val="000000"/>
                <w:sz w:val="22"/>
                <w:szCs w:val="22"/>
              </w:rPr>
              <w:t>551.2082</w:t>
            </w:r>
          </w:p>
        </w:tc>
      </w:tr>
      <w:bookmarkEnd w:id="7"/>
    </w:tbl>
    <w:p w14:paraId="3CEF2397" w14:textId="77777777" w:rsidR="00457A67" w:rsidRPr="00457A67" w:rsidRDefault="00457A67" w:rsidP="00BB5F42">
      <w:pPr>
        <w:pStyle w:val="Normal0"/>
      </w:pPr>
    </w:p>
    <w:p w14:paraId="0D047B65" w14:textId="77777777" w:rsidR="00457A67" w:rsidRDefault="00457A67" w:rsidP="00457A67">
      <w:pPr>
        <w:pStyle w:val="Descripcin"/>
        <w:spacing w:line="276" w:lineRule="auto"/>
        <w:rPr>
          <w:rFonts w:ascii="Calibri" w:hAnsi="Calibri"/>
          <w:sz w:val="22"/>
          <w:szCs w:val="22"/>
        </w:rPr>
      </w:pPr>
    </w:p>
    <w:p w14:paraId="7FFE8756" w14:textId="04A8693D"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2.B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w:t>
      </w:r>
      <w:r>
        <w:rPr>
          <w:rFonts w:ascii="Calibri" w:hAnsi="Calibri"/>
          <w:sz w:val="22"/>
          <w:szCs w:val="22"/>
        </w:rPr>
        <w:t>MAIZAL</w:t>
      </w:r>
      <w:r w:rsidRPr="00CC1F05">
        <w:rPr>
          <w:rFonts w:ascii="Calibri" w:hAnsi="Calibri"/>
          <w:sz w:val="22"/>
          <w:szCs w:val="22"/>
        </w:rPr>
        <w:t xml:space="preserve">. </w:t>
      </w:r>
    </w:p>
    <w:p w14:paraId="629AFC0B" w14:textId="77777777" w:rsidR="00457A67" w:rsidRPr="007D2DC4" w:rsidRDefault="00457A67" w:rsidP="00457A67">
      <w:pPr>
        <w:pStyle w:val="Normal0"/>
      </w:pPr>
    </w:p>
    <w:tbl>
      <w:tblPr>
        <w:tblStyle w:val="268"/>
        <w:tblW w:w="4117" w:type="dxa"/>
        <w:jc w:val="center"/>
        <w:tblInd w:w="0" w:type="dxa"/>
        <w:tblLayout w:type="fixed"/>
        <w:tblLook w:val="0400" w:firstRow="0" w:lastRow="0" w:firstColumn="0" w:lastColumn="0" w:noHBand="0" w:noVBand="1"/>
      </w:tblPr>
      <w:tblGrid>
        <w:gridCol w:w="1466"/>
        <w:gridCol w:w="1246"/>
        <w:gridCol w:w="1405"/>
      </w:tblGrid>
      <w:tr w:rsidR="00457A67" w:rsidRPr="00CC1F05" w14:paraId="73825157" w14:textId="77777777" w:rsidTr="00457A67">
        <w:trPr>
          <w:trHeight w:val="288"/>
          <w:jc w:val="center"/>
        </w:trPr>
        <w:tc>
          <w:tcPr>
            <w:tcW w:w="4117" w:type="dxa"/>
            <w:gridSpan w:val="3"/>
            <w:tcBorders>
              <w:top w:val="single" w:sz="4" w:space="0" w:color="auto"/>
              <w:left w:val="single" w:sz="4" w:space="0" w:color="auto"/>
              <w:bottom w:val="single" w:sz="4" w:space="0" w:color="auto"/>
              <w:right w:val="single" w:sz="4" w:space="0" w:color="auto"/>
            </w:tcBorders>
            <w:vAlign w:val="bottom"/>
          </w:tcPr>
          <w:p w14:paraId="6EC415B9"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601C15D" w14:textId="77777777" w:rsidTr="00457A67">
        <w:trPr>
          <w:trHeight w:val="288"/>
          <w:jc w:val="center"/>
        </w:trPr>
        <w:tc>
          <w:tcPr>
            <w:tcW w:w="4117" w:type="dxa"/>
            <w:gridSpan w:val="3"/>
            <w:tcBorders>
              <w:top w:val="single" w:sz="4" w:space="0" w:color="auto"/>
              <w:left w:val="single" w:sz="4" w:space="0" w:color="auto"/>
              <w:bottom w:val="single" w:sz="4" w:space="0" w:color="auto"/>
              <w:right w:val="single" w:sz="4" w:space="0" w:color="auto"/>
            </w:tcBorders>
          </w:tcPr>
          <w:p w14:paraId="69776F9D"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Estación Maizal</w:t>
            </w:r>
          </w:p>
        </w:tc>
      </w:tr>
      <w:tr w:rsidR="00457A67" w:rsidRPr="00CC1F05" w14:paraId="6C2EB6FD"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2C63D2C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C999C1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single" w:sz="4" w:space="0" w:color="auto"/>
              <w:left w:val="single" w:sz="4" w:space="0" w:color="auto"/>
              <w:bottom w:val="single" w:sz="4" w:space="0" w:color="auto"/>
              <w:right w:val="single" w:sz="4" w:space="0" w:color="auto"/>
            </w:tcBorders>
            <w:vAlign w:val="bottom"/>
          </w:tcPr>
          <w:p w14:paraId="7C05237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0A63202"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572F06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421D94D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729461.3264</w:t>
            </w:r>
          </w:p>
        </w:tc>
        <w:tc>
          <w:tcPr>
            <w:tcW w:w="1405" w:type="dxa"/>
            <w:tcBorders>
              <w:top w:val="single" w:sz="4" w:space="0" w:color="auto"/>
              <w:left w:val="single" w:sz="4" w:space="0" w:color="auto"/>
              <w:bottom w:val="single" w:sz="4" w:space="0" w:color="auto"/>
              <w:right w:val="single" w:sz="4" w:space="0" w:color="auto"/>
            </w:tcBorders>
            <w:vAlign w:val="bottom"/>
          </w:tcPr>
          <w:p w14:paraId="03E4EEB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8523081.9535</w:t>
            </w:r>
          </w:p>
        </w:tc>
      </w:tr>
      <w:tr w:rsidR="00457A67" w:rsidRPr="00CC1F05" w14:paraId="57612DA9"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02D9163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5D356118"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729353.7658</w:t>
            </w:r>
          </w:p>
        </w:tc>
        <w:tc>
          <w:tcPr>
            <w:tcW w:w="1405" w:type="dxa"/>
            <w:tcBorders>
              <w:top w:val="single" w:sz="4" w:space="0" w:color="auto"/>
              <w:left w:val="single" w:sz="4" w:space="0" w:color="auto"/>
              <w:bottom w:val="single" w:sz="4" w:space="0" w:color="auto"/>
              <w:right w:val="single" w:sz="4" w:space="0" w:color="auto"/>
            </w:tcBorders>
            <w:vAlign w:val="bottom"/>
          </w:tcPr>
          <w:p w14:paraId="63DAAE6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8523058.9162</w:t>
            </w:r>
          </w:p>
        </w:tc>
      </w:tr>
      <w:tr w:rsidR="00457A67" w:rsidRPr="00CC1F05" w14:paraId="382C98BF"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4621857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0F0ABEC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729322.3513</w:t>
            </w:r>
          </w:p>
        </w:tc>
        <w:tc>
          <w:tcPr>
            <w:tcW w:w="1405" w:type="dxa"/>
            <w:tcBorders>
              <w:top w:val="single" w:sz="4" w:space="0" w:color="auto"/>
              <w:left w:val="single" w:sz="4" w:space="0" w:color="auto"/>
              <w:bottom w:val="single" w:sz="4" w:space="0" w:color="auto"/>
              <w:right w:val="single" w:sz="4" w:space="0" w:color="auto"/>
            </w:tcBorders>
            <w:vAlign w:val="bottom"/>
          </w:tcPr>
          <w:p w14:paraId="2A451B14"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8523205.5898</w:t>
            </w:r>
          </w:p>
        </w:tc>
      </w:tr>
      <w:tr w:rsidR="00457A67" w:rsidRPr="00CC1F05" w14:paraId="3E7FF319"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21EC9F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0DC2AD7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729429.9119</w:t>
            </w:r>
          </w:p>
        </w:tc>
        <w:tc>
          <w:tcPr>
            <w:tcW w:w="1405" w:type="dxa"/>
            <w:tcBorders>
              <w:top w:val="single" w:sz="4" w:space="0" w:color="auto"/>
              <w:left w:val="single" w:sz="4" w:space="0" w:color="auto"/>
              <w:bottom w:val="single" w:sz="4" w:space="0" w:color="auto"/>
              <w:right w:val="single" w:sz="4" w:space="0" w:color="auto"/>
            </w:tcBorders>
            <w:vAlign w:val="bottom"/>
          </w:tcPr>
          <w:p w14:paraId="00866291"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8523228.6271</w:t>
            </w:r>
          </w:p>
        </w:tc>
      </w:tr>
      <w:tr w:rsidR="00457A67" w:rsidRPr="00CC1F05" w14:paraId="04249F9A"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4D9DD62E" w14:textId="77777777" w:rsidR="00457A67" w:rsidRPr="007D2DC4" w:rsidRDefault="00457A67" w:rsidP="00457A67">
            <w:pPr>
              <w:jc w:val="center"/>
              <w:rPr>
                <w:rFonts w:ascii="Calibri" w:eastAsia="Calibri" w:hAnsi="Calibri" w:cs="Calibri"/>
                <w:b/>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B2E8EA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16,500.00</w:t>
            </w:r>
            <w:r>
              <w:rPr>
                <w:rFonts w:ascii="Calibri" w:eastAsia="Calibri" w:hAnsi="Calibri" w:cs="Calibri"/>
                <w:color w:val="000000"/>
                <w:sz w:val="22"/>
                <w:szCs w:val="22"/>
              </w:rPr>
              <w:t>00</w:t>
            </w:r>
          </w:p>
        </w:tc>
      </w:tr>
      <w:tr w:rsidR="00457A67" w:rsidRPr="00CC1F05" w14:paraId="7990501B" w14:textId="77777777" w:rsidTr="00457A67">
        <w:trPr>
          <w:trHeight w:val="288"/>
          <w:jc w:val="center"/>
        </w:trPr>
        <w:tc>
          <w:tcPr>
            <w:tcW w:w="1466" w:type="dxa"/>
            <w:tcBorders>
              <w:top w:val="single" w:sz="4" w:space="0" w:color="auto"/>
              <w:left w:val="single" w:sz="4" w:space="0" w:color="auto"/>
              <w:bottom w:val="single" w:sz="4" w:space="0" w:color="auto"/>
              <w:right w:val="single" w:sz="4" w:space="0" w:color="auto"/>
            </w:tcBorders>
            <w:vAlign w:val="bottom"/>
          </w:tcPr>
          <w:p w14:paraId="0C0B8A2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31BEA36D" w14:textId="77777777" w:rsidR="00457A67" w:rsidRPr="00CC1F05" w:rsidRDefault="00457A67" w:rsidP="00457A67">
            <w:pPr>
              <w:jc w:val="center"/>
              <w:rPr>
                <w:rFonts w:ascii="Calibri" w:eastAsia="Calibri" w:hAnsi="Calibri" w:cs="Calibri"/>
                <w:color w:val="000000"/>
              </w:rPr>
            </w:pPr>
            <w:r w:rsidRPr="007D2DC4">
              <w:rPr>
                <w:rFonts w:ascii="Calibri" w:eastAsia="Calibri" w:hAnsi="Calibri" w:cs="Calibri"/>
                <w:color w:val="000000"/>
                <w:sz w:val="22"/>
                <w:szCs w:val="22"/>
              </w:rPr>
              <w:t>520.0000</w:t>
            </w:r>
          </w:p>
        </w:tc>
      </w:tr>
    </w:tbl>
    <w:p w14:paraId="305E0EE6" w14:textId="1C69B7F9" w:rsidR="000933AA" w:rsidRDefault="000933AA" w:rsidP="00457A67">
      <w:pPr>
        <w:spacing w:line="276" w:lineRule="auto"/>
        <w:ind w:firstLine="567"/>
        <w:jc w:val="both"/>
        <w:rPr>
          <w:rFonts w:ascii="Calibri" w:eastAsia="Calibri" w:hAnsi="Calibri" w:cs="Calibri"/>
          <w:color w:val="000000"/>
        </w:rPr>
      </w:pPr>
    </w:p>
    <w:p w14:paraId="1EC383BB" w14:textId="77777777" w:rsidR="000933AA" w:rsidRDefault="000933AA">
      <w:pPr>
        <w:rPr>
          <w:rFonts w:ascii="Calibri" w:eastAsia="Calibri" w:hAnsi="Calibri" w:cs="Calibri"/>
          <w:color w:val="000000"/>
        </w:rPr>
      </w:pPr>
      <w:r>
        <w:rPr>
          <w:rFonts w:ascii="Calibri" w:eastAsia="Calibri" w:hAnsi="Calibri" w:cs="Calibri"/>
          <w:color w:val="000000"/>
        </w:rPr>
        <w:br w:type="page"/>
      </w:r>
    </w:p>
    <w:p w14:paraId="5D815F5D" w14:textId="4BA8A3EA" w:rsidR="00457A67" w:rsidRDefault="00457A67" w:rsidP="00457A67">
      <w:pPr>
        <w:pStyle w:val="Descripcin"/>
        <w:spacing w:line="276" w:lineRule="auto"/>
        <w:rPr>
          <w:rFonts w:ascii="Calibri" w:hAnsi="Calibri"/>
          <w:sz w:val="22"/>
          <w:szCs w:val="22"/>
        </w:rPr>
      </w:pPr>
      <w:r>
        <w:rPr>
          <w:rFonts w:ascii="Calibri" w:hAnsi="Calibri"/>
          <w:sz w:val="22"/>
          <w:szCs w:val="22"/>
        </w:rPr>
        <w:lastRenderedPageBreak/>
        <w:t xml:space="preserve">tabla 2.C </w:t>
      </w:r>
      <w:r w:rsidRPr="00CC1F05">
        <w:rPr>
          <w:rFonts w:ascii="Calibri" w:hAnsi="Calibri"/>
          <w:sz w:val="22"/>
          <w:szCs w:val="22"/>
        </w:rPr>
        <w:t>ÁREA de la Estaci</w:t>
      </w:r>
      <w:r>
        <w:rPr>
          <w:rFonts w:ascii="Calibri" w:hAnsi="Calibri"/>
          <w:sz w:val="22"/>
          <w:szCs w:val="22"/>
        </w:rPr>
        <w:t>ÓN</w:t>
      </w:r>
      <w:r w:rsidRPr="00CC1F05">
        <w:rPr>
          <w:rFonts w:ascii="Calibri" w:hAnsi="Calibri"/>
          <w:sz w:val="22"/>
          <w:szCs w:val="22"/>
        </w:rPr>
        <w:t xml:space="preserve"> </w:t>
      </w:r>
      <w:r>
        <w:rPr>
          <w:rFonts w:ascii="Calibri" w:hAnsi="Calibri"/>
          <w:sz w:val="22"/>
          <w:szCs w:val="22"/>
        </w:rPr>
        <w:t>abra choquequirao</w:t>
      </w:r>
      <w:r w:rsidRPr="00CC1F05">
        <w:rPr>
          <w:rFonts w:ascii="Calibri" w:hAnsi="Calibri"/>
          <w:sz w:val="22"/>
          <w:szCs w:val="22"/>
        </w:rPr>
        <w:t xml:space="preserve">. </w:t>
      </w:r>
    </w:p>
    <w:p w14:paraId="47344C2D" w14:textId="77777777" w:rsidR="00457A67" w:rsidRDefault="00457A67" w:rsidP="00457A67">
      <w:pPr>
        <w:spacing w:line="276" w:lineRule="auto"/>
        <w:ind w:firstLine="567"/>
        <w:jc w:val="both"/>
        <w:rPr>
          <w:rFonts w:ascii="Calibri" w:eastAsia="Calibri" w:hAnsi="Calibri" w:cs="Calibri"/>
          <w:color w:val="000000"/>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10305B28"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3C5B2893"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0916311D"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2A25D983"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Estación Abra</w:t>
            </w:r>
            <w:r>
              <w:rPr>
                <w:rFonts w:ascii="Calibri" w:eastAsia="Calibri" w:hAnsi="Calibri" w:cs="Calibri"/>
                <w:b/>
                <w:i/>
                <w:color w:val="000000"/>
                <w:sz w:val="22"/>
                <w:szCs w:val="22"/>
              </w:rPr>
              <w:t xml:space="preserve"> Choquequirao</w:t>
            </w:r>
          </w:p>
        </w:tc>
      </w:tr>
      <w:tr w:rsidR="00457A67" w:rsidRPr="00CC1F05" w14:paraId="4808924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366D3B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AD402F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0281C8F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37EFEE8C"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BDFF3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299E996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730257.3249</w:t>
            </w:r>
          </w:p>
        </w:tc>
        <w:tc>
          <w:tcPr>
            <w:tcW w:w="1405" w:type="dxa"/>
            <w:tcBorders>
              <w:top w:val="nil"/>
              <w:left w:val="single" w:sz="4" w:space="0" w:color="auto"/>
              <w:bottom w:val="single" w:sz="4" w:space="0" w:color="000000"/>
              <w:right w:val="single" w:sz="4" w:space="0" w:color="000000"/>
            </w:tcBorders>
            <w:vAlign w:val="bottom"/>
          </w:tcPr>
          <w:p w14:paraId="4470D6D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8519297.1197</w:t>
            </w:r>
          </w:p>
        </w:tc>
      </w:tr>
      <w:tr w:rsidR="00457A67" w:rsidRPr="00CC1F05" w14:paraId="10685BA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A9F39E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197DA3AC"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730195.7220</w:t>
            </w:r>
          </w:p>
        </w:tc>
        <w:tc>
          <w:tcPr>
            <w:tcW w:w="1405" w:type="dxa"/>
            <w:tcBorders>
              <w:top w:val="nil"/>
              <w:left w:val="single" w:sz="4" w:space="0" w:color="auto"/>
              <w:bottom w:val="single" w:sz="4" w:space="0" w:color="000000"/>
              <w:right w:val="single" w:sz="4" w:space="0" w:color="000000"/>
            </w:tcBorders>
            <w:vAlign w:val="bottom"/>
          </w:tcPr>
          <w:p w14:paraId="03FCB2EA"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8519283.9256</w:t>
            </w:r>
          </w:p>
        </w:tc>
      </w:tr>
      <w:tr w:rsidR="00457A67" w:rsidRPr="00CC1F05" w14:paraId="37D73C51"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0E91DD2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0CDF05AE"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730176.0356</w:t>
            </w:r>
          </w:p>
        </w:tc>
        <w:tc>
          <w:tcPr>
            <w:tcW w:w="1405" w:type="dxa"/>
            <w:tcBorders>
              <w:top w:val="nil"/>
              <w:left w:val="single" w:sz="4" w:space="0" w:color="auto"/>
              <w:bottom w:val="single" w:sz="4" w:space="0" w:color="000000"/>
              <w:right w:val="single" w:sz="4" w:space="0" w:color="000000"/>
            </w:tcBorders>
            <w:vAlign w:val="bottom"/>
          </w:tcPr>
          <w:p w14:paraId="62E9A120"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8519375.8410</w:t>
            </w:r>
          </w:p>
        </w:tc>
      </w:tr>
      <w:tr w:rsidR="00457A67" w:rsidRPr="00CC1F05" w14:paraId="66F7912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731B44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28DE2B97"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730237.6385</w:t>
            </w:r>
          </w:p>
        </w:tc>
        <w:tc>
          <w:tcPr>
            <w:tcW w:w="1405" w:type="dxa"/>
            <w:tcBorders>
              <w:top w:val="nil"/>
              <w:left w:val="single" w:sz="4" w:space="0" w:color="auto"/>
              <w:bottom w:val="single" w:sz="4" w:space="0" w:color="000000"/>
              <w:right w:val="single" w:sz="4" w:space="0" w:color="000000"/>
            </w:tcBorders>
            <w:vAlign w:val="bottom"/>
          </w:tcPr>
          <w:p w14:paraId="6E3AF5E0"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8519389.0351</w:t>
            </w:r>
          </w:p>
        </w:tc>
      </w:tr>
      <w:tr w:rsidR="00457A67" w:rsidRPr="00CC1F05" w14:paraId="44D8C4A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2886BE5"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06A00B28" w14:textId="77777777" w:rsidR="00457A67" w:rsidRPr="00CC1F05" w:rsidRDefault="00457A67" w:rsidP="00457A67">
            <w:pPr>
              <w:spacing w:before="0" w:after="0"/>
              <w:jc w:val="center"/>
              <w:rPr>
                <w:rFonts w:ascii="Calibri" w:eastAsia="Calibri" w:hAnsi="Calibri" w:cs="Calibri"/>
                <w:color w:val="000000"/>
                <w:sz w:val="22"/>
                <w:szCs w:val="22"/>
              </w:rPr>
            </w:pPr>
            <w:r w:rsidRPr="00E2568A">
              <w:rPr>
                <w:rFonts w:ascii="Calibri" w:eastAsia="Calibri" w:hAnsi="Calibri" w:cs="Calibri"/>
                <w:color w:val="000000"/>
                <w:sz w:val="22"/>
                <w:szCs w:val="22"/>
              </w:rPr>
              <w:t>5</w:t>
            </w:r>
            <w:r>
              <w:rPr>
                <w:rFonts w:ascii="Calibri" w:eastAsia="Calibri" w:hAnsi="Calibri" w:cs="Calibri"/>
                <w:color w:val="000000"/>
                <w:sz w:val="22"/>
                <w:szCs w:val="22"/>
              </w:rPr>
              <w:t>,</w:t>
            </w:r>
            <w:r w:rsidRPr="00E2568A">
              <w:rPr>
                <w:rFonts w:ascii="Calibri" w:eastAsia="Calibri" w:hAnsi="Calibri" w:cs="Calibri"/>
                <w:color w:val="000000"/>
                <w:sz w:val="22"/>
                <w:szCs w:val="22"/>
              </w:rPr>
              <w:t>921.9995</w:t>
            </w:r>
          </w:p>
        </w:tc>
      </w:tr>
      <w:tr w:rsidR="00457A67" w:rsidRPr="00CC1F05" w14:paraId="557255C3"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FC8984"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553460CC" w14:textId="77777777" w:rsidR="00457A67" w:rsidRPr="00E2568A" w:rsidRDefault="00457A67" w:rsidP="00457A67">
            <w:pPr>
              <w:jc w:val="center"/>
              <w:rPr>
                <w:rFonts w:ascii="Calibri" w:eastAsia="Calibri" w:hAnsi="Calibri" w:cs="Calibri"/>
                <w:color w:val="000000"/>
              </w:rPr>
            </w:pPr>
            <w:r w:rsidRPr="007D2DC4">
              <w:rPr>
                <w:rFonts w:ascii="Calibri" w:eastAsia="Calibri" w:hAnsi="Calibri" w:cs="Calibri"/>
                <w:color w:val="000000"/>
                <w:sz w:val="22"/>
                <w:szCs w:val="22"/>
              </w:rPr>
              <w:t>314.0000</w:t>
            </w:r>
          </w:p>
        </w:tc>
      </w:tr>
    </w:tbl>
    <w:p w14:paraId="1E510A03" w14:textId="77777777" w:rsidR="00457A67" w:rsidRDefault="00457A67" w:rsidP="00457A67">
      <w:pPr>
        <w:spacing w:line="276" w:lineRule="auto"/>
        <w:ind w:firstLine="567"/>
        <w:jc w:val="both"/>
        <w:rPr>
          <w:rFonts w:ascii="Calibri" w:eastAsia="Calibri" w:hAnsi="Calibri" w:cs="Calibri"/>
          <w:color w:val="000000"/>
        </w:rPr>
      </w:pPr>
    </w:p>
    <w:p w14:paraId="25F9C558" w14:textId="77777777" w:rsidR="00457A67" w:rsidRDefault="00457A67" w:rsidP="00457A67">
      <w:pPr>
        <w:spacing w:line="276" w:lineRule="auto"/>
        <w:ind w:firstLine="567"/>
        <w:jc w:val="both"/>
        <w:rPr>
          <w:rFonts w:ascii="Calibri" w:eastAsia="Calibri" w:hAnsi="Calibri" w:cs="Calibri"/>
          <w:color w:val="000000"/>
        </w:rPr>
      </w:pPr>
    </w:p>
    <w:p w14:paraId="7A1499E8" w14:textId="77777777" w:rsidR="00457A67" w:rsidRPr="00CC1F05" w:rsidRDefault="00457A67" w:rsidP="00457A67">
      <w:pPr>
        <w:spacing w:line="276" w:lineRule="auto"/>
        <w:ind w:firstLine="567"/>
        <w:jc w:val="both"/>
        <w:rPr>
          <w:rFonts w:ascii="Calibri" w:eastAsia="Calibri" w:hAnsi="Calibri" w:cs="Calibri"/>
          <w:color w:val="000000"/>
        </w:rPr>
      </w:pPr>
    </w:p>
    <w:p w14:paraId="03614A6D" w14:textId="77777777" w:rsidR="00457A67" w:rsidRPr="00CC1F05" w:rsidRDefault="00457A67" w:rsidP="00457A67">
      <w:pPr>
        <w:pStyle w:val="Descripcin"/>
        <w:spacing w:line="276" w:lineRule="auto"/>
        <w:rPr>
          <w:rFonts w:ascii="Calibri" w:hAnsi="Calibri"/>
          <w:color w:val="000000"/>
          <w:sz w:val="22"/>
          <w:szCs w:val="22"/>
        </w:rPr>
      </w:pPr>
      <w:r w:rsidRPr="00CC1F05">
        <w:rPr>
          <w:rFonts w:ascii="Calibri" w:hAnsi="Calibri"/>
          <w:sz w:val="22"/>
          <w:szCs w:val="22"/>
        </w:rPr>
        <w:t xml:space="preserve">Tabla </w:t>
      </w:r>
      <w:r w:rsidRPr="00CC1F05">
        <w:rPr>
          <w:rFonts w:ascii="Calibri" w:hAnsi="Calibri"/>
          <w:sz w:val="22"/>
          <w:szCs w:val="22"/>
        </w:rPr>
        <w:fldChar w:fldCharType="begin"/>
      </w:r>
      <w:r w:rsidRPr="00CC1F05">
        <w:rPr>
          <w:rFonts w:ascii="Calibri" w:hAnsi="Calibri"/>
          <w:sz w:val="22"/>
          <w:szCs w:val="22"/>
        </w:rPr>
        <w:instrText xml:space="preserve"> SEQ Tabla \* ARABIC </w:instrText>
      </w:r>
      <w:r w:rsidRPr="00CC1F05">
        <w:rPr>
          <w:rFonts w:ascii="Calibri" w:hAnsi="Calibri"/>
          <w:sz w:val="22"/>
          <w:szCs w:val="22"/>
        </w:rPr>
        <w:fldChar w:fldCharType="separate"/>
      </w:r>
      <w:r w:rsidRPr="00CC1F05">
        <w:rPr>
          <w:rFonts w:ascii="Calibri" w:hAnsi="Calibri"/>
          <w:noProof/>
          <w:sz w:val="22"/>
          <w:szCs w:val="22"/>
        </w:rPr>
        <w:t>3</w:t>
      </w:r>
      <w:r w:rsidRPr="00CC1F05">
        <w:rPr>
          <w:rFonts w:ascii="Calibri" w:hAnsi="Calibri"/>
          <w:sz w:val="22"/>
          <w:szCs w:val="22"/>
        </w:rPr>
        <w:fldChar w:fldCharType="end"/>
      </w:r>
      <w:r w:rsidRPr="00CC1F05">
        <w:rPr>
          <w:rFonts w:ascii="Calibri" w:hAnsi="Calibri"/>
          <w:sz w:val="22"/>
          <w:szCs w:val="22"/>
        </w:rPr>
        <w:t xml:space="preserve">. ÁREA DE LA ESTACIÓN CENTRAL YANAMA. </w:t>
      </w:r>
    </w:p>
    <w:p w14:paraId="7B84AA09" w14:textId="0F6ACF19" w:rsidR="00457A67" w:rsidRDefault="00457A67" w:rsidP="00457A67">
      <w:pPr>
        <w:spacing w:line="276" w:lineRule="auto"/>
        <w:ind w:firstLine="567"/>
        <w:jc w:val="both"/>
        <w:rPr>
          <w:rFonts w:ascii="Calibri" w:eastAsia="Calibri" w:hAnsi="Calibri" w:cs="Calibri"/>
          <w:color w:val="000000"/>
        </w:rPr>
      </w:pPr>
    </w:p>
    <w:tbl>
      <w:tblPr>
        <w:tblW w:w="0" w:type="auto"/>
        <w:tblLayout w:type="fixed"/>
        <w:tblLook w:val="0400" w:firstRow="0" w:lastRow="0" w:firstColumn="0" w:lastColumn="0" w:noHBand="0" w:noVBand="1"/>
      </w:tblPr>
      <w:tblGrid>
        <w:gridCol w:w="1357"/>
        <w:gridCol w:w="1398"/>
        <w:gridCol w:w="1398"/>
        <w:gridCol w:w="1309"/>
        <w:gridCol w:w="1381"/>
        <w:gridCol w:w="1398"/>
      </w:tblGrid>
      <w:tr w:rsidR="15FDE5D3" w14:paraId="1C6A150F" w14:textId="77777777" w:rsidTr="15FDE5D3">
        <w:trPr>
          <w:trHeight w:val="285"/>
        </w:trPr>
        <w:tc>
          <w:tcPr>
            <w:tcW w:w="8241" w:type="dxa"/>
            <w:gridSpan w:val="6"/>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FC97A77" w14:textId="7113D7EC" w:rsidR="15FDE5D3" w:rsidRDefault="15FDE5D3" w:rsidP="001E4AD6">
            <w:pPr>
              <w:jc w:val="center"/>
              <w:rPr>
                <w:rFonts w:ascii="Calibri" w:eastAsia="Calibri" w:hAnsi="Calibri" w:cs="Calibri"/>
                <w:b/>
                <w:bCs/>
                <w:i/>
                <w:iCs/>
                <w:smallCaps/>
                <w:color w:val="000000" w:themeColor="text1"/>
                <w:lang w:val="es"/>
              </w:rPr>
            </w:pPr>
            <w:r w:rsidRPr="15FDE5D3">
              <w:rPr>
                <w:rFonts w:ascii="Calibri" w:eastAsia="Calibri" w:hAnsi="Calibri" w:cs="Calibri"/>
                <w:b/>
                <w:bCs/>
                <w:i/>
                <w:iCs/>
                <w:smallCaps/>
                <w:color w:val="000000" w:themeColor="text1"/>
                <w:lang w:val="es"/>
              </w:rPr>
              <w:t>Cuadro de Coordenadas UTM WGS 84</w:t>
            </w:r>
          </w:p>
        </w:tc>
      </w:tr>
      <w:tr w:rsidR="15FDE5D3" w14:paraId="55F5CE3B" w14:textId="77777777" w:rsidTr="15FDE5D3">
        <w:trPr>
          <w:trHeight w:val="285"/>
        </w:trPr>
        <w:tc>
          <w:tcPr>
            <w:tcW w:w="8241" w:type="dxa"/>
            <w:gridSpan w:val="6"/>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4A20348" w14:textId="5099E2C9" w:rsidR="15FDE5D3" w:rsidRDefault="15FDE5D3" w:rsidP="001E4AD6">
            <w:pPr>
              <w:jc w:val="center"/>
              <w:rPr>
                <w:rFonts w:ascii="Calibri" w:eastAsia="Calibri" w:hAnsi="Calibri" w:cs="Calibri"/>
                <w:b/>
                <w:bCs/>
                <w:smallCaps/>
                <w:color w:val="000000" w:themeColor="text1"/>
                <w:lang w:val="es"/>
              </w:rPr>
            </w:pPr>
            <w:r w:rsidRPr="15FDE5D3">
              <w:rPr>
                <w:rFonts w:ascii="Calibri" w:eastAsia="Calibri" w:hAnsi="Calibri" w:cs="Calibri"/>
                <w:b/>
                <w:bCs/>
                <w:smallCaps/>
                <w:color w:val="000000" w:themeColor="text1"/>
                <w:lang w:val="es"/>
              </w:rPr>
              <w:t>Estación Central Yanama</w:t>
            </w:r>
          </w:p>
        </w:tc>
      </w:tr>
      <w:tr w:rsidR="15FDE5D3" w14:paraId="5051B533"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6D32DF6" w14:textId="7570A2B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Vértice</w:t>
            </w:r>
          </w:p>
        </w:tc>
        <w:tc>
          <w:tcPr>
            <w:tcW w:w="1398"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7833433" w14:textId="31F6528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Este</w:t>
            </w:r>
          </w:p>
        </w:tc>
        <w:tc>
          <w:tcPr>
            <w:tcW w:w="1398"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789B7F3" w14:textId="7FE6998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Norte</w:t>
            </w:r>
          </w:p>
        </w:tc>
        <w:tc>
          <w:tcPr>
            <w:tcW w:w="1309"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9065983" w14:textId="711FBC4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Vértice</w:t>
            </w:r>
          </w:p>
        </w:tc>
        <w:tc>
          <w:tcPr>
            <w:tcW w:w="1381"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6EE8577" w14:textId="0D6F26D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Este</w:t>
            </w:r>
          </w:p>
        </w:tc>
        <w:tc>
          <w:tcPr>
            <w:tcW w:w="1398"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D705ABB" w14:textId="3549171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Norte</w:t>
            </w:r>
          </w:p>
        </w:tc>
      </w:tr>
      <w:tr w:rsidR="15FDE5D3" w14:paraId="30367F6B"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2684563" w14:textId="63ED886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6DAA7C9" w14:textId="5366276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734494.3358</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D8E7FCA" w14:textId="0F652EB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8526167.6984</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41A5D8B" w14:textId="2814CAC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P15</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CEA96BF" w14:textId="6B5DB40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734528.6389</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BAF087" w14:textId="0F2569F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8526040.0468</w:t>
            </w:r>
          </w:p>
        </w:tc>
      </w:tr>
      <w:tr w:rsidR="15FDE5D3" w14:paraId="7095E022"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F82F760" w14:textId="4F22C8C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63790B5" w14:textId="129FC6D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7334498.2434</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F446384" w14:textId="60F239A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8526162.9383</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E575B65" w14:textId="0D05867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P16</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325487E" w14:textId="69E7A8F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734488.4251</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49AA388" w14:textId="5025EB2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8526029.6578</w:t>
            </w:r>
          </w:p>
        </w:tc>
      </w:tr>
      <w:tr w:rsidR="15FDE5D3" w14:paraId="57C61E2F"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8ECB972" w14:textId="2955B99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8AC9D2C" w14:textId="287AC0E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734542.1533</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E729A57" w14:textId="44A52E8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8526131.3602</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F9A7A7F" w14:textId="39EF2E5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P17</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CDE05E7" w14:textId="25080D7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734412.9852</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C3DEA4B" w14:textId="1558B60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8526016.2286</w:t>
            </w:r>
          </w:p>
        </w:tc>
      </w:tr>
      <w:tr w:rsidR="15FDE5D3" w14:paraId="4E8099D4"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79E2893" w14:textId="6178410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3E66AE1" w14:textId="4FBA6D3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734533.8535</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E8AFE74" w14:textId="5039569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8526112.9463</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B4B8BCC" w14:textId="0357617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P18</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AB36B2D" w14:textId="22D4AC0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734405.2151</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C3A918D" w14:textId="5616A81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8526028.5683</w:t>
            </w:r>
          </w:p>
        </w:tc>
      </w:tr>
      <w:tr w:rsidR="15FDE5D3" w14:paraId="37021E5D"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6207A29" w14:textId="5516511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P5</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6A06E53" w14:textId="19E6B0D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734534.5060</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2A1842C" w14:textId="021CCC1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8526109.9748</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1F15FC1" w14:textId="0277261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P19</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2116FED" w14:textId="62333E7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734398.4604</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0289798" w14:textId="5DF3258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8526054.0455</w:t>
            </w:r>
          </w:p>
        </w:tc>
      </w:tr>
      <w:tr w:rsidR="15FDE5D3" w14:paraId="73082915"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82AC152" w14:textId="7FE3DF3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P6</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2591E83" w14:textId="24CC8FB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734531.2384</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4583B37" w14:textId="7020A44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8526107.0230</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72912FF" w14:textId="492920A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P20</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1306955" w14:textId="1BEAC01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734402.1295</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1D995A6" w14:textId="62046B0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8526074.8105</w:t>
            </w:r>
          </w:p>
        </w:tc>
      </w:tr>
      <w:tr w:rsidR="15FDE5D3" w14:paraId="5437E320"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9DE30A7" w14:textId="4ED5F7B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P7</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104FFF3" w14:textId="4006E42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734530.9077</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0A5DB4E" w14:textId="668C199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8526102.3267</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5EA0C45" w14:textId="204B371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P21</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2FBA629" w14:textId="42194E3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734387.1456</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5047E04" w14:textId="7ADEDCE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8526089.9610</w:t>
            </w:r>
          </w:p>
        </w:tc>
      </w:tr>
      <w:tr w:rsidR="15FDE5D3" w14:paraId="28462E1F"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6B01ABA" w14:textId="737D91E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P8</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02E9F39" w14:textId="2F88A72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734527.7327</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9A67452" w14:textId="72BD0E1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8526097.2996</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E82D3EC" w14:textId="6F6D8DE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P22</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34E2DD5" w14:textId="5DC2CA1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734384.8199</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9156094" w14:textId="536AFA2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8526095.5579</w:t>
            </w:r>
          </w:p>
        </w:tc>
      </w:tr>
      <w:tr w:rsidR="15FDE5D3" w14:paraId="7F06B406"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12FDEF8" w14:textId="2B300DC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P9</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5E8B446" w14:textId="3EB5359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734524.6188</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F3DEB13" w14:textId="4ED9B06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8526090.6496</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5B32178" w14:textId="50B06AF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P23</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43CCEF1" w14:textId="7127F61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734387.2056</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3681F03" w14:textId="4725C43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8526105.6538</w:t>
            </w:r>
          </w:p>
        </w:tc>
      </w:tr>
      <w:tr w:rsidR="15FDE5D3" w14:paraId="6196FE6D"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AB59A0F" w14:textId="672C9FD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P10</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C0E876F" w14:textId="18AFEB7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734527.2160</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CA58D6C" w14:textId="2C5BFE9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8526087.2718</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EC6C5C8" w14:textId="0921302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P24</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BDD6702" w14:textId="3A82AFB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734374.6177</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A60ECE9" w14:textId="113EA00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8526120.1101</w:t>
            </w:r>
          </w:p>
        </w:tc>
      </w:tr>
      <w:tr w:rsidR="15FDE5D3" w14:paraId="653D7CF7"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83E4885" w14:textId="19BAC74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P11</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3333EB8" w14:textId="771DE69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734528.9706</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CCBEABE" w14:textId="49F1E94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8526082.3351</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EE5A573" w14:textId="2C1E0AD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P25</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D5F773E" w14:textId="73598EB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734379.5930</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383AB0D" w14:textId="5D8BB90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8526142.2441</w:t>
            </w:r>
          </w:p>
        </w:tc>
      </w:tr>
      <w:tr w:rsidR="15FDE5D3" w14:paraId="0904EE84"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488F41F" w14:textId="2702E44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P12</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6802BDB" w14:textId="129DEA5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734528.8999</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19009CF" w14:textId="442439B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8526081.6122</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60198F4" w14:textId="2EB9887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P26</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B80DACD" w14:textId="7C6AB2F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734436.8742</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3B88E37" w14:textId="5C5994F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8526152.1391</w:t>
            </w:r>
          </w:p>
        </w:tc>
      </w:tr>
      <w:tr w:rsidR="15FDE5D3" w14:paraId="14E4ED9B"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A13DF1" w14:textId="138F03F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P13</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899A3BA" w14:textId="2A68F6A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734523.0875</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0E13EEA" w14:textId="6C736F1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8526078.3785</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FD68FB6" w14:textId="61D4A87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P27</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9F77B38" w14:textId="468E112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73447.4219</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46AD5D4" w14:textId="71E5F32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8526163.8026</w:t>
            </w:r>
          </w:p>
        </w:tc>
      </w:tr>
      <w:tr w:rsidR="15FDE5D3" w14:paraId="76180FD8"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525A274" w14:textId="044AF82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P14</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5472E41" w14:textId="5A88592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734529.8421</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CD87A55" w14:textId="77BFB18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8526052.9012</w:t>
            </w:r>
          </w:p>
        </w:tc>
        <w:tc>
          <w:tcPr>
            <w:tcW w:w="1309"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E358C5A" w14:textId="69B2C1D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P28</w:t>
            </w:r>
          </w:p>
        </w:tc>
        <w:tc>
          <w:tcPr>
            <w:tcW w:w="1381"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D12F5D7" w14:textId="01BEFBA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734460.2893</w:t>
            </w:r>
          </w:p>
        </w:tc>
        <w:tc>
          <w:tcPr>
            <w:tcW w:w="139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63FC5C7" w14:textId="02DCCE8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8526166.0934</w:t>
            </w:r>
          </w:p>
        </w:tc>
      </w:tr>
      <w:tr w:rsidR="15FDE5D3" w14:paraId="64908E0D"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0D4ADCB" w14:textId="399E249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Área (m2)</w:t>
            </w:r>
          </w:p>
        </w:tc>
        <w:tc>
          <w:tcPr>
            <w:tcW w:w="6884" w:type="dxa"/>
            <w:gridSpan w:val="5"/>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3271996" w14:textId="12B4512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18,038.74</w:t>
            </w:r>
          </w:p>
        </w:tc>
      </w:tr>
      <w:tr w:rsidR="15FDE5D3" w14:paraId="74DF47CC" w14:textId="77777777" w:rsidTr="15FDE5D3">
        <w:trPr>
          <w:trHeight w:val="285"/>
        </w:trPr>
        <w:tc>
          <w:tcPr>
            <w:tcW w:w="1357"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06C969C" w14:textId="0313CB6A" w:rsidR="15FDE5D3" w:rsidRDefault="15FDE5D3" w:rsidP="001E4AD6">
            <w:pPr>
              <w:spacing w:before="120" w:after="120"/>
              <w:jc w:val="center"/>
              <w:rPr>
                <w:rFonts w:ascii="Calibri" w:eastAsia="Calibri" w:hAnsi="Calibri" w:cs="Calibri"/>
                <w:b/>
                <w:bCs/>
                <w:smallCaps/>
                <w:color w:val="000000" w:themeColor="text1"/>
                <w:lang w:val="es"/>
              </w:rPr>
            </w:pPr>
            <w:r w:rsidRPr="15FDE5D3">
              <w:rPr>
                <w:rFonts w:ascii="Calibri" w:eastAsia="Calibri" w:hAnsi="Calibri" w:cs="Calibri"/>
                <w:b/>
                <w:bCs/>
                <w:smallCaps/>
                <w:color w:val="000000" w:themeColor="text1"/>
                <w:lang w:val="es"/>
              </w:rPr>
              <w:t>Perímetro (ml)</w:t>
            </w:r>
          </w:p>
        </w:tc>
        <w:tc>
          <w:tcPr>
            <w:tcW w:w="6884" w:type="dxa"/>
            <w:gridSpan w:val="5"/>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124381C" w14:textId="29EC75B0" w:rsidR="15FDE5D3" w:rsidRDefault="15FDE5D3" w:rsidP="001E4AD6">
            <w:pPr>
              <w:spacing w:before="120" w:after="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542.82</w:t>
            </w:r>
          </w:p>
        </w:tc>
      </w:tr>
    </w:tbl>
    <w:p w14:paraId="2A390F31" w14:textId="0B6FF6BF" w:rsidR="15FDE5D3" w:rsidRDefault="15FDE5D3" w:rsidP="15FDE5D3">
      <w:pPr>
        <w:spacing w:line="276" w:lineRule="auto"/>
        <w:ind w:firstLine="567"/>
        <w:jc w:val="both"/>
        <w:rPr>
          <w:rFonts w:ascii="Calibri" w:eastAsia="Calibri" w:hAnsi="Calibri" w:cs="Calibri"/>
          <w:color w:val="000000" w:themeColor="text1"/>
        </w:rPr>
      </w:pPr>
    </w:p>
    <w:p w14:paraId="4F908CCF"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sidRPr="00CC1F05">
        <w:rPr>
          <w:rFonts w:ascii="Calibri" w:hAnsi="Calibri"/>
          <w:sz w:val="22"/>
          <w:szCs w:val="22"/>
        </w:rPr>
        <w:fldChar w:fldCharType="begin"/>
      </w:r>
      <w:r w:rsidRPr="00CC1F05">
        <w:rPr>
          <w:rFonts w:ascii="Calibri" w:hAnsi="Calibri"/>
          <w:sz w:val="22"/>
          <w:szCs w:val="22"/>
        </w:rPr>
        <w:instrText xml:space="preserve"> SEQ Tabla \* ARABIC </w:instrText>
      </w:r>
      <w:r w:rsidRPr="00CC1F05">
        <w:rPr>
          <w:rFonts w:ascii="Calibri" w:hAnsi="Calibri"/>
          <w:sz w:val="22"/>
          <w:szCs w:val="22"/>
        </w:rPr>
        <w:fldChar w:fldCharType="separate"/>
      </w:r>
      <w:r w:rsidRPr="00CC1F05">
        <w:rPr>
          <w:rFonts w:ascii="Calibri" w:hAnsi="Calibri"/>
          <w:noProof/>
          <w:sz w:val="22"/>
          <w:szCs w:val="22"/>
        </w:rPr>
        <w:t>4</w:t>
      </w:r>
      <w:r w:rsidRPr="00CC1F05">
        <w:rPr>
          <w:rFonts w:ascii="Calibri" w:hAnsi="Calibri"/>
          <w:sz w:val="22"/>
          <w:szCs w:val="22"/>
        </w:rPr>
        <w:fldChar w:fldCharType="end"/>
      </w:r>
      <w:r w:rsidRPr="00CC1F05">
        <w:rPr>
          <w:rFonts w:ascii="Calibri" w:hAnsi="Calibri"/>
          <w:sz w:val="22"/>
          <w:szCs w:val="22"/>
        </w:rPr>
        <w:t>. Localización de Las VíaS TURÍSTICAS</w:t>
      </w:r>
    </w:p>
    <w:p w14:paraId="7776C527" w14:textId="77777777" w:rsidR="00457A67" w:rsidRDefault="00457A67" w:rsidP="00457A67">
      <w:pPr>
        <w:pStyle w:val="Normal0"/>
      </w:pPr>
    </w:p>
    <w:p w14:paraId="22764ED9" w14:textId="032FAF6E" w:rsidR="00457A67" w:rsidRDefault="00457A67" w:rsidP="00457A67">
      <w:pPr>
        <w:pStyle w:val="Descripcin"/>
        <w:spacing w:line="276" w:lineRule="auto"/>
        <w:rPr>
          <w:rFonts w:ascii="Calibri" w:hAnsi="Calibri"/>
          <w:sz w:val="22"/>
          <w:szCs w:val="22"/>
        </w:rPr>
      </w:pPr>
      <w:r>
        <w:rPr>
          <w:rFonts w:ascii="Calibri" w:hAnsi="Calibri"/>
          <w:sz w:val="22"/>
          <w:szCs w:val="22"/>
        </w:rPr>
        <w:lastRenderedPageBreak/>
        <w:t>tabla 4.A</w:t>
      </w:r>
      <w:r w:rsidR="0068176C">
        <w:rPr>
          <w:rFonts w:ascii="Calibri" w:hAnsi="Calibri"/>
          <w:sz w:val="22"/>
          <w:szCs w:val="22"/>
        </w:rPr>
        <w:t>.</w:t>
      </w:r>
      <w:r>
        <w:rPr>
          <w:rFonts w:ascii="Calibri" w:hAnsi="Calibri"/>
          <w:sz w:val="22"/>
          <w:szCs w:val="22"/>
        </w:rPr>
        <w:t xml:space="preserve"> EXTREMOS Y LONGITUD DE LA VÍA TURÍSTICA VEHICULAR YANAMA – ESTACIÓN SAN JUAN</w:t>
      </w:r>
      <w:r w:rsidRPr="00CC1F05">
        <w:rPr>
          <w:rFonts w:ascii="Calibri" w:hAnsi="Calibri"/>
          <w:sz w:val="22"/>
          <w:szCs w:val="22"/>
        </w:rPr>
        <w:t xml:space="preserve">. </w:t>
      </w:r>
    </w:p>
    <w:p w14:paraId="2FBBA10B" w14:textId="77777777" w:rsidR="00457A67" w:rsidRPr="001B00AA" w:rsidRDefault="00457A67" w:rsidP="00457A67">
      <w:pPr>
        <w:pStyle w:val="Normal0"/>
      </w:pP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30DC0491"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4C1DDE0A"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61279871"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03A80DD7" w14:textId="77777777" w:rsidR="00457A67" w:rsidRPr="00CC1F05" w:rsidRDefault="00457A67" w:rsidP="00457A67">
            <w:pPr>
              <w:spacing w:before="0" w:after="0"/>
              <w:jc w:val="center"/>
              <w:rPr>
                <w:rFonts w:ascii="Calibri" w:eastAsia="Calibri" w:hAnsi="Calibri" w:cs="Calibri"/>
                <w:b/>
                <w:i/>
                <w:color w:val="000000"/>
                <w:sz w:val="22"/>
                <w:szCs w:val="22"/>
              </w:rPr>
            </w:pPr>
            <w:r>
              <w:rPr>
                <w:rFonts w:ascii="Calibri" w:eastAsia="Calibri" w:hAnsi="Calibri" w:cs="Calibri"/>
                <w:b/>
                <w:i/>
                <w:color w:val="000000"/>
                <w:sz w:val="22"/>
                <w:szCs w:val="22"/>
              </w:rPr>
              <w:t xml:space="preserve">Extremos y longitud de la </w:t>
            </w:r>
            <w:r w:rsidRPr="00CC1F05">
              <w:rPr>
                <w:rFonts w:ascii="Calibri" w:eastAsia="Calibri" w:hAnsi="Calibri" w:cs="Calibri"/>
                <w:b/>
                <w:i/>
                <w:color w:val="000000"/>
                <w:sz w:val="22"/>
                <w:szCs w:val="22"/>
              </w:rPr>
              <w:t xml:space="preserve">Vía Turística Vehicular Yanama – Estación San Juan </w:t>
            </w:r>
          </w:p>
        </w:tc>
      </w:tr>
      <w:tr w:rsidR="00457A67" w:rsidRPr="00CC1F05" w14:paraId="0841559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47100E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4E12C49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410C19A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52DA92E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4D7C681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Inicio</w:t>
            </w:r>
          </w:p>
        </w:tc>
        <w:tc>
          <w:tcPr>
            <w:tcW w:w="2835" w:type="dxa"/>
            <w:tcBorders>
              <w:top w:val="single" w:sz="4" w:space="0" w:color="auto"/>
              <w:left w:val="single" w:sz="4" w:space="0" w:color="auto"/>
              <w:bottom w:val="single" w:sz="4" w:space="0" w:color="auto"/>
              <w:right w:val="single" w:sz="4" w:space="0" w:color="auto"/>
            </w:tcBorders>
            <w:vAlign w:val="bottom"/>
          </w:tcPr>
          <w:p w14:paraId="38B291C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734442.7</w:t>
            </w:r>
            <w:r>
              <w:rPr>
                <w:rFonts w:ascii="Calibri" w:eastAsia="Calibri" w:hAnsi="Calibri" w:cs="Calibri"/>
                <w:color w:val="000000"/>
                <w:sz w:val="22"/>
                <w:szCs w:val="22"/>
              </w:rPr>
              <w:t>258</w:t>
            </w:r>
          </w:p>
        </w:tc>
        <w:tc>
          <w:tcPr>
            <w:tcW w:w="2835" w:type="dxa"/>
            <w:tcBorders>
              <w:top w:val="single" w:sz="4" w:space="0" w:color="auto"/>
              <w:left w:val="single" w:sz="4" w:space="0" w:color="auto"/>
              <w:bottom w:val="single" w:sz="4" w:space="0" w:color="auto"/>
              <w:right w:val="single" w:sz="4" w:space="0" w:color="auto"/>
            </w:tcBorders>
            <w:vAlign w:val="bottom"/>
          </w:tcPr>
          <w:p w14:paraId="358F3B1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852601</w:t>
            </w:r>
            <w:r>
              <w:rPr>
                <w:rFonts w:ascii="Calibri" w:eastAsia="Calibri" w:hAnsi="Calibri" w:cs="Calibri"/>
                <w:color w:val="000000"/>
                <w:sz w:val="22"/>
                <w:szCs w:val="22"/>
              </w:rPr>
              <w:t>6.0308</w:t>
            </w:r>
          </w:p>
        </w:tc>
      </w:tr>
      <w:tr w:rsidR="00457A67" w:rsidRPr="00CC1F05" w14:paraId="0773A401"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2641C46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Fin</w:t>
            </w:r>
          </w:p>
        </w:tc>
        <w:tc>
          <w:tcPr>
            <w:tcW w:w="2835" w:type="dxa"/>
            <w:tcBorders>
              <w:top w:val="single" w:sz="4" w:space="0" w:color="auto"/>
              <w:left w:val="single" w:sz="4" w:space="0" w:color="auto"/>
              <w:bottom w:val="single" w:sz="4" w:space="0" w:color="auto"/>
              <w:right w:val="single" w:sz="4" w:space="0" w:color="auto"/>
            </w:tcBorders>
            <w:vAlign w:val="bottom"/>
          </w:tcPr>
          <w:p w14:paraId="4418E7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73121</w:t>
            </w:r>
            <w:r>
              <w:rPr>
                <w:rFonts w:ascii="Calibri" w:eastAsia="Calibri" w:hAnsi="Calibri" w:cs="Calibri"/>
                <w:color w:val="000000"/>
                <w:sz w:val="22"/>
                <w:szCs w:val="22"/>
              </w:rPr>
              <w:t>9.3678</w:t>
            </w:r>
          </w:p>
        </w:tc>
        <w:tc>
          <w:tcPr>
            <w:tcW w:w="2835" w:type="dxa"/>
            <w:tcBorders>
              <w:top w:val="single" w:sz="4" w:space="0" w:color="auto"/>
              <w:left w:val="single" w:sz="4" w:space="0" w:color="auto"/>
              <w:bottom w:val="single" w:sz="4" w:space="0" w:color="auto"/>
              <w:right w:val="single" w:sz="4" w:space="0" w:color="auto"/>
            </w:tcBorders>
            <w:vAlign w:val="bottom"/>
          </w:tcPr>
          <w:p w14:paraId="0A87667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85250</w:t>
            </w:r>
            <w:r>
              <w:rPr>
                <w:rFonts w:ascii="Calibri" w:eastAsia="Calibri" w:hAnsi="Calibri" w:cs="Calibri"/>
                <w:color w:val="000000"/>
                <w:sz w:val="22"/>
                <w:szCs w:val="22"/>
              </w:rPr>
              <w:t>90.4797</w:t>
            </w:r>
          </w:p>
        </w:tc>
      </w:tr>
      <w:tr w:rsidR="00457A67" w:rsidRPr="00CC1F05" w14:paraId="01B48DF5"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A675EA0" w14:textId="77777777" w:rsidR="00457A67" w:rsidRPr="00CC1F05" w:rsidRDefault="00457A67" w:rsidP="00457A67">
            <w:pPr>
              <w:jc w:val="center"/>
              <w:rPr>
                <w:rFonts w:ascii="Calibri" w:eastAsia="Calibri" w:hAnsi="Calibri" w:cs="Calibri"/>
                <w:color w:val="000000"/>
              </w:rPr>
            </w:pPr>
            <w:r w:rsidRPr="00DB51FC">
              <w:rPr>
                <w:rFonts w:ascii="Calibri" w:eastAsia="Calibri" w:hAnsi="Calibri" w:cs="Calibri"/>
                <w:color w:val="000000"/>
                <w:sz w:val="22"/>
                <w:szCs w:val="22"/>
              </w:rPr>
              <w:t>Longitud de vía</w:t>
            </w:r>
            <w:r>
              <w:rPr>
                <w:rFonts w:ascii="Calibri" w:eastAsia="Calibri" w:hAnsi="Calibri" w:cs="Calibri"/>
                <w:color w:val="000000"/>
                <w:sz w:val="22"/>
                <w:szCs w:val="22"/>
              </w:rPr>
              <w:t xml:space="preserv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6AA61D07"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9430.6476</w:t>
            </w:r>
          </w:p>
        </w:tc>
      </w:tr>
      <w:tr w:rsidR="00457A67" w:rsidRPr="00CC1F05" w14:paraId="7D1DE23C"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06B69F83"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Sección de vía típica a eje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27121E37"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3.5750</w:t>
            </w:r>
          </w:p>
        </w:tc>
      </w:tr>
    </w:tbl>
    <w:p w14:paraId="3D1F2712" w14:textId="77777777" w:rsidR="00457A67" w:rsidRDefault="00457A67" w:rsidP="00457A67">
      <w:pPr>
        <w:pStyle w:val="Descripcin"/>
        <w:spacing w:line="276" w:lineRule="auto"/>
        <w:rPr>
          <w:rFonts w:ascii="Calibri" w:hAnsi="Calibri"/>
          <w:sz w:val="22"/>
          <w:szCs w:val="22"/>
        </w:rPr>
      </w:pPr>
    </w:p>
    <w:p w14:paraId="34B7EF79" w14:textId="77777777" w:rsidR="00457A67" w:rsidRPr="00457A67" w:rsidRDefault="00457A67" w:rsidP="00BB5F42">
      <w:pPr>
        <w:pStyle w:val="Normal0"/>
      </w:pPr>
    </w:p>
    <w:p w14:paraId="1586898F" w14:textId="07614C80" w:rsidR="0068176C" w:rsidRPr="003423DB" w:rsidRDefault="00457A67" w:rsidP="00A3732C">
      <w:pPr>
        <w:pStyle w:val="Normal0"/>
      </w:pPr>
      <w:r w:rsidRPr="003423DB">
        <w:t xml:space="preserve">tabla </w:t>
      </w:r>
      <w:r w:rsidR="0068176C" w:rsidRPr="0068176C">
        <w:rPr>
          <w:rFonts w:ascii="Times New Roman" w:hAnsi="Times New Roman"/>
          <w:sz w:val="16"/>
          <w:szCs w:val="18"/>
        </w:rPr>
        <w:t>4.B</w:t>
      </w:r>
      <w:r w:rsidR="0068176C">
        <w:t>.</w:t>
      </w:r>
      <w:r w:rsidR="0068176C" w:rsidRPr="003423DB">
        <w:t xml:space="preserve"> PROGRESIVAS</w:t>
      </w:r>
      <w:r w:rsidRPr="0068176C">
        <w:rPr>
          <w:b/>
          <w:caps/>
        </w:rPr>
        <w:t xml:space="preserve"> DE LA VÍA TURÍSTICA VEHICULAR YANAMA – ESTACIÓN SAN JUAN.</w:t>
      </w:r>
      <w:r w:rsidRPr="00CC1F05">
        <w:t xml:space="preserve"> </w:t>
      </w:r>
    </w:p>
    <w:p w14:paraId="54F4C9AC" w14:textId="474AB6C3" w:rsidR="00457A67" w:rsidRDefault="00457A67" w:rsidP="00A3732C">
      <w:pPr>
        <w:pStyle w:val="Descripcin"/>
        <w:spacing w:line="276" w:lineRule="auto"/>
      </w:pPr>
    </w:p>
    <w:tbl>
      <w:tblPr>
        <w:tblStyle w:val="265"/>
        <w:tblW w:w="9072" w:type="dxa"/>
        <w:tblInd w:w="-5" w:type="dxa"/>
        <w:tblLayout w:type="fixed"/>
        <w:tblLook w:val="0400" w:firstRow="0" w:lastRow="0" w:firstColumn="0" w:lastColumn="0" w:noHBand="0" w:noVBand="1"/>
      </w:tblPr>
      <w:tblGrid>
        <w:gridCol w:w="426"/>
        <w:gridCol w:w="283"/>
        <w:gridCol w:w="709"/>
        <w:gridCol w:w="567"/>
        <w:gridCol w:w="567"/>
        <w:gridCol w:w="709"/>
        <w:gridCol w:w="567"/>
        <w:gridCol w:w="850"/>
        <w:gridCol w:w="709"/>
        <w:gridCol w:w="709"/>
        <w:gridCol w:w="567"/>
        <w:gridCol w:w="567"/>
        <w:gridCol w:w="850"/>
        <w:gridCol w:w="992"/>
      </w:tblGrid>
      <w:tr w:rsidR="00A16D9F" w:rsidRPr="007F0765" w14:paraId="6CF01FF8" w14:textId="77777777" w:rsidTr="00A3732C">
        <w:trPr>
          <w:trHeight w:val="288"/>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7F1FB5" w14:textId="77777777" w:rsidR="00A16D9F" w:rsidRPr="007F0765" w:rsidRDefault="00A16D9F" w:rsidP="00A16D9F">
            <w:pPr>
              <w:spacing w:before="0" w:after="0"/>
              <w:jc w:val="center"/>
              <w:rPr>
                <w:rFonts w:ascii="Calibri" w:eastAsia="Calibri" w:hAnsi="Calibri" w:cs="Calibri"/>
                <w:b/>
                <w:i/>
                <w:color w:val="000000"/>
                <w:sz w:val="20"/>
                <w:szCs w:val="22"/>
              </w:rPr>
            </w:pPr>
            <w:r w:rsidRPr="007F0765">
              <w:rPr>
                <w:rFonts w:eastAsia="Calibri"/>
                <w:b/>
                <w:i/>
                <w:color w:val="000000"/>
                <w:sz w:val="20"/>
              </w:rPr>
              <w:t>Cuadro de Elementos de curva - Coordenadas UTM WGS 84</w:t>
            </w:r>
          </w:p>
        </w:tc>
      </w:tr>
      <w:tr w:rsidR="00A16D9F" w:rsidRPr="007F0765" w14:paraId="5B8655FC" w14:textId="77777777" w:rsidTr="00A3732C">
        <w:trPr>
          <w:trHeight w:val="275"/>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307564B" w14:textId="77777777" w:rsidR="00A16D9F" w:rsidRPr="007F0765" w:rsidRDefault="00A16D9F" w:rsidP="00A16D9F">
            <w:pPr>
              <w:jc w:val="center"/>
              <w:rPr>
                <w:rFonts w:ascii="Calibri" w:eastAsia="Calibri" w:hAnsi="Calibri" w:cs="Calibri"/>
                <w:b/>
                <w:color w:val="000000"/>
                <w:sz w:val="20"/>
                <w:szCs w:val="22"/>
              </w:rPr>
            </w:pPr>
            <w:r w:rsidRPr="007F0765">
              <w:rPr>
                <w:rFonts w:eastAsia="Calibri"/>
                <w:b/>
                <w:i/>
                <w:color w:val="000000"/>
                <w:sz w:val="20"/>
              </w:rPr>
              <w:t>Progresivas de la Vía Turística Vehicular Yanama – Estación San Juan</w:t>
            </w:r>
          </w:p>
        </w:tc>
      </w:tr>
      <w:tr w:rsidR="00A16D9F" w:rsidRPr="007F0765" w14:paraId="64021A93" w14:textId="77777777" w:rsidTr="00A3732C">
        <w:trPr>
          <w:trHeight w:val="365"/>
        </w:trPr>
        <w:tc>
          <w:tcPr>
            <w:tcW w:w="426"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B9D7D1D" w14:textId="77777777" w:rsidR="00A16D9F" w:rsidRPr="007F0765" w:rsidRDefault="00A16D9F" w:rsidP="00A16D9F">
            <w:pPr>
              <w:spacing w:before="0" w:after="0"/>
              <w:ind w:left="-584"/>
              <w:jc w:val="center"/>
              <w:rPr>
                <w:rFonts w:ascii="Calibri" w:eastAsia="Calibri" w:hAnsi="Calibri" w:cs="Calibri"/>
                <w:color w:val="000000"/>
                <w:sz w:val="14"/>
                <w:szCs w:val="22"/>
              </w:rPr>
            </w:pPr>
            <w:r w:rsidRPr="007F0765">
              <w:rPr>
                <w:rFonts w:eastAsia="Calibri"/>
                <w:color w:val="000000"/>
                <w:sz w:val="14"/>
              </w:rPr>
              <w:t>N°</w:t>
            </w:r>
          </w:p>
        </w:tc>
        <w:tc>
          <w:tcPr>
            <w:tcW w:w="283"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73D58FD5"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2FBD776"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Ang. Deflexión A.D (°)</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7285B815"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Radio H. R(m)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0EF40541"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Subtangente T(m)</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27A3966"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Curva L(m)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5F8CD07"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Externo E(m)</w:t>
            </w:r>
          </w:p>
        </w:tc>
        <w:tc>
          <w:tcPr>
            <w:tcW w:w="2268" w:type="dxa"/>
            <w:gridSpan w:val="3"/>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E709E"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Progresivas  (km)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14:paraId="34932688"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Sobre ancho S.A (m)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0C39EDAD"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Peralte P(%)</w:t>
            </w:r>
          </w:p>
        </w:tc>
        <w:tc>
          <w:tcPr>
            <w:tcW w:w="184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5FB727" w14:textId="77777777" w:rsidR="00A16D9F" w:rsidRPr="007F0765" w:rsidRDefault="00A16D9F" w:rsidP="00A16D9F">
            <w:pPr>
              <w:spacing w:before="0" w:after="0"/>
              <w:jc w:val="center"/>
              <w:rPr>
                <w:rFonts w:ascii="Calibri" w:eastAsia="Calibri" w:hAnsi="Calibri" w:cs="Calibri"/>
                <w:color w:val="000000"/>
                <w:sz w:val="14"/>
                <w:szCs w:val="22"/>
              </w:rPr>
            </w:pPr>
            <w:r w:rsidRPr="007F0765">
              <w:rPr>
                <w:rFonts w:eastAsia="Calibri"/>
                <w:color w:val="000000"/>
                <w:sz w:val="14"/>
              </w:rPr>
              <w:t>COORDENADAS (m)</w:t>
            </w:r>
          </w:p>
        </w:tc>
      </w:tr>
      <w:tr w:rsidR="0068176C" w:rsidRPr="007F0765" w14:paraId="1FF73DA6" w14:textId="77777777" w:rsidTr="0068176C">
        <w:trPr>
          <w:trHeight w:val="288"/>
        </w:trPr>
        <w:tc>
          <w:tcPr>
            <w:tcW w:w="426"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FC25737" w14:textId="77777777" w:rsidR="00A16D9F" w:rsidRPr="007F0765" w:rsidRDefault="00A16D9F" w:rsidP="00A16D9F">
            <w:pPr>
              <w:jc w:val="center"/>
              <w:rPr>
                <w:rFonts w:ascii="Calibri" w:eastAsia="Calibri" w:hAnsi="Calibri" w:cs="Calibri"/>
                <w:color w:val="000000"/>
                <w:sz w:val="14"/>
              </w:rPr>
            </w:pPr>
          </w:p>
        </w:tc>
        <w:tc>
          <w:tcPr>
            <w:tcW w:w="283"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D989C58" w14:textId="77777777" w:rsidR="00A16D9F" w:rsidRPr="007F0765" w:rsidRDefault="00A16D9F" w:rsidP="00A16D9F">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02B29AC3"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8E7E68F"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384CCE1" w14:textId="77777777" w:rsidR="00A16D9F" w:rsidRPr="007F0765" w:rsidRDefault="00A16D9F" w:rsidP="00A16D9F">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8B47E72"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F63C9C8" w14:textId="77777777" w:rsidR="00A16D9F" w:rsidRPr="007F0765" w:rsidRDefault="00A16D9F" w:rsidP="00A16D9F">
            <w:pPr>
              <w:jc w:val="cente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0ECD9"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SC ó PC</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B2FF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PI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FB656D"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CS ó PT</w:t>
            </w: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tcPr>
          <w:p w14:paraId="276EF305" w14:textId="77777777" w:rsidR="00A16D9F" w:rsidRPr="007F0765" w:rsidRDefault="00A16D9F" w:rsidP="00A16D9F">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666DDA49" w14:textId="77777777" w:rsidR="00A16D9F" w:rsidRPr="007F0765" w:rsidRDefault="00A16D9F" w:rsidP="00A16D9F">
            <w:pP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5C09B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Este</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CD013" w14:textId="77777777" w:rsidR="00A16D9F" w:rsidRPr="007F0765" w:rsidRDefault="00A16D9F" w:rsidP="00A16D9F">
            <w:pPr>
              <w:jc w:val="center"/>
              <w:rPr>
                <w:rFonts w:ascii="Calibri" w:eastAsia="Calibri" w:hAnsi="Calibri" w:cs="Calibri"/>
                <w:color w:val="000000"/>
                <w:sz w:val="14"/>
              </w:rPr>
            </w:pPr>
            <w:r w:rsidRPr="007F0765">
              <w:rPr>
                <w:rFonts w:eastAsia="Calibri"/>
                <w:color w:val="000000"/>
                <w:sz w:val="14"/>
              </w:rPr>
              <w:t>Oeste</w:t>
            </w:r>
          </w:p>
        </w:tc>
      </w:tr>
      <w:tr w:rsidR="0068176C" w:rsidRPr="007F0765" w14:paraId="2965A7B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04CD7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4C197D" w14:textId="77777777" w:rsidR="00A16D9F" w:rsidRPr="007F0765" w:rsidRDefault="00A16D9F" w:rsidP="00A16D9F">
            <w:pPr>
              <w:jc w:val="center"/>
              <w:rPr>
                <w:rFonts w:asciiTheme="majorHAnsi" w:eastAsia="Calibri" w:hAnsiTheme="majorHAnsi" w:cstheme="majorHAnsi"/>
                <w:color w:val="000000"/>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7AAB99" w14:textId="77777777" w:rsidR="00A16D9F" w:rsidRPr="007F0765" w:rsidRDefault="00A16D9F" w:rsidP="00A16D9F">
            <w:pPr>
              <w:jc w:val="center"/>
              <w:rPr>
                <w:rFonts w:asciiTheme="majorHAnsi" w:eastAsia="Calibri" w:hAnsiTheme="majorHAnsi" w:cstheme="majorHAnsi"/>
                <w:color w:val="000000"/>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15E8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888EB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7B232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4B117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E9B07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237B7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b/>
                <w:bCs/>
                <w:color w:val="000000"/>
                <w:sz w:val="14"/>
              </w:rPr>
              <w:t>0+000.000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44E4A5" w14:textId="77777777" w:rsidR="00A16D9F" w:rsidRPr="007F0765" w:rsidRDefault="00A16D9F" w:rsidP="00A16D9F">
            <w:pPr>
              <w:jc w:val="center"/>
              <w:rPr>
                <w:rFonts w:asciiTheme="majorHAnsi" w:eastAsia="Calibri" w:hAnsiTheme="majorHAnsi" w:cstheme="majorHAnsi"/>
                <w:color w:val="000000"/>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0441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296A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39CE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734,442.726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A54C1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8,526,016.031</w:t>
            </w:r>
          </w:p>
        </w:tc>
      </w:tr>
      <w:tr w:rsidR="0068176C" w:rsidRPr="007F0765" w14:paraId="7A09947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DFCD4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D306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B39A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12°33'13”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850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4BA8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EDF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32.865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145F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C5D76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0+050.587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5F0D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0+067.086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5497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0+083.452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2F9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9D7D4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DBF6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734,378.456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88A9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8,525,996.799</w:t>
            </w:r>
          </w:p>
        </w:tc>
      </w:tr>
      <w:tr w:rsidR="0068176C" w:rsidRPr="007F0765" w14:paraId="4B3D7C5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90F88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9C7E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B3E4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29°17'30”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5C4F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5FFE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15.680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A364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30.674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58A88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6A27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0+142.238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D4155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0+157.918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4357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0+172.912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71C9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45749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9737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734,287.725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6BD6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8,525,990.287</w:t>
            </w:r>
          </w:p>
        </w:tc>
      </w:tr>
      <w:tr w:rsidR="0068176C" w:rsidRPr="007F0765" w14:paraId="746E00E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D8514E"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B3D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CEC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80°21'27"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BD21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C060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21.111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4F6D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35.063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1927E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7.721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1BCDB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0+184.034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B08DD3"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0+205.144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3D9A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0+219.096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4B4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39770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9813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734,247.724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4961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8,525,963.914</w:t>
            </w:r>
          </w:p>
        </w:tc>
      </w:tr>
      <w:tr w:rsidR="0068176C" w:rsidRPr="007F0765" w14:paraId="1806B69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26CD3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9B31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2BD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52°10'26"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DCE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73DE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14.688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2F48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27.318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F3DA0E"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3.403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0108E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0+219.133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BF5A2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0+233.821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F1D0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0+246.451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5F0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442B2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3971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734,223.266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C079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8,525,990.106</w:t>
            </w:r>
          </w:p>
        </w:tc>
      </w:tr>
      <w:tr w:rsidR="0068176C" w:rsidRPr="007F0765" w14:paraId="1FCFD57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983D1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6C5A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DC5E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14°17'25"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BA4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403D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25.071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82DC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49.882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4EB4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777AA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0+378.123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A9AF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0+403.195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C6BE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0+428.006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925E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364AF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E6B9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734,052.543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64605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8,525,974.529</w:t>
            </w:r>
          </w:p>
        </w:tc>
      </w:tr>
      <w:tr w:rsidR="0068176C" w:rsidRPr="007F0765" w14:paraId="436036C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3D58D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8576A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2518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56°34'21”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36E7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906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21.525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3DD0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39.495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6B3E3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3F378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0+497.178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40E9B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0+518.704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52DE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0+536.673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EF0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D01EF3"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4051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733,943.417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848E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8,525,935.878</w:t>
            </w:r>
          </w:p>
        </w:tc>
      </w:tr>
      <w:tr w:rsidR="0068176C" w:rsidRPr="007F0765" w14:paraId="411414B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22B2BB"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F97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D34AF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26°11'20"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EE99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7CF1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18.609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4C67E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36.567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39BD3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1BB8D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0+560.413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8F319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0+579.022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6DBE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0+596.980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4355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2E5F2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05F0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733,928.046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D61C9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8,525,873.881</w:t>
            </w:r>
          </w:p>
        </w:tc>
      </w:tr>
      <w:tr w:rsidR="0068176C" w:rsidRPr="007F0765" w14:paraId="2711ED70"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6A8E7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E910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1C76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138°36'18"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0405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5BAA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6D2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E1632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A48995"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0+632.715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EF37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0+685.650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1004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0+681.097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74E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B7EBD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E056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733,950.836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FB8D1"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8,525,769.051</w:t>
            </w:r>
          </w:p>
        </w:tc>
      </w:tr>
      <w:tr w:rsidR="0068176C" w:rsidRPr="007F0765" w14:paraId="0A2EBCE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CEAE6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5F2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2F12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33°11'36"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D569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1E9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23.844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9D48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46.347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F584C6"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F345D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0+762.923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B515D"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0+786.767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D2F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0+809.270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12E6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12A00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12C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733,823.076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1C77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8,525,863.037</w:t>
            </w:r>
          </w:p>
        </w:tc>
      </w:tr>
      <w:tr w:rsidR="0068176C" w:rsidRPr="007F0765" w14:paraId="6B2738C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1105F7"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1EA2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5BD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44°52'47"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460C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534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98A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39.165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157EF4"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4.096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B41C1A"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0+924.862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A6D38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0+945.511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0DEA3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0+964.027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DE0E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EF6B9F"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07E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733,663.232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F6DA72"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8,525,871.825</w:t>
            </w:r>
          </w:p>
        </w:tc>
      </w:tr>
      <w:tr w:rsidR="0068176C" w:rsidRPr="007F0765" w14:paraId="37DBC3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BA23C0"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FA67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253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62°14'26"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227F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8AB2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30.186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ECC2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54.315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47D8C"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B1201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1+010.598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2960C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1+040.784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72C2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1+064.913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A367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7ADD8"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505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733,598.088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2B2949" w14:textId="77777777" w:rsidR="00A16D9F" w:rsidRPr="007F0765" w:rsidRDefault="00A16D9F" w:rsidP="00A16D9F">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8,525,944.241</w:t>
            </w:r>
          </w:p>
        </w:tc>
      </w:tr>
      <w:tr w:rsidR="0068176C" w:rsidRPr="007F0765" w14:paraId="0729F91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F10A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3CAA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0BF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31°49'59"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151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3F3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17.110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A12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BAAF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D9D6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1+071.013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FED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1+088.123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11D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1+104.348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ABA5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0A07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C560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733,546.327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C42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8,525,931.130</w:t>
            </w:r>
          </w:p>
        </w:tc>
      </w:tr>
      <w:tr w:rsidR="0068176C" w:rsidRPr="007F0765" w14:paraId="1F0AE4B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5E0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BD37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F539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B725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2CF3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91E1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9255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D644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1+158.627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FF1B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1+176.094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C221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1+193.022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8386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D615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672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733,461.639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5DF1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8,525,958.026</w:t>
            </w:r>
          </w:p>
        </w:tc>
      </w:tr>
      <w:tr w:rsidR="0068176C" w:rsidRPr="007F0765" w14:paraId="2377272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5CB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993B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CA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10°38'49"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51DF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F534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20.499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F8C0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40.881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F313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0.953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38BE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1+306.260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877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1+326.760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E43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1+347.141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87FA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937E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5ACD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733,311.565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867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8,525,939.561</w:t>
            </w:r>
          </w:p>
        </w:tc>
      </w:tr>
      <w:tr w:rsidR="0068176C" w:rsidRPr="007F0765" w14:paraId="20D9B43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2599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16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871B8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81B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43°49'25”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8C6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3611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28.157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5C55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53.541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5A12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5.451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88C1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1+382.450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74AC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1+410.606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0803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1+435.991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6BE2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CBCB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59A2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733,227.769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9A2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8,525 944 881</w:t>
            </w:r>
          </w:p>
        </w:tc>
      </w:tr>
      <w:tr w:rsidR="0068176C" w:rsidRPr="007F0765" w14:paraId="0A1E324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E3FA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D1D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0655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29°24'32”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40E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B394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15.746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6179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30.797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841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998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1+515.552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6F7F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1+531.298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7EC0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1+546.349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AD2B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F1E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2D0E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733,133.456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8CDD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8,525,865.205</w:t>
            </w:r>
          </w:p>
        </w:tc>
      </w:tr>
      <w:tr w:rsidR="0068176C" w:rsidRPr="007F0765" w14:paraId="285117D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7C16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7904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FF3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38°22'8''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3BDD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D772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20.876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3FEB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40.180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3AE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6FA1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 +602.607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266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1+623.482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337E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1+642.786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8463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AD1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334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733,042.216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DA07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8,525,847.830</w:t>
            </w:r>
          </w:p>
        </w:tc>
      </w:tr>
      <w:tr w:rsidR="0068176C" w:rsidRPr="007F0765" w14:paraId="36E1526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0C93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08F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4CE1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6D93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B9FD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22.863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474D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45.528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759A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1.303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F07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1+646.169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B3F2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1+669.031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FF4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1+691.696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443D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ECDF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4971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733,000.453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A375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8,525,869.651</w:t>
            </w:r>
          </w:p>
        </w:tc>
      </w:tr>
      <w:tr w:rsidR="0068176C" w:rsidRPr="007F0765" w14:paraId="25ADE4E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230B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8CA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F2F7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0426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44A9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3020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30.736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4D90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0.408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BA75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1+733.032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4610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1+748.415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CBAE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1+763.768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CB3B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594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2D9C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732,923.422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D021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8,525,889.636</w:t>
            </w:r>
          </w:p>
        </w:tc>
      </w:tr>
      <w:tr w:rsidR="0068176C" w:rsidRPr="007F0765" w14:paraId="7412535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326E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B481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E54F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101°44'36"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303E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DC98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22.127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E50B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31.964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ECA5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10.524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831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1+798 435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B37B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 +820.561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948F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1+830.398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414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632E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EFC8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732,852.034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FEA5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8,525,900.268</w:t>
            </w:r>
          </w:p>
        </w:tc>
      </w:tr>
      <w:tr w:rsidR="0068176C" w:rsidRPr="007F0765" w14:paraId="4254F53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14BE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EB51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ABD3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101°36'57”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CC31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41E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2A40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018B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10.485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5CA0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1+830 398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73BF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1+852.475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DCA0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1+862.322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BB5F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4E9B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091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732,854.557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FBCF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8,525,856.137</w:t>
            </w:r>
          </w:p>
        </w:tc>
      </w:tr>
      <w:tr w:rsidR="0068176C" w:rsidRPr="007F0765" w14:paraId="60F8F98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0E9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1799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78A3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40°6'52''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1FFC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1B33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25.557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90C2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49.009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93C2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4.520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38E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1+889 428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A09D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1+914.985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CCCE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1+938.437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279F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2F9C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A1D3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732,926.787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29A0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8,525,875.340</w:t>
            </w:r>
          </w:p>
        </w:tc>
      </w:tr>
      <w:tr w:rsidR="0068176C" w:rsidRPr="007F0765" w14:paraId="284714D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8A8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2D1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5802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25°33'37"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3F0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2D5D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18.146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77E9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35.689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879F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4C81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2+016.718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7AE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2+034.864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8D56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2+052.407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2B72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CB54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88A0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733,037.138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8689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8,525,823.349</w:t>
            </w:r>
          </w:p>
        </w:tc>
      </w:tr>
      <w:tr w:rsidR="0068176C" w:rsidRPr="007F0765" w14:paraId="728DEB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F69C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E736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1A30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27°35'22"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B684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F62F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14.732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7A2D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298F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67DE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2+160 891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BFD9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2+175.623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FB25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2+189.783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878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C962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50A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733,178.498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C304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8,525,824.172</w:t>
            </w:r>
          </w:p>
        </w:tc>
      </w:tr>
      <w:tr w:rsidR="0068176C" w:rsidRPr="007F0765" w14:paraId="09D439F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99B4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B0B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9E20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35°13'39"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B0E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6908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19.049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7C2A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36.890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7B3F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2.951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380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2+190.142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BB16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2+209.191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4A0C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2+227.032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CE56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CE7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262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733,208.846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F6F2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8,525,808 537</w:t>
            </w:r>
          </w:p>
        </w:tc>
      </w:tr>
      <w:tr w:rsidR="0068176C" w:rsidRPr="007F0765" w14:paraId="1ADBD9D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C158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62A7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C297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33°51'6''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2A9F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32E5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919B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47.266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8CA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3.622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C54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2+229.729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33B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2+254.075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62A7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2+276.995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B39A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7BE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5C0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733,254.493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4A1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8,525,814.929</w:t>
            </w:r>
          </w:p>
        </w:tc>
      </w:tr>
      <w:tr w:rsidR="0068176C" w:rsidRPr="007F0765" w14:paraId="17471E7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4105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7A8E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AE4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42°50'59"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AB30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7BE9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19.620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AE94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37.393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72DC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3.712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7AD3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2+310.636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068D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2+330.256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B4B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2+348.029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38CE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4FC4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B02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733,324.315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DD42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8,525,781.055</w:t>
            </w:r>
          </w:p>
        </w:tc>
      </w:tr>
      <w:tr w:rsidR="0068176C" w:rsidRPr="007F0765" w14:paraId="0691D24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693F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29E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68E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38°29'50”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233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CD8A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17.459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40CE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3CD7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2.961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1161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2+400.889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DB71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2+418.349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B11D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2+434.484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D5E2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543F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0200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733,410.338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D16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8,525,807.305</w:t>
            </w:r>
          </w:p>
        </w:tc>
      </w:tr>
      <w:tr w:rsidR="0068176C" w:rsidRPr="007F0765" w14:paraId="4929B06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3CDA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F23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AE3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23°59'20"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13B4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FCB2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15.934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5BA5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31.401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E7AD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1.674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086C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2+508.407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2F0A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2+524.341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BD61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2+539.808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50DE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7AB7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D926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733,510.168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A9D3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8,525,767.925</w:t>
            </w:r>
          </w:p>
        </w:tc>
      </w:tr>
      <w:tr w:rsidR="0068176C" w:rsidRPr="007F0765" w14:paraId="668F43C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61D1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9A4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09E9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55°32'8''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58E58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696A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32BA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39C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5.857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7B18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2+592.381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595F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2+616.075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86C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2+635.999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62B7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2D8B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5B8E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733,574.774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798F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8,525,702.144</w:t>
            </w:r>
          </w:p>
        </w:tc>
      </w:tr>
      <w:tr w:rsidR="0068176C" w:rsidRPr="007F0765" w14:paraId="63B9803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27BB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E4D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316C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52°25'6''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2585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6DF6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19.690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A5B1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A283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4.584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9110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2+662.398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3997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2+682.088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650E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2+698.993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BDE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943E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1D59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733,643.492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F504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8,525,714.284</w:t>
            </w:r>
          </w:p>
        </w:tc>
      </w:tr>
      <w:tr w:rsidR="0068176C" w:rsidRPr="007F0765" w14:paraId="5B72391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783A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6786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066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34°30'43"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BE6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581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8114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0F3B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62C9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2+755.030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D6F7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2+773.667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DDED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2+791.171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FAB0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4AF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1B34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733,713.177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B0CB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8,525,650.655</w:t>
            </w:r>
          </w:p>
        </w:tc>
      </w:tr>
      <w:tr w:rsidR="0068176C" w:rsidRPr="007F0765" w14:paraId="4CDDBA2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4A48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27EC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B4BC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94°44'51”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ABC6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F4BB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19.557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B97D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29.766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FE47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F922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2+856.294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B250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2+875.850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D89D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2+886.059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1DF5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1B1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AF06B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733,815.517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A0AB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8,525,636.477</w:t>
            </w:r>
          </w:p>
        </w:tc>
      </w:tr>
      <w:tr w:rsidR="0068176C" w:rsidRPr="007F0765" w14:paraId="6E94926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3C76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96A1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C1C7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95°11'11"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0D0C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AA10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19.708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365F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29.904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FA5B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8.691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90AD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2+886.059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4B75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2+905.767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A6A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2+915.963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885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63FE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041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733,806.928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DFD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8,525,598.163</w:t>
            </w:r>
          </w:p>
        </w:tc>
      </w:tr>
      <w:tr w:rsidR="0068176C" w:rsidRPr="007F0765" w14:paraId="59EC589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296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32F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4576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17°25'4"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17F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DD67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15.318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D541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30.400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3BA5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1.166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5C1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2+980.503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C8E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2+995.821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301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3+010.903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7B1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0E65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5FEF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733,712.140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84FD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8,525,628.635</w:t>
            </w:r>
          </w:p>
        </w:tc>
      </w:tr>
      <w:tr w:rsidR="0068176C" w:rsidRPr="007F0765" w14:paraId="768E87A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0EE7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D318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47B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71°47'33”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ED70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FB74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B403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37.591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F210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72D9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3+068.447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FCC4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3+090.161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0C20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3+106.038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477D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A5AD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F45A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733,634.895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4949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8,525,683.204</w:t>
            </w:r>
          </w:p>
        </w:tc>
      </w:tr>
      <w:tr w:rsidR="0068176C" w:rsidRPr="007F0765" w14:paraId="624DB9C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F733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6ED0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4335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57°32'43"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F6A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87EFB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27.457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039A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50.218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4F6B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E83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3+144.388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8A03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3+171.844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AE5B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3+194.606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FAB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4DC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8B52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733,564.590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DBF4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8,525,631.079</w:t>
            </w:r>
          </w:p>
        </w:tc>
      </w:tr>
      <w:tr w:rsidR="0068176C" w:rsidRPr="007F0765" w14:paraId="151147E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DD96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D38E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1658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48°23'3”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ECA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CC94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22.463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6CFC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F35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4.814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3304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3+278.825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573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3+301.288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5B76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3+321.049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D1FF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4A93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14CE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733,439.353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FCE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8,525,679.132</w:t>
            </w:r>
          </w:p>
        </w:tc>
      </w:tr>
      <w:tr w:rsidR="0068176C" w:rsidRPr="007F0765" w14:paraId="7E8502D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F84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CC5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5A74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35°44'46"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2687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3E3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A838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43.672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8FE5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7587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3+428.888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CCB2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3+451.461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ECCD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3+472.560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866F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7780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91B4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733,303.619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D167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8,525,608.796</w:t>
            </w:r>
          </w:p>
        </w:tc>
      </w:tr>
      <w:tr w:rsidR="0068176C" w:rsidRPr="007F0765" w14:paraId="72FB5E9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CADB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6039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80E8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10°35'23"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71C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1D7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ACBB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A4F6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0.729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928A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3+644.710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C931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3+660.465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3D4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3+676.131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7928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21D3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C50C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733,095.374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8F63F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8,525,639.374</w:t>
            </w:r>
          </w:p>
        </w:tc>
      </w:tr>
      <w:tr w:rsidR="0068176C" w:rsidRPr="007F0765" w14:paraId="4940F83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6888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4928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9487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303D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B761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17.736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3107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34.908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E6E7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5527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3+754.151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D34FE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3+771.887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AE4C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3+789.058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A892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1565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240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732,989.902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F878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8,525,675.574</w:t>
            </w:r>
          </w:p>
        </w:tc>
      </w:tr>
      <w:tr w:rsidR="0068176C" w:rsidRPr="007F0765" w14:paraId="7B57583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8053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DE5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2F01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17°20'37"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4E8F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F21F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30.504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A6A2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60541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CAC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1E0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3+802.091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BB8C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3+832.595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0D52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3+862.632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1A23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E2A1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4A81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732,928.972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4DD0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8,525,669.109</w:t>
            </w:r>
          </w:p>
        </w:tc>
      </w:tr>
      <w:tr w:rsidR="0068176C" w:rsidRPr="007F0765" w14:paraId="30BA62F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E136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FAE0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786A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31°40'43''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913C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C5CC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44EE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6B59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4FCC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3+896.218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F7F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3+913.241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68C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3+929.392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3AD61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33F4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2AD7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732,849.428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7DC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8,525,684.983</w:t>
            </w:r>
          </w:p>
        </w:tc>
      </w:tr>
      <w:tr w:rsidR="0068176C" w:rsidRPr="007F0765" w14:paraId="7ACABB7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7369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9146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55F9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28°45'21''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9DA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1175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D3EB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35.132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ED8B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2.263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69F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4+009.792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29B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4+027.737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7FF8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4+044.924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6EF8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4D0B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C88E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732,741.291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1774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8,525,644.783</w:t>
            </w:r>
          </w:p>
        </w:tc>
      </w:tr>
      <w:tr w:rsidR="0068176C" w:rsidRPr="007F0765" w14:paraId="654A155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874B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667F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23F9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33°37'6''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35C1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3BA5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18.126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4A00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FEAA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D4D3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4+162.855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BB0A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4+180.980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83A0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4+198.060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A84B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5470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B17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732,640.559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A3A0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8,525,528.296</w:t>
            </w:r>
          </w:p>
        </w:tc>
      </w:tr>
      <w:tr w:rsidR="0068176C" w:rsidRPr="007F0765" w14:paraId="0390EFC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20D9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47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34E2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EFB8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36°56'44"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8362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5748E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26.725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9393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51.586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8EF6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8565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4+291.311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9854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4+318.036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F0DD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4+342.896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BF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51D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252C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732,507.500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1CEB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8,525,491.321</w:t>
            </w:r>
          </w:p>
        </w:tc>
      </w:tr>
      <w:tr w:rsidR="0068176C" w:rsidRPr="007F0765" w14:paraId="7140CD0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4C4A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D82D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60E7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96°40'26”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A22D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CAB5A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775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30.371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4EB6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ABB4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4+434.618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326B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4+454.847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5AF3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4+464.989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3C02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3752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76AF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732,378.398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3250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8,525,541.955</w:t>
            </w:r>
          </w:p>
        </w:tc>
      </w:tr>
      <w:tr w:rsidR="0068176C" w:rsidRPr="007F0765" w14:paraId="3986EF0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0590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82A98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AF34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89°39'17"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84C2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214A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D36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28.166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61111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A50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4+464.989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61D0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4+482.881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83E4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4+493.155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D7F1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A45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1E92D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732,368.698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F43A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8,525,505.089</w:t>
            </w:r>
          </w:p>
        </w:tc>
      </w:tr>
      <w:tr w:rsidR="0068176C" w:rsidRPr="007F0765" w14:paraId="109139B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8D66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A68B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39C8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24°57'59''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BBBF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A722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19.925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FCC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8227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4256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4+602.244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0367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4+622.169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ABB4A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4+641.461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3F30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2A2A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9B9C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732,510.541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E1C0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8,525,466.852</w:t>
            </w:r>
          </w:p>
        </w:tc>
      </w:tr>
      <w:tr w:rsidR="0068176C" w:rsidRPr="007F0765" w14:paraId="3000A21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5F11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1CBE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D2FA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35°45'19"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D38A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67C7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25.805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6897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49.924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810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4.059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4DE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4+739.350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3C1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4+765.155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C19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4+789.274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0C03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E615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478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732,652.030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54E5C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8,525,491.494</w:t>
            </w:r>
          </w:p>
        </w:tc>
      </w:tr>
      <w:tr w:rsidR="0068176C" w:rsidRPr="007F0765" w14:paraId="68BAA17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584A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2FF5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140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48°34'12"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7659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5AE1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8FB4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1B2D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F3F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4+837.090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309E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4+859.650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39AE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4+879.475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F9C9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73A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6DF7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732,719.282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AC94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8,525,560.254</w:t>
            </w:r>
          </w:p>
        </w:tc>
      </w:tr>
      <w:tr w:rsidR="0068176C" w:rsidRPr="007F0765" w14:paraId="2AB84EF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D1C5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8238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B015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40°56'34"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3EE6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0A6E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18.666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4CA8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35.729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EDBF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3.371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E339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5+083.517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10A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5+102.183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8E46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5+119.247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28168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F59E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E188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732,964.228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2B99C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8,525,547.695</w:t>
            </w:r>
          </w:p>
        </w:tc>
      </w:tr>
      <w:tr w:rsidR="0068176C" w:rsidRPr="007F0765" w14:paraId="00F1C9A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B995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A24AD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1E3B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22°51'58"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E060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F42F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16.179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9A8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31.927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592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0B5B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5+173.333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048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5+189.512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D0B3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5+205.260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790B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CA16C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D887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733,028.331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DF27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8,525,486.055</w:t>
            </w:r>
          </w:p>
        </w:tc>
      </w:tr>
      <w:tr w:rsidR="0068176C" w:rsidRPr="007F0765" w14:paraId="5605F8D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D1A1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C7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5130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31°39'6''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59B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E162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17.008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B865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33.146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DD3D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82A5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5+259.553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11FC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5+276.560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0DBE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5+292.698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5823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6231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02DD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733,109.994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F892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8.525,454.688</w:t>
            </w:r>
          </w:p>
        </w:tc>
      </w:tr>
      <w:tr w:rsidR="0068176C" w:rsidRPr="007F0765" w14:paraId="6AC897A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275C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16FD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F75F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62°35'5"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1A61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CF4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A23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43.692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6059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6.810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59ADE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5+298.932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14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5+323.245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07C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5+342.624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760E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1C11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DC15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733,138.835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46A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8,525,416.879</w:t>
            </w:r>
          </w:p>
        </w:tc>
      </w:tr>
      <w:tr w:rsidR="0068176C" w:rsidRPr="007F0765" w14:paraId="4419332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6FD8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DE4F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9CBF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69E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3C9F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29.684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B317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57.711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97871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2688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5+379.465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6B6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5+409.149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C5DB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5+437.176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8334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7DA7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8496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733,228.314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7BD1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8,525432.529</w:t>
            </w:r>
          </w:p>
        </w:tc>
      </w:tr>
      <w:tr w:rsidR="0068176C" w:rsidRPr="007F0765" w14:paraId="4338BE6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CBC0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A2C3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323F5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27°13'21''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B5D2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5506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EBAF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33.259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B480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C29F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5+542.511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65FDF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5+559.460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CD31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5+575.770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F927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77B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ED2E6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733,368.052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1A33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8,525,372.798</w:t>
            </w:r>
          </w:p>
        </w:tc>
      </w:tr>
      <w:tr w:rsidR="0068176C" w:rsidRPr="007F0765" w14:paraId="5A8E76B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EC69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9375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0C79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14°38'35''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95E9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3035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19.273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7402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38.336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8E8AC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6E08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5+648.894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5914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5+668.167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AF3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5+687.230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15A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A053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AEB8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733 477.122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D975F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8,525,380.574</w:t>
            </w:r>
          </w:p>
        </w:tc>
      </w:tr>
      <w:tr w:rsidR="0068176C" w:rsidRPr="007F0765" w14:paraId="6CC96B0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E28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21CD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E0D11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78°19'19''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C2525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DED96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40.722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465A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0C6D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14.485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F9E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5+744.306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F811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5+785.028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B20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5+812.655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E4C8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EC094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2BAB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733,587.999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68B3E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8,525,418.150</w:t>
            </w:r>
          </w:p>
        </w:tc>
      </w:tr>
      <w:tr w:rsidR="0068176C" w:rsidRPr="007F0765" w14:paraId="12F5A73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1B861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F31F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141A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13°9'4''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5ABE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5C9F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23.054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587F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45.906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2132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F34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5+912.823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E1D7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5+935.878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1A139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5+958.729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6F0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D944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2B0E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733,670.959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C559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8,525,276.744</w:t>
            </w:r>
          </w:p>
        </w:tc>
      </w:tr>
      <w:tr w:rsidR="0068176C" w:rsidRPr="007F0765" w14:paraId="5A97A18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1C56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22BF7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18C8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91°36'30"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8D3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6DFD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18.513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9393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28.780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7E4E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7.821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A184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5+979.274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56E3A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5+997.786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67FBD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6+008.053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36661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F65BA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2759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733,713.753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99E94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8,525,231.728</w:t>
            </w:r>
          </w:p>
        </w:tc>
      </w:tr>
      <w:tr w:rsidR="0068176C" w:rsidRPr="007F0765" w14:paraId="6EC3A51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1DD78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E1EA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F69A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100°456”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8436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218FD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98D2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31.652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D506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6A95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6+008.053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E848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6+029.793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2752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6+039.705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F5D2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8C12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B6A33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733,683.812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A039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8,525,204 824</w:t>
            </w:r>
          </w:p>
        </w:tc>
      </w:tr>
      <w:tr w:rsidR="0068176C" w:rsidRPr="007F0765" w14:paraId="3A914E7F"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A0C3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6AEB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DF72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35°8'19''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4AF7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F48E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25.330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1844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49.063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066C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3.914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76C51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6+148.905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7386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6+174.235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EA8F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6+197.968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8614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C541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789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733,602.883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7A80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8,525,338.505</w:t>
            </w:r>
          </w:p>
        </w:tc>
      </w:tr>
      <w:tr w:rsidR="0068176C" w:rsidRPr="007F0765" w14:paraId="00BEC3F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7D2A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E519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2319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52°51'3''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8A20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235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19.878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CEE5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36.897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500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4.667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D462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6+224.599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CBB7D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6+244.477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581F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6+261.495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DEF2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BD7D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77C3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733,537.088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836B7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8,525,367.347</w:t>
            </w:r>
          </w:p>
        </w:tc>
      </w:tr>
      <w:tr w:rsidR="0068176C" w:rsidRPr="007F0765" w14:paraId="654D8BC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6FDD3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86CA6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0F5F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21°43'49''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C5A7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C51BA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C2BE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34.134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047D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674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6+308.602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D04D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6+325.876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B21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6+342.735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99F25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6A66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E4D8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733,463.522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23F2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8,525 326.267</w:t>
            </w:r>
          </w:p>
        </w:tc>
      </w:tr>
      <w:tr w:rsidR="0068176C" w:rsidRPr="007F0765" w14:paraId="6F77C2E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F8AF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6A24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162B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31°54'0”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9D08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30E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17.148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2282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33.406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029D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B47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6+456 879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A068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6+474.027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D04E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6+490.285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65B7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D75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9D7C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733,316.210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C48D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8,525,307.005</w:t>
            </w:r>
          </w:p>
        </w:tc>
      </w:tr>
      <w:tr w:rsidR="0068176C" w:rsidRPr="007F0765" w14:paraId="446DF8B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7D54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2E66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3954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49°56'32'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52D4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AC61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23.285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2BB1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43.583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47D6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5.156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F709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6+538 215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436F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6+561.500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7F4D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6+581.798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E897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040B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344E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733,235.770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B406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8,525,343.580</w:t>
            </w:r>
          </w:p>
        </w:tc>
      </w:tr>
      <w:tr w:rsidR="0068176C" w:rsidRPr="007F0765" w14:paraId="716D29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EB7C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0C0D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7799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27°13'39"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4974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FFD1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19.374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0B09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38.017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781C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2.313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D869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6+600 854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4F55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6+620.229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8190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6+638 871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9FE2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D17A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660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733,180.063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1E72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8,525,317.019</w:t>
            </w:r>
          </w:p>
        </w:tc>
      </w:tr>
      <w:tr w:rsidR="0068176C" w:rsidRPr="007F0765" w14:paraId="1CAC3E4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D12F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11D27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483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20°2'55"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E8AA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EFBA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D28E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34.991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B761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226F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6+690.489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1257A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6+708.166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A2A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6+725.481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F34E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1018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9ACD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733,091.435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DD52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8,525,319.704</w:t>
            </w:r>
          </w:p>
        </w:tc>
      </w:tr>
      <w:tr w:rsidR="0068176C" w:rsidRPr="007F0765" w14:paraId="702B3FC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D00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560F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A2C1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14°48'33"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F64F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4866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15.595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8F93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31.016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0895C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663D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6+894.510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4C3B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6+910.105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87F2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6+925.527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A98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5C08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B94C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732,899.379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A648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8,525,256.140</w:t>
            </w:r>
          </w:p>
        </w:tc>
      </w:tr>
      <w:tr w:rsidR="0068176C" w:rsidRPr="007F0765" w14:paraId="521734D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39E0D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73C9E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15CA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25°16'2''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10498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E153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17.931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485E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35.280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62BE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20B1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6+976.563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5459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6+994.495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F18F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7+011.843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1BEA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FAAD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E79E6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732,814.974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483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8,525,250.972</w:t>
            </w:r>
          </w:p>
        </w:tc>
      </w:tr>
      <w:tr w:rsidR="0068176C" w:rsidRPr="007F0765" w14:paraId="2716CE9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5240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71B0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8B6D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32°18'52''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EABD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6F6A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17.383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53E3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33.840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5A96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2.467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9529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7+170.801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F390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7+188.184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EC1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7+204.641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2728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5427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83A3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732,644.684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23EBB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8,525,157.467</w:t>
            </w:r>
          </w:p>
        </w:tc>
      </w:tr>
      <w:tr w:rsidR="0068176C" w:rsidRPr="007F0765" w14:paraId="116E6FD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0F0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1F0A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D5A4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32°41'42"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06E8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025E8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20.532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F080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39.944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7E73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2.949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0B7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7+249.186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28F1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7+269.719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33B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7+289.130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D4CA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8B2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E62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732,562.381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F5B6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8,525,162.564</w:t>
            </w:r>
          </w:p>
        </w:tc>
      </w:tr>
      <w:tr w:rsidR="0068176C" w:rsidRPr="007F0765" w14:paraId="34C3F5E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C4F5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092A0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9DFB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25°37'47”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C916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754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18.197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533C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35.786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3B9E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2B11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7+319.440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3EF9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7+337.637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F8D9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7+355.226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C4F1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6393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15A9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732,502.087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2072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8,525,128.934</w:t>
            </w:r>
          </w:p>
        </w:tc>
      </w:tr>
      <w:tr w:rsidR="0068176C" w:rsidRPr="007F0765" w14:paraId="6D8135A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BD53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3CBC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106D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12°44'13"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42C2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38AC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17.858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2D97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35.568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07269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FE98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7+380.610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8F0A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7+398.468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95B9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7+416.178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F9D5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2D7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8E0E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732,440.764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D37D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8,525,125.160</w:t>
            </w:r>
          </w:p>
        </w:tc>
      </w:tr>
      <w:tr w:rsidR="0068176C" w:rsidRPr="007F0765" w14:paraId="4F9A35DD"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F4A9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091FE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1963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9°39'33”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1AEC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DE01E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FC56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42.146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8AC86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0.891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376A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7+711.637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EBF2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7+732.760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B67B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7+753.783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AA88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4CFA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2F14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732,110.640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2A30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8,525,178.718</w:t>
            </w:r>
          </w:p>
        </w:tc>
      </w:tr>
      <w:tr w:rsidR="0068176C" w:rsidRPr="007F0765" w14:paraId="6D40C0D4"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11310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78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92E0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B25AD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10°29'57"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52835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84F5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18.376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DD1D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36.650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A8B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DC9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7+860.556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01BF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7+878.932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17F5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7+897.206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438C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6A26C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5ECB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731,972.233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B1EF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8,525,226.037</w:t>
            </w:r>
          </w:p>
        </w:tc>
      </w:tr>
      <w:tr w:rsidR="0068176C" w:rsidRPr="007F0765" w14:paraId="740B88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326A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2B55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7592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8691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7EA2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15.124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399E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30.241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CB9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0.201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C06C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7+961.874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0F36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7+976.998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A9C7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7+992.115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BEA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6C93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6E77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731,886.685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E9C3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8,525,274.189</w:t>
            </w:r>
          </w:p>
        </w:tc>
      </w:tr>
      <w:tr w:rsidR="0068176C" w:rsidRPr="007F0765" w14:paraId="6B0C9DB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73B6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2424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474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46°2'10”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E32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7E5E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21.242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EB950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40.174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C037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2213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8+093.992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416F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8+115.234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69020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8+134.166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7F81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A6B5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9D7A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731,762.788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A821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8,525,335.514</w:t>
            </w:r>
          </w:p>
        </w:tc>
      </w:tr>
      <w:tr w:rsidR="0068176C" w:rsidRPr="007F0765" w14:paraId="504A604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0A6F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5651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80A5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13°36'59"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50E3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313E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13.133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65B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26.142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214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0.781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8403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8+169.086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89982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8+182.219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019F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8+195.228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11F3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BFE0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2264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731,697.549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6D40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8,525,312.152</w:t>
            </w:r>
          </w:p>
        </w:tc>
      </w:tr>
      <w:tr w:rsidR="0068176C" w:rsidRPr="007F0765" w14:paraId="745DAC2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5CB5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9B6A9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5561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893C6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DEB5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13.402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E89B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26.188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DC1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DE22F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8+198.872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EFE5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8+212.274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3F5B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8+225.061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A936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9AB3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D28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731,672.331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95EAC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8,525,295.575</w:t>
            </w:r>
          </w:p>
        </w:tc>
      </w:tr>
      <w:tr w:rsidR="0068176C" w:rsidRPr="007F0765" w14:paraId="2E333E6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A1A9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F498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9B41A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73°58'58"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21B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55DF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22.600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5B08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38.737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7375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7.560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7FAD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8+252.996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3C4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8+275.596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F36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8+291.733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2A87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E40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DC3D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731,643.631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32AD6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8,525,238.442</w:t>
            </w:r>
          </w:p>
        </w:tc>
      </w:tr>
      <w:tr w:rsidR="0068176C" w:rsidRPr="007F0765" w14:paraId="754FBF2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EEDF0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EEB3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6C43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38°48'14”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5B07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2FD2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14.088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B78AF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27.090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5B2D6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2.408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EA869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8+318.450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392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8+332.537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6405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8+345.540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3590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FDB9E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D1FC2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731,581.321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C4572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8,525,250.164</w:t>
            </w:r>
          </w:p>
        </w:tc>
      </w:tr>
      <w:tr w:rsidR="0068176C" w:rsidRPr="007F0765" w14:paraId="49121B5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65AC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8C7A7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441C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38°41'39”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0CD7B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C4A2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14.045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7620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27.014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CC6F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EC17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8+345.705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42D5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8+359.750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1582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8+372.719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4696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1081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35E3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731,556.370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64335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8,525,236.814</w:t>
            </w:r>
          </w:p>
        </w:tc>
      </w:tr>
      <w:tr w:rsidR="0068176C" w:rsidRPr="007F0765" w14:paraId="24F1458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AEF1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97D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DD89B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22°32'44"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F8AE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3C3B5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11.960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BD6A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23.610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2C7F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1.180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DDFB9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8+376.517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0A884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8+388.477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1C03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8+400.127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B01C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4D667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61EC4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731,527.071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B341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8,525,242.268</w:t>
            </w:r>
          </w:p>
        </w:tc>
      </w:tr>
      <w:tr w:rsidR="0068176C" w:rsidRPr="007F0765" w14:paraId="117C1D9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04E1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4D96B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9BE9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12°22'44"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47D0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09C9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16.267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860E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32.408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E51E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D8B45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8+427.916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8A4C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8+444.183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AEA2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8+460.324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8C9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C6A6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5C990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731,472.279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AA54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8,525,230.621</w:t>
            </w:r>
          </w:p>
        </w:tc>
      </w:tr>
      <w:tr w:rsidR="0068176C" w:rsidRPr="007F0765" w14:paraId="1ECA558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870F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595B9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1B589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39°20'28"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23780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C1253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17.874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BEC74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34.332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EF4C6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3.099</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2D6F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8+487.524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0CDF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8+505.397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E1469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8+521.855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5D6F2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E58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06BF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731,410.939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FFAE3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8,525,231.026</w:t>
            </w:r>
          </w:p>
        </w:tc>
      </w:tr>
      <w:tr w:rsidR="0068176C" w:rsidRPr="007F0765" w14:paraId="20BA6BBA"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3F2F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0FE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2190B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26°21'30"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5BA504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7187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16.392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62C1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32.203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B4D27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1.894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FB17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8+525.849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C104C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8+542.241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135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8+558.052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D0A50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582E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F5064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731,381.511</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FDD3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8,525,255.475</w:t>
            </w:r>
          </w:p>
        </w:tc>
      </w:tr>
      <w:tr w:rsidR="0068176C" w:rsidRPr="007F0765" w14:paraId="226F270C"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C377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D57E3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5763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49°22'43"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A3A5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072E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18.389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137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34.473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F7F72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D1928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8+643.045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EFD69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8+661.434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08D8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8+677.518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CE23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F973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C847F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731,264.980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E5AD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8,525,283.153</w:t>
            </w:r>
          </w:p>
        </w:tc>
      </w:tr>
      <w:tr w:rsidR="0068176C" w:rsidRPr="007F0765" w14:paraId="2419478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39BB7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D9C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F580A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51°19'48”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544EC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FA55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19.221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564A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35.835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F396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4.378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FB2FE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8+685.261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6917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8+704.482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BAECE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8+721.096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FF73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5CF9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0E596E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731,228.297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DC2F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8,525,256.484</w:t>
            </w:r>
          </w:p>
        </w:tc>
      </w:tr>
      <w:tr w:rsidR="0068176C" w:rsidRPr="007F0765" w14:paraId="791587E7"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DA0A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C9A99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7B4D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72°7'16”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567D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42F0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18.204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2E1E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31.469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4C5C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5.925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8E9B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8+723.163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ED53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8+741.366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9AEB1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8+754.631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3A6E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9B1E9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F154D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731,190.208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5132C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8,525 266.912</w:t>
            </w:r>
          </w:p>
        </w:tc>
      </w:tr>
      <w:tr w:rsidR="0068176C" w:rsidRPr="007F0765" w14:paraId="18A1604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0BAF0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46F1D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B9A6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17°27'22”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E550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7FF0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12.282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3C9F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24.373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E8E5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0.937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985B0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8+759.551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E9F6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8+771.833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AF45E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8+783.925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19D1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7ECEF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D68D5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731,170.825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F9BBA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8,525,237.283</w:t>
            </w:r>
          </w:p>
        </w:tc>
      </w:tr>
      <w:tr w:rsidR="0068176C" w:rsidRPr="007F0765" w14:paraId="6C9B4788"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F7060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AF98B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8220E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23°54'4''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3479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31CF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16.932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FF5C8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33.372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E40D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1.772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5AA4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8+823.940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6354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8+840.872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A1F78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8+857.312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0D4B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0D945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00FD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731,117.293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111D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8,525,193.385</w:t>
            </w:r>
          </w:p>
        </w:tc>
      </w:tr>
      <w:tr w:rsidR="0068176C" w:rsidRPr="007F0765" w14:paraId="1D95CE93"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142A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A4328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3462B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70°7'10"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BC5E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70E2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17.544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AC4B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30.595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E4617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5.542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B1CD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8+864.021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0D65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8+881.565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0C136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8+894.616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52571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E448C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C7D27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731,077.597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18A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8,525,182.413</w:t>
            </w:r>
          </w:p>
        </w:tc>
      </w:tr>
      <w:tr w:rsidR="0068176C" w:rsidRPr="007F0765" w14:paraId="08194BF2"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22A3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DE89A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53F6B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27°24'34"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2BC1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B5A67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12.193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F0AE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23.919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120F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E08B4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8+896.726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4B178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8+908.919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D1700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8+920.645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C29C6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F7AEC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F8F6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731,075.137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1300F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8,525,150.661</w:t>
            </w:r>
          </w:p>
        </w:tc>
      </w:tr>
      <w:tr w:rsidR="0068176C" w:rsidRPr="007F0765" w14:paraId="26CF3206"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83343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770FC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A416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85°28'32"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0255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9D8CA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18.480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292B4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29.837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6EDEF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7.231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DB50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9+012.302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C79A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9+030.781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7D08BE"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9+042.138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5282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A1624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4484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731,010.605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A4C2B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8,525,046.737</w:t>
            </w:r>
          </w:p>
        </w:tc>
      </w:tr>
      <w:tr w:rsidR="0068176C" w:rsidRPr="007F0765" w14:paraId="0FC0565E"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BEE7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B8C85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EA79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85°13'41”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3145E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53724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18.400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53F2F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29.750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9C102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7.176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243A4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9+042.138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DD742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9+060.538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BE41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9+071.888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D383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C24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B88B4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731,040.304</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C3708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8,525,024.871</w:t>
            </w:r>
          </w:p>
        </w:tc>
      </w:tr>
      <w:tr w:rsidR="0068176C" w:rsidRPr="007F0765" w14:paraId="4CA972A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BE028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73DF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5588F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25°20'45”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73140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D393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BF28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30.966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7D0C9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1.748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5816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9+115.084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B887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9+130.825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8E518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9+146.050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DBB43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9C7C18"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51525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731,091.178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1D111E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8,525,083.118</w:t>
            </w:r>
          </w:p>
        </w:tc>
      </w:tr>
      <w:tr w:rsidR="0068176C" w:rsidRPr="007F0765" w14:paraId="308A9359"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A094C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77E5B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B568E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40°48'20"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85B59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435A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18.598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DA17C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35.610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D0547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3.347</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615A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9+224.518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9842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9+243.115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0EC5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9+260.127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B6B0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8F4A3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1FC9B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731,194.613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B8B78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8,525,128.134</w:t>
            </w:r>
          </w:p>
        </w:tc>
      </w:tr>
      <w:tr w:rsidR="0068176C" w:rsidRPr="007F0765" w14:paraId="4BFE2791"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438F6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0521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BAB5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96°32'25"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DCFA7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80CF1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20.182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9674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30.329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FAE2A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9.043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D737A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9+324.941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7FDB7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9+345.122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13222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9+355.270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0DA7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9949C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B0A65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731,293.526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E96CC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8,525,097.352</w:t>
            </w:r>
          </w:p>
        </w:tc>
      </w:tr>
      <w:tr w:rsidR="0068176C" w:rsidRPr="007F0765" w14:paraId="6C8CDB45"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0BE6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D4DE9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6B2B3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92°22'44”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5664614"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9B70B0"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18.763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3F00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29.022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110A13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8.001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054B51"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9+355.272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272CD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9+374.035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FA90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9+384.294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33DCCA"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A9FF3C"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B1701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731,277.793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25431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8,525,061.724</w:t>
            </w:r>
          </w:p>
        </w:tc>
      </w:tr>
      <w:tr w:rsidR="0068176C" w:rsidRPr="007F0765" w14:paraId="79A361EB" w14:textId="77777777" w:rsidTr="0068176C">
        <w:trPr>
          <w:trHeight w:val="288"/>
        </w:trPr>
        <w:tc>
          <w:tcPr>
            <w:tcW w:w="42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C4E345"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4FBBF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EB9E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111°18'11”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276499"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4B235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988232"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DC7A91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AE5A47"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CA32DB"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0DC5F6"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9+430.649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70565F"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AE327C" w14:textId="77777777" w:rsidR="00A16D9F" w:rsidRPr="007F0765" w:rsidRDefault="00A16D9F" w:rsidP="00A16D9F">
            <w:pPr>
              <w:jc w:val="center"/>
              <w:rPr>
                <w:rFonts w:asciiTheme="majorHAnsi" w:eastAsia="Calibri" w:hAnsiTheme="majorHAnsi" w:cstheme="majorHAnsi"/>
                <w:color w:val="000000"/>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D38CD3"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731,219.368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CE4E6D" w14:textId="77777777" w:rsidR="00A16D9F" w:rsidRPr="007F0765" w:rsidRDefault="00A16D9F" w:rsidP="00A16D9F">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8,525,090.480</w:t>
            </w:r>
          </w:p>
        </w:tc>
      </w:tr>
    </w:tbl>
    <w:p w14:paraId="1FFD2943" w14:textId="2F67A779" w:rsidR="000933AA" w:rsidRDefault="000933AA" w:rsidP="00BB5F42">
      <w:pPr>
        <w:pStyle w:val="Normal0"/>
      </w:pPr>
    </w:p>
    <w:p w14:paraId="3690932A" w14:textId="77777777" w:rsidR="000933AA" w:rsidRDefault="000933AA">
      <w:pPr>
        <w:rPr>
          <w:rFonts w:ascii="Calibri" w:eastAsia="Times New Roman" w:hAnsi="Calibri" w:cs="Calibri"/>
        </w:rPr>
      </w:pPr>
      <w:r>
        <w:br w:type="page"/>
      </w:r>
    </w:p>
    <w:p w14:paraId="681A02AB" w14:textId="5769B386" w:rsidR="00457A67" w:rsidRDefault="00457A67" w:rsidP="00457A67">
      <w:pPr>
        <w:pStyle w:val="Descripcin"/>
        <w:spacing w:line="276" w:lineRule="auto"/>
        <w:rPr>
          <w:rFonts w:ascii="Calibri" w:hAnsi="Calibri"/>
          <w:sz w:val="22"/>
          <w:szCs w:val="22"/>
        </w:rPr>
      </w:pPr>
      <w:r>
        <w:rPr>
          <w:rFonts w:ascii="Calibri" w:hAnsi="Calibri"/>
          <w:sz w:val="22"/>
          <w:szCs w:val="22"/>
        </w:rPr>
        <w:lastRenderedPageBreak/>
        <w:t>tabla 4.C</w:t>
      </w:r>
      <w:r w:rsidR="0068176C">
        <w:rPr>
          <w:rFonts w:ascii="Calibri" w:hAnsi="Calibri"/>
          <w:sz w:val="22"/>
          <w:szCs w:val="22"/>
        </w:rPr>
        <w:t>.</w:t>
      </w:r>
      <w:r>
        <w:rPr>
          <w:rFonts w:ascii="Calibri" w:hAnsi="Calibri"/>
          <w:sz w:val="22"/>
          <w:szCs w:val="22"/>
        </w:rPr>
        <w:t xml:space="preserve">  CAMINO DE ACCESO ESTACIÓN ABRA CHOQUEQUIRAO - MACH</w:t>
      </w:r>
      <w:r w:rsidRPr="00CC1F05">
        <w:rPr>
          <w:rFonts w:ascii="Calibri" w:hAnsi="Calibri"/>
          <w:sz w:val="22"/>
          <w:szCs w:val="22"/>
        </w:rPr>
        <w:t xml:space="preserve">. </w:t>
      </w:r>
    </w:p>
    <w:p w14:paraId="48E54232" w14:textId="77777777" w:rsidR="00457A67" w:rsidRPr="00CC1F05" w:rsidRDefault="00457A67" w:rsidP="00457A67">
      <w:pPr>
        <w:spacing w:line="276" w:lineRule="auto"/>
        <w:rPr>
          <w:rFonts w:ascii="Calibri" w:eastAsia="Calibri" w:hAnsi="Calibri" w:cs="Calibri"/>
        </w:rPr>
      </w:pPr>
    </w:p>
    <w:tbl>
      <w:tblPr>
        <w:tblStyle w:val="265"/>
        <w:tblW w:w="8505" w:type="dxa"/>
        <w:jc w:val="right"/>
        <w:tblInd w:w="0" w:type="dxa"/>
        <w:tblLayout w:type="fixed"/>
        <w:tblLook w:val="0400" w:firstRow="0" w:lastRow="0" w:firstColumn="0" w:lastColumn="0" w:noHBand="0" w:noVBand="1"/>
      </w:tblPr>
      <w:tblGrid>
        <w:gridCol w:w="1418"/>
        <w:gridCol w:w="1418"/>
        <w:gridCol w:w="1418"/>
        <w:gridCol w:w="1417"/>
        <w:gridCol w:w="1417"/>
        <w:gridCol w:w="1417"/>
      </w:tblGrid>
      <w:tr w:rsidR="00457A67" w:rsidRPr="00CC1F05" w14:paraId="33F38E40"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295D78"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507B8CA4"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A4F5EF"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Camino de Acceso Estación Abra Choquequirao – MACH</w:t>
            </w:r>
          </w:p>
        </w:tc>
      </w:tr>
      <w:tr w:rsidR="00457A67" w:rsidRPr="00CC1F05" w14:paraId="49B51243"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CF5FF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A198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68B1F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808FB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416861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F242BE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32461F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8A69E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0DD3C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hAnsi="Calibri"/>
                <w:color w:val="000000"/>
                <w:sz w:val="22"/>
                <w:szCs w:val="22"/>
              </w:rPr>
              <w:t>730195.72</w:t>
            </w:r>
            <w:r>
              <w:rPr>
                <w:rFonts w:ascii="Calibri" w:hAnsi="Calibri"/>
                <w:color w:val="000000"/>
                <w:sz w:val="22"/>
                <w:szCs w:val="22"/>
              </w:rPr>
              <w:t>20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481713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8519283.9256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E176F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9CD03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730404.8249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ECD7E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8519048.7400</w:t>
            </w:r>
          </w:p>
        </w:tc>
      </w:tr>
      <w:tr w:rsidR="00457A67" w:rsidRPr="00CC1F05" w14:paraId="6173C9D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CDE8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5FB4E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hAnsi="Calibri"/>
                <w:color w:val="000000"/>
                <w:sz w:val="22"/>
                <w:szCs w:val="22"/>
              </w:rPr>
              <w:t>730268.42</w:t>
            </w:r>
            <w:r>
              <w:rPr>
                <w:rFonts w:ascii="Calibri" w:hAnsi="Calibri"/>
                <w:color w:val="000000"/>
                <w:sz w:val="22"/>
                <w:szCs w:val="22"/>
              </w:rPr>
              <w:t>14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AAEA0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8519299.4964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E1545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6DEEE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730353.8791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73684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8519003.8143</w:t>
            </w:r>
          </w:p>
        </w:tc>
      </w:tr>
      <w:tr w:rsidR="00457A67" w:rsidRPr="00CC1F05" w14:paraId="1BCEFCBB"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137F2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27FB2"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730330.7228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E998C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8519301.7612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97885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57A28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730322.3436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0375E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8518974.4545</w:t>
            </w:r>
          </w:p>
        </w:tc>
      </w:tr>
      <w:tr w:rsidR="00457A67" w:rsidRPr="00CC1F05" w14:paraId="0B2EEEF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C2554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4F0367"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730395.9899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242424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8519317.8415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F5C96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A3B666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730267.6304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D55BC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8518936.7595</w:t>
            </w:r>
          </w:p>
        </w:tc>
      </w:tr>
      <w:tr w:rsidR="00457A67" w:rsidRPr="00CC1F05" w14:paraId="19E473F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92FF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61D0E8"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730458.6262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983F9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8519341.8470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CBEEC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9506B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730234.9204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30597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8518906.8631</w:t>
            </w:r>
          </w:p>
        </w:tc>
      </w:tr>
      <w:tr w:rsidR="00457A67" w:rsidRPr="00CC1F05" w14:paraId="477CCC7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4250E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269D43"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730560.8662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6BEA2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8519352.6733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03D48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FE305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730226.8200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92456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8518874.5414</w:t>
            </w:r>
          </w:p>
        </w:tc>
      </w:tr>
      <w:tr w:rsidR="00457A67" w:rsidRPr="00CC1F05" w14:paraId="5938F04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BDDC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BA8B90"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730417.1302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88CF4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8519269.7242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83D67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C6811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730215.1800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754547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8518877.4586</w:t>
            </w:r>
          </w:p>
        </w:tc>
      </w:tr>
      <w:tr w:rsidR="00457A67" w:rsidRPr="00CC1F05" w14:paraId="0B16C024"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67DE7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CD636D"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hAnsi="Calibri"/>
                <w:color w:val="000000"/>
                <w:sz w:val="22"/>
                <w:szCs w:val="22"/>
              </w:rPr>
              <w:t>730373.7202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C267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8519219.7484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50B685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AF6AD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730224.1584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A17BC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8518913.2839</w:t>
            </w:r>
          </w:p>
        </w:tc>
      </w:tr>
      <w:tr w:rsidR="00457A67" w:rsidRPr="00CC1F05" w14:paraId="5EF3DFC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D5CAB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CDC92E"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730398.2083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ABE49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8519177.3606</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6D87D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D0211A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730269.8943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6C5B3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8518955.0857</w:t>
            </w:r>
          </w:p>
        </w:tc>
      </w:tr>
      <w:tr w:rsidR="00457A67" w:rsidRPr="00CC1F05" w14:paraId="10E5CF89"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DD129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1DF168"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730461.9345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C30D7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8519193.3242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E8F4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P23</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F25A1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730220.3374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77E05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8519204.3992</w:t>
            </w:r>
          </w:p>
        </w:tc>
      </w:tr>
      <w:tr w:rsidR="00457A67" w:rsidRPr="00CC1F05" w14:paraId="2EE9EBB8"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57662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F6C687"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730513.9613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2AF32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8519234.6927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BEC4E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P24</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95CD4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730200.8840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F10F7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8519200.7894</w:t>
            </w:r>
          </w:p>
        </w:tc>
      </w:tr>
      <w:tr w:rsidR="00457A67" w:rsidRPr="00CC1F05" w14:paraId="361DAF64"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04B5E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C24FE1" w14:textId="77777777" w:rsidR="00457A67" w:rsidRPr="00CC1F05" w:rsidRDefault="00457A67" w:rsidP="00457A67">
            <w:pPr>
              <w:spacing w:before="0" w:after="0"/>
              <w:jc w:val="center"/>
              <w:rPr>
                <w:rFonts w:ascii="Calibri" w:eastAsia="Calibri" w:hAnsi="Calibri" w:cs="Calibri"/>
                <w:color w:val="000000"/>
                <w:sz w:val="22"/>
                <w:szCs w:val="22"/>
              </w:rPr>
            </w:pPr>
            <w:r w:rsidRPr="008A735E">
              <w:rPr>
                <w:rFonts w:ascii="Calibri" w:eastAsia="Calibri" w:hAnsi="Calibri" w:cs="Calibri"/>
                <w:color w:val="000000"/>
                <w:sz w:val="22"/>
                <w:szCs w:val="22"/>
              </w:rPr>
              <w:t>730603.5611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37F4E1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8519263.2741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E3C30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P25</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D313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730186.0000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14FC3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8519281.0000</w:t>
            </w:r>
          </w:p>
        </w:tc>
      </w:tr>
      <w:tr w:rsidR="00457A67" w:rsidRPr="00CC1F05" w14:paraId="2F61DC8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E534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2E0E0F" w14:textId="77777777" w:rsidR="00457A67" w:rsidRPr="00CC1F05" w:rsidRDefault="00457A67" w:rsidP="00457A67">
            <w:pPr>
              <w:spacing w:before="0" w:after="0"/>
              <w:jc w:val="center"/>
              <w:rPr>
                <w:rFonts w:ascii="Calibri" w:eastAsia="Calibri" w:hAnsi="Calibri" w:cs="Calibri"/>
                <w:color w:val="000000"/>
                <w:sz w:val="22"/>
                <w:szCs w:val="22"/>
              </w:rPr>
            </w:pPr>
            <w:r w:rsidRPr="004266B2">
              <w:rPr>
                <w:rFonts w:ascii="Calibri" w:eastAsia="Calibri" w:hAnsi="Calibri" w:cs="Calibri"/>
                <w:color w:val="000000"/>
                <w:sz w:val="22"/>
                <w:szCs w:val="22"/>
              </w:rPr>
              <w:t>730453.5217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DE169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8519101.9140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6314663B"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20A2D00F" w14:textId="77777777" w:rsidR="00457A67" w:rsidRPr="00CC1F05"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tcPr>
          <w:p w14:paraId="2114A099" w14:textId="77777777" w:rsidR="00457A67" w:rsidRPr="00CC1F05" w:rsidRDefault="00457A67" w:rsidP="00457A67">
            <w:pPr>
              <w:spacing w:before="0" w:after="0"/>
              <w:jc w:val="center"/>
              <w:rPr>
                <w:rFonts w:ascii="Calibri" w:eastAsia="Calibri" w:hAnsi="Calibri" w:cs="Calibri"/>
                <w:color w:val="000000"/>
                <w:sz w:val="22"/>
                <w:szCs w:val="22"/>
              </w:rPr>
            </w:pPr>
          </w:p>
        </w:tc>
      </w:tr>
      <w:tr w:rsidR="00457A67" w:rsidRPr="00CC1F05" w14:paraId="2FADB34F"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571EA8" w14:textId="77777777" w:rsidR="00457A67" w:rsidRPr="00CC1F05" w:rsidRDefault="00457A67" w:rsidP="00457A67">
            <w:pPr>
              <w:spacing w:before="0" w:after="0"/>
              <w:jc w:val="center"/>
              <w:rPr>
                <w:rFonts w:ascii="Calibri" w:eastAsia="Calibri" w:hAnsi="Calibri" w:cs="Calibri"/>
                <w:sz w:val="22"/>
                <w:szCs w:val="22"/>
              </w:rPr>
            </w:pPr>
            <w:r w:rsidRPr="00CC1F05">
              <w:rPr>
                <w:rFonts w:ascii="Calibri" w:eastAsia="Calibri" w:hAnsi="Calibri" w:cs="Calibri"/>
                <w:color w:val="000000"/>
                <w:sz w:val="22"/>
                <w:szCs w:val="22"/>
              </w:rPr>
              <w:t>Área (m2)</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40028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73, 655.</w:t>
            </w:r>
            <w:r>
              <w:rPr>
                <w:rFonts w:ascii="Calibri" w:eastAsia="Calibri" w:hAnsi="Calibri" w:cs="Calibri"/>
                <w:color w:val="000000"/>
                <w:sz w:val="22"/>
                <w:szCs w:val="22"/>
              </w:rPr>
              <w:t xml:space="preserve">4941  </w:t>
            </w:r>
          </w:p>
        </w:tc>
      </w:tr>
      <w:tr w:rsidR="00457A67" w:rsidRPr="00CC1F05" w14:paraId="6CC58B65"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C4B55E"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E9E8E" w14:textId="77777777" w:rsidR="00457A67" w:rsidRPr="00CC1F05" w:rsidRDefault="00457A67" w:rsidP="00457A67">
            <w:pPr>
              <w:jc w:val="center"/>
              <w:rPr>
                <w:rFonts w:ascii="Calibri" w:eastAsia="Calibri" w:hAnsi="Calibri" w:cs="Calibri"/>
                <w:color w:val="000000"/>
              </w:rPr>
            </w:pPr>
            <w:r w:rsidRPr="005859DF">
              <w:rPr>
                <w:rFonts w:ascii="Calibri" w:eastAsia="Calibri" w:hAnsi="Calibri" w:cs="Calibri"/>
                <w:color w:val="000000"/>
                <w:sz w:val="22"/>
                <w:szCs w:val="22"/>
              </w:rPr>
              <w:t>1,905.2486</w:t>
            </w:r>
          </w:p>
        </w:tc>
      </w:tr>
    </w:tbl>
    <w:p w14:paraId="71818B6A" w14:textId="77777777" w:rsidR="00457A67" w:rsidRDefault="00457A67" w:rsidP="00457A67">
      <w:pPr>
        <w:spacing w:line="276" w:lineRule="auto"/>
        <w:rPr>
          <w:rFonts w:ascii="Calibri" w:eastAsia="Calibri" w:hAnsi="Calibri" w:cs="Calibri"/>
        </w:rPr>
      </w:pPr>
    </w:p>
    <w:p w14:paraId="11CE46BD" w14:textId="77777777" w:rsidR="00457A67" w:rsidRDefault="00457A67" w:rsidP="00457A67">
      <w:pPr>
        <w:spacing w:line="276" w:lineRule="auto"/>
        <w:rPr>
          <w:rFonts w:ascii="Calibri" w:eastAsia="Calibri" w:hAnsi="Calibri" w:cs="Calibri"/>
        </w:rPr>
      </w:pPr>
    </w:p>
    <w:p w14:paraId="10CA9A02" w14:textId="4DA15D41" w:rsidR="00457A67" w:rsidRPr="00BB5F42"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5</w:t>
      </w:r>
      <w:r w:rsidRPr="00CC1F05">
        <w:rPr>
          <w:rFonts w:ascii="Calibri" w:hAnsi="Calibri"/>
          <w:sz w:val="22"/>
          <w:szCs w:val="22"/>
        </w:rPr>
        <w:t xml:space="preserve">. </w:t>
      </w:r>
      <w:r>
        <w:rPr>
          <w:rFonts w:ascii="Calibri" w:hAnsi="Calibri"/>
          <w:sz w:val="22"/>
          <w:szCs w:val="22"/>
        </w:rPr>
        <w:t xml:space="preserve">ÁREAS Y LOCALIZACIÓN DE LAS TORRES </w:t>
      </w:r>
      <w:r w:rsidRPr="00483CAF">
        <w:rPr>
          <w:rFonts w:ascii="Calibri" w:hAnsi="Calibri"/>
          <w:sz w:val="22"/>
          <w:szCs w:val="22"/>
        </w:rPr>
        <w:t xml:space="preserve">UBICADAS ENTRE </w:t>
      </w:r>
      <w:r>
        <w:rPr>
          <w:rFonts w:ascii="Calibri" w:hAnsi="Calibri"/>
          <w:sz w:val="22"/>
          <w:szCs w:val="22"/>
        </w:rPr>
        <w:t xml:space="preserve">LAS ESTACIONES </w:t>
      </w:r>
      <w:r w:rsidRPr="00483CAF">
        <w:rPr>
          <w:rFonts w:ascii="Calibri" w:hAnsi="Calibri"/>
          <w:sz w:val="22"/>
          <w:szCs w:val="22"/>
        </w:rPr>
        <w:t>SAN JUAN – MAIZAL Y MAIZAL – ABRA CHOQUEQUIRAO</w:t>
      </w:r>
    </w:p>
    <w:p w14:paraId="4782F50D" w14:textId="77777777" w:rsidR="00457A67" w:rsidRDefault="00457A67" w:rsidP="00457A67">
      <w:pPr>
        <w:spacing w:line="276" w:lineRule="auto"/>
        <w:rPr>
          <w:rFonts w:ascii="Calibri" w:eastAsia="Calibri" w:hAnsi="Calibri" w:cs="Calibri"/>
        </w:rPr>
      </w:pPr>
    </w:p>
    <w:p w14:paraId="05FFC1A7" w14:textId="77777777" w:rsidR="00457A67" w:rsidRPr="001B62C4" w:rsidRDefault="00457A67" w:rsidP="00457A67">
      <w:pPr>
        <w:pStyle w:val="Descripcin"/>
        <w:spacing w:line="276" w:lineRule="auto"/>
        <w:rPr>
          <w:rFonts w:ascii="Calibri" w:hAnsi="Calibri"/>
        </w:rPr>
      </w:pPr>
      <w:r>
        <w:rPr>
          <w:rFonts w:ascii="Calibri" w:hAnsi="Calibri"/>
          <w:sz w:val="22"/>
          <w:szCs w:val="22"/>
        </w:rPr>
        <w:t xml:space="preserve">TABLA 5.A </w:t>
      </w:r>
      <w:r w:rsidRPr="001B00AA">
        <w:rPr>
          <w:rFonts w:ascii="Calibri" w:hAnsi="Calibri"/>
          <w:sz w:val="22"/>
          <w:szCs w:val="22"/>
        </w:rPr>
        <w:t>TORRE</w:t>
      </w:r>
      <w:r>
        <w:rPr>
          <w:rFonts w:ascii="Calibri" w:hAnsi="Calibri"/>
          <w:sz w:val="22"/>
          <w:szCs w:val="22"/>
        </w:rPr>
        <w:t xml:space="preserve"> ASJ-01</w:t>
      </w:r>
    </w:p>
    <w:p w14:paraId="3FB4D38C" w14:textId="77777777" w:rsidR="00457A67" w:rsidRPr="00CC1F05"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6E0EEF2C"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17247E53" w14:textId="77777777" w:rsidR="00457A67" w:rsidRPr="00CC1F05" w:rsidRDefault="00457A67" w:rsidP="00457A67">
            <w:pPr>
              <w:jc w:val="center"/>
              <w:rPr>
                <w:rFonts w:ascii="Calibri" w:eastAsia="Calibri" w:hAnsi="Calibri" w:cs="Calibri"/>
                <w:b/>
                <w:i/>
                <w:color w:val="000000"/>
              </w:rPr>
            </w:pPr>
            <w:bookmarkStart w:id="8" w:name="_Hlk189151798"/>
            <w:r w:rsidRPr="00CC1F05">
              <w:rPr>
                <w:rFonts w:ascii="Calibri" w:eastAsia="Calibri" w:hAnsi="Calibri" w:cs="Calibri"/>
                <w:b/>
                <w:i/>
                <w:color w:val="000000"/>
                <w:sz w:val="22"/>
                <w:szCs w:val="22"/>
              </w:rPr>
              <w:t>Cuadro de Coordenadas UTM WGS 84</w:t>
            </w:r>
          </w:p>
        </w:tc>
      </w:tr>
      <w:tr w:rsidR="00457A67" w:rsidRPr="00CC1F05" w14:paraId="167F7532"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4DFA4D97"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ASJ-01</w:t>
            </w:r>
          </w:p>
        </w:tc>
      </w:tr>
      <w:tr w:rsidR="00457A67" w:rsidRPr="00CC1F05" w14:paraId="49BF346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2BFC2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019F137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4EB9D22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44909A6D"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74A0E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7F16C3E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731101.9877</w:t>
            </w:r>
          </w:p>
        </w:tc>
        <w:tc>
          <w:tcPr>
            <w:tcW w:w="1405" w:type="dxa"/>
            <w:tcBorders>
              <w:top w:val="nil"/>
              <w:left w:val="single" w:sz="4" w:space="0" w:color="auto"/>
              <w:bottom w:val="single" w:sz="4" w:space="0" w:color="000000"/>
              <w:right w:val="single" w:sz="4" w:space="0" w:color="000000"/>
            </w:tcBorders>
            <w:vAlign w:val="bottom"/>
          </w:tcPr>
          <w:p w14:paraId="276764BE"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8524980.5927</w:t>
            </w:r>
          </w:p>
        </w:tc>
      </w:tr>
      <w:tr w:rsidR="00457A67" w:rsidRPr="00CC1F05" w14:paraId="0366ACBF"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A81136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44D30F8B"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731088.3160</w:t>
            </w:r>
          </w:p>
        </w:tc>
        <w:tc>
          <w:tcPr>
            <w:tcW w:w="1405" w:type="dxa"/>
            <w:tcBorders>
              <w:top w:val="nil"/>
              <w:left w:val="single" w:sz="4" w:space="0" w:color="auto"/>
              <w:bottom w:val="single" w:sz="4" w:space="0" w:color="000000"/>
              <w:right w:val="single" w:sz="4" w:space="0" w:color="000000"/>
            </w:tcBorders>
            <w:vAlign w:val="bottom"/>
          </w:tcPr>
          <w:p w14:paraId="70082454"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8524965.9953</w:t>
            </w:r>
          </w:p>
        </w:tc>
      </w:tr>
      <w:tr w:rsidR="00457A67" w:rsidRPr="00CC1F05" w14:paraId="62650E4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FDC32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66355A21"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731073.7186</w:t>
            </w:r>
          </w:p>
        </w:tc>
        <w:tc>
          <w:tcPr>
            <w:tcW w:w="1405" w:type="dxa"/>
            <w:tcBorders>
              <w:top w:val="nil"/>
              <w:left w:val="single" w:sz="4" w:space="0" w:color="auto"/>
              <w:bottom w:val="single" w:sz="4" w:space="0" w:color="000000"/>
              <w:right w:val="single" w:sz="4" w:space="0" w:color="000000"/>
            </w:tcBorders>
            <w:vAlign w:val="bottom"/>
          </w:tcPr>
          <w:p w14:paraId="27CF9A74"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8524979.6670</w:t>
            </w:r>
          </w:p>
        </w:tc>
      </w:tr>
      <w:tr w:rsidR="00457A67" w:rsidRPr="00CC1F05" w14:paraId="7B8AF88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59E1DE8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4923FE33"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731087.3903</w:t>
            </w:r>
          </w:p>
        </w:tc>
        <w:tc>
          <w:tcPr>
            <w:tcW w:w="1405" w:type="dxa"/>
            <w:tcBorders>
              <w:top w:val="nil"/>
              <w:left w:val="single" w:sz="4" w:space="0" w:color="auto"/>
              <w:bottom w:val="single" w:sz="4" w:space="0" w:color="000000"/>
              <w:right w:val="single" w:sz="4" w:space="0" w:color="000000"/>
            </w:tcBorders>
            <w:vAlign w:val="bottom"/>
          </w:tcPr>
          <w:p w14:paraId="04DBB3BC"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8524994.2644</w:t>
            </w:r>
          </w:p>
        </w:tc>
      </w:tr>
      <w:tr w:rsidR="00457A67" w:rsidRPr="00CC1F05" w14:paraId="4F098D65"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D6D4CF4"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052DF480"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3D992D8F"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C822CB0"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68F94356"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bookmarkEnd w:id="8"/>
    </w:tbl>
    <w:p w14:paraId="38758F55" w14:textId="77777777" w:rsidR="00457A67" w:rsidRDefault="00457A67" w:rsidP="00457A67">
      <w:pPr>
        <w:spacing w:line="276" w:lineRule="auto"/>
        <w:rPr>
          <w:rFonts w:ascii="Calibri" w:eastAsia="Calibri" w:hAnsi="Calibri" w:cs="Calibri"/>
        </w:rPr>
      </w:pPr>
    </w:p>
    <w:p w14:paraId="11087531" w14:textId="0AAFBFB2" w:rsidR="00457A67" w:rsidRDefault="00457A67" w:rsidP="00457A67">
      <w:pPr>
        <w:spacing w:line="276" w:lineRule="auto"/>
        <w:rPr>
          <w:rFonts w:ascii="Calibri" w:eastAsia="Calibri" w:hAnsi="Calibri" w:cs="Calibri"/>
        </w:rPr>
      </w:pPr>
    </w:p>
    <w:p w14:paraId="1359C876" w14:textId="766C2491" w:rsidR="000933AA" w:rsidRDefault="000933AA" w:rsidP="00457A67">
      <w:pPr>
        <w:spacing w:line="276" w:lineRule="auto"/>
        <w:rPr>
          <w:rFonts w:ascii="Calibri" w:eastAsia="Calibri" w:hAnsi="Calibri" w:cs="Calibri"/>
        </w:rPr>
      </w:pPr>
    </w:p>
    <w:p w14:paraId="2DC3B661" w14:textId="77777777" w:rsidR="000933AA" w:rsidRDefault="000933AA" w:rsidP="00457A67">
      <w:pPr>
        <w:spacing w:line="276" w:lineRule="auto"/>
        <w:rPr>
          <w:rFonts w:ascii="Calibri" w:eastAsia="Calibri" w:hAnsi="Calibri" w:cs="Calibri"/>
        </w:rPr>
      </w:pPr>
    </w:p>
    <w:p w14:paraId="0C848CF4" w14:textId="77777777" w:rsidR="00457A67" w:rsidRPr="001B00AA" w:rsidRDefault="00457A67" w:rsidP="00457A67">
      <w:pPr>
        <w:pStyle w:val="Descripcin"/>
        <w:spacing w:line="276" w:lineRule="auto"/>
        <w:rPr>
          <w:rFonts w:ascii="Calibri" w:hAnsi="Calibri"/>
        </w:rPr>
      </w:pPr>
      <w:r>
        <w:rPr>
          <w:rFonts w:ascii="Calibri" w:hAnsi="Calibri"/>
          <w:sz w:val="22"/>
          <w:szCs w:val="22"/>
        </w:rPr>
        <w:lastRenderedPageBreak/>
        <w:t xml:space="preserve">TABLA 5.B </w:t>
      </w:r>
      <w:r w:rsidRPr="00483CAF">
        <w:rPr>
          <w:rFonts w:ascii="Calibri" w:hAnsi="Calibri"/>
          <w:sz w:val="22"/>
          <w:szCs w:val="22"/>
        </w:rPr>
        <w:t>TORRE</w:t>
      </w:r>
      <w:r>
        <w:rPr>
          <w:rFonts w:ascii="Calibri" w:hAnsi="Calibri"/>
          <w:sz w:val="22"/>
          <w:szCs w:val="22"/>
        </w:rPr>
        <w:t xml:space="preserve"> ASJ-02</w:t>
      </w:r>
    </w:p>
    <w:p w14:paraId="5420304D"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328F42D0"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71E9D4A2"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35F330C4"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3D02F80F"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ASJ-02</w:t>
            </w:r>
          </w:p>
        </w:tc>
      </w:tr>
      <w:tr w:rsidR="00457A67" w:rsidRPr="00CC1F05" w14:paraId="148E6E9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DA2967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7172FCB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6356D0A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263C2C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735FA0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2CC6214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730917.7567</w:t>
            </w:r>
          </w:p>
        </w:tc>
        <w:tc>
          <w:tcPr>
            <w:tcW w:w="1405" w:type="dxa"/>
            <w:tcBorders>
              <w:top w:val="nil"/>
              <w:left w:val="single" w:sz="4" w:space="0" w:color="auto"/>
              <w:bottom w:val="single" w:sz="4" w:space="0" w:color="000000"/>
              <w:right w:val="single" w:sz="4" w:space="0" w:color="000000"/>
            </w:tcBorders>
            <w:vAlign w:val="bottom"/>
          </w:tcPr>
          <w:p w14:paraId="47F7A43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8524783.7590</w:t>
            </w:r>
          </w:p>
        </w:tc>
      </w:tr>
      <w:tr w:rsidR="00457A67" w:rsidRPr="00CC1F05" w14:paraId="30C8FA5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833016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67C9114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730904.0850</w:t>
            </w:r>
          </w:p>
        </w:tc>
        <w:tc>
          <w:tcPr>
            <w:tcW w:w="1405" w:type="dxa"/>
            <w:tcBorders>
              <w:top w:val="nil"/>
              <w:left w:val="single" w:sz="4" w:space="0" w:color="auto"/>
              <w:bottom w:val="single" w:sz="4" w:space="0" w:color="000000"/>
              <w:right w:val="single" w:sz="4" w:space="0" w:color="000000"/>
            </w:tcBorders>
            <w:vAlign w:val="bottom"/>
          </w:tcPr>
          <w:p w14:paraId="27A99BC1"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8524769.1616</w:t>
            </w:r>
          </w:p>
        </w:tc>
      </w:tr>
      <w:tr w:rsidR="00457A67" w:rsidRPr="00CC1F05" w14:paraId="2361EDE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939343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12954D45"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730889.4876</w:t>
            </w:r>
          </w:p>
        </w:tc>
        <w:tc>
          <w:tcPr>
            <w:tcW w:w="1405" w:type="dxa"/>
            <w:tcBorders>
              <w:top w:val="nil"/>
              <w:left w:val="single" w:sz="4" w:space="0" w:color="auto"/>
              <w:bottom w:val="single" w:sz="4" w:space="0" w:color="000000"/>
              <w:right w:val="single" w:sz="4" w:space="0" w:color="000000"/>
            </w:tcBorders>
            <w:vAlign w:val="bottom"/>
          </w:tcPr>
          <w:p w14:paraId="04C20C63"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8524782.8334</w:t>
            </w:r>
          </w:p>
        </w:tc>
      </w:tr>
      <w:tr w:rsidR="00457A67" w:rsidRPr="00CC1F05" w14:paraId="5235E777"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EF0C31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7579DD3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730903.1593</w:t>
            </w:r>
          </w:p>
        </w:tc>
        <w:tc>
          <w:tcPr>
            <w:tcW w:w="1405" w:type="dxa"/>
            <w:tcBorders>
              <w:top w:val="nil"/>
              <w:left w:val="single" w:sz="4" w:space="0" w:color="auto"/>
              <w:bottom w:val="single" w:sz="4" w:space="0" w:color="000000"/>
              <w:right w:val="single" w:sz="4" w:space="0" w:color="000000"/>
            </w:tcBorders>
            <w:vAlign w:val="bottom"/>
          </w:tcPr>
          <w:p w14:paraId="5F2965DE"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8524797.4308</w:t>
            </w:r>
          </w:p>
        </w:tc>
      </w:tr>
      <w:tr w:rsidR="00457A67" w:rsidRPr="00CC1F05" w14:paraId="7ABF3200"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8FD96B2"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38B1C08"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30D75D15"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3EE14B3"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2F9CE3AE"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511AC46C" w14:textId="77777777" w:rsidR="00457A67" w:rsidRDefault="00457A67" w:rsidP="00457A67">
      <w:pPr>
        <w:spacing w:line="276" w:lineRule="auto"/>
        <w:rPr>
          <w:rFonts w:ascii="Calibri" w:eastAsia="Calibri" w:hAnsi="Calibri" w:cs="Calibri"/>
        </w:rPr>
      </w:pPr>
    </w:p>
    <w:p w14:paraId="0AEE3C41" w14:textId="77777777" w:rsidR="00457A67" w:rsidRDefault="00457A67" w:rsidP="00457A67">
      <w:pPr>
        <w:spacing w:line="276" w:lineRule="auto"/>
        <w:rPr>
          <w:rFonts w:ascii="Calibri" w:eastAsia="Calibri" w:hAnsi="Calibri" w:cs="Calibri"/>
        </w:rPr>
      </w:pPr>
    </w:p>
    <w:p w14:paraId="708A34FE"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 xml:space="preserve">TABLA 5.C </w:t>
      </w:r>
      <w:r w:rsidRPr="00483CAF">
        <w:rPr>
          <w:rFonts w:ascii="Calibri" w:hAnsi="Calibri"/>
          <w:sz w:val="22"/>
          <w:szCs w:val="22"/>
        </w:rPr>
        <w:t>TORRE</w:t>
      </w:r>
      <w:r>
        <w:rPr>
          <w:rFonts w:ascii="Calibri" w:hAnsi="Calibri"/>
          <w:sz w:val="22"/>
          <w:szCs w:val="22"/>
        </w:rPr>
        <w:t xml:space="preserve"> ASJ-03</w:t>
      </w:r>
    </w:p>
    <w:p w14:paraId="011FFB00"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12634EE5"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42ECD2E4"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6C019A05"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06D672DF"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ASJ-03</w:t>
            </w:r>
          </w:p>
        </w:tc>
      </w:tr>
      <w:tr w:rsidR="00457A67" w:rsidRPr="00CC1F05" w14:paraId="00A3E41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47E96D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576CCA6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039EDD7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03435BE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A7244D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7CC79098"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730677.1679</w:t>
            </w:r>
          </w:p>
        </w:tc>
        <w:tc>
          <w:tcPr>
            <w:tcW w:w="1405" w:type="dxa"/>
            <w:tcBorders>
              <w:top w:val="nil"/>
              <w:left w:val="single" w:sz="4" w:space="0" w:color="auto"/>
              <w:bottom w:val="single" w:sz="4" w:space="0" w:color="000000"/>
              <w:right w:val="single" w:sz="4" w:space="0" w:color="000000"/>
            </w:tcBorders>
            <w:vAlign w:val="bottom"/>
          </w:tcPr>
          <w:p w14:paraId="0F030E2C"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8524526.8897</w:t>
            </w:r>
          </w:p>
        </w:tc>
      </w:tr>
      <w:tr w:rsidR="00457A67" w:rsidRPr="00CC1F05" w14:paraId="79419106"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A2A071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495F949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730663.4962</w:t>
            </w:r>
          </w:p>
        </w:tc>
        <w:tc>
          <w:tcPr>
            <w:tcW w:w="1405" w:type="dxa"/>
            <w:tcBorders>
              <w:top w:val="nil"/>
              <w:left w:val="single" w:sz="4" w:space="0" w:color="auto"/>
              <w:bottom w:val="single" w:sz="4" w:space="0" w:color="000000"/>
              <w:right w:val="single" w:sz="4" w:space="0" w:color="000000"/>
            </w:tcBorders>
            <w:vAlign w:val="bottom"/>
          </w:tcPr>
          <w:p w14:paraId="72D53AE6"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8524512.2923</w:t>
            </w:r>
          </w:p>
        </w:tc>
      </w:tr>
      <w:tr w:rsidR="00457A67" w:rsidRPr="00CC1F05" w14:paraId="37BAD8C4"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3657C9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476A0FAA"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730648.8988</w:t>
            </w:r>
          </w:p>
        </w:tc>
        <w:tc>
          <w:tcPr>
            <w:tcW w:w="1405" w:type="dxa"/>
            <w:tcBorders>
              <w:top w:val="nil"/>
              <w:left w:val="single" w:sz="4" w:space="0" w:color="auto"/>
              <w:bottom w:val="single" w:sz="4" w:space="0" w:color="000000"/>
              <w:right w:val="single" w:sz="4" w:space="0" w:color="000000"/>
            </w:tcBorders>
            <w:vAlign w:val="bottom"/>
          </w:tcPr>
          <w:p w14:paraId="4AE7BFE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8524525.9640</w:t>
            </w:r>
          </w:p>
        </w:tc>
      </w:tr>
      <w:tr w:rsidR="00457A67" w:rsidRPr="00CC1F05" w14:paraId="1537E9F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61A9FB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166EC28C"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730662.5705</w:t>
            </w:r>
          </w:p>
        </w:tc>
        <w:tc>
          <w:tcPr>
            <w:tcW w:w="1405" w:type="dxa"/>
            <w:tcBorders>
              <w:top w:val="nil"/>
              <w:left w:val="single" w:sz="4" w:space="0" w:color="auto"/>
              <w:bottom w:val="single" w:sz="4" w:space="0" w:color="000000"/>
              <w:right w:val="single" w:sz="4" w:space="0" w:color="000000"/>
            </w:tcBorders>
            <w:vAlign w:val="bottom"/>
          </w:tcPr>
          <w:p w14:paraId="322A20C5"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8524540.5614</w:t>
            </w:r>
          </w:p>
        </w:tc>
      </w:tr>
      <w:tr w:rsidR="00457A67" w:rsidRPr="00CC1F05" w14:paraId="3344DEA4"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D17EF71"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t>Área (m2)</w:t>
            </w:r>
          </w:p>
        </w:tc>
        <w:tc>
          <w:tcPr>
            <w:tcW w:w="2651" w:type="dxa"/>
            <w:gridSpan w:val="2"/>
            <w:tcBorders>
              <w:top w:val="single" w:sz="4" w:space="0" w:color="auto"/>
              <w:left w:val="single" w:sz="4" w:space="0" w:color="auto"/>
              <w:bottom w:val="single" w:sz="4" w:space="0" w:color="auto"/>
              <w:right w:val="single" w:sz="4" w:space="0" w:color="auto"/>
            </w:tcBorders>
          </w:tcPr>
          <w:p w14:paraId="3A4990CD"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4DA8CD3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741E0F12"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4035090B"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5FD608EE" w14:textId="77777777" w:rsidR="00457A67" w:rsidRPr="00CC1F05" w:rsidRDefault="00457A67" w:rsidP="00457A67">
      <w:pPr>
        <w:spacing w:line="276" w:lineRule="auto"/>
        <w:rPr>
          <w:rFonts w:ascii="Calibri" w:eastAsia="Calibri" w:hAnsi="Calibri" w:cs="Calibri"/>
        </w:rPr>
      </w:pPr>
    </w:p>
    <w:p w14:paraId="31216AA7" w14:textId="77777777" w:rsidR="00457A67" w:rsidRDefault="00457A67" w:rsidP="00457A67">
      <w:pPr>
        <w:spacing w:line="276" w:lineRule="auto"/>
        <w:rPr>
          <w:rFonts w:ascii="Calibri" w:eastAsia="Calibri" w:hAnsi="Calibri" w:cs="Calibri"/>
        </w:rPr>
      </w:pPr>
    </w:p>
    <w:p w14:paraId="6A055A7D"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 xml:space="preserve">TABLA 5.D </w:t>
      </w:r>
      <w:r w:rsidRPr="00483CAF">
        <w:rPr>
          <w:rFonts w:ascii="Calibri" w:hAnsi="Calibri"/>
          <w:sz w:val="22"/>
          <w:szCs w:val="22"/>
        </w:rPr>
        <w:t>TORRE</w:t>
      </w:r>
      <w:r>
        <w:rPr>
          <w:rFonts w:ascii="Calibri" w:hAnsi="Calibri"/>
          <w:sz w:val="22"/>
          <w:szCs w:val="22"/>
        </w:rPr>
        <w:t xml:space="preserve"> EACH-05</w:t>
      </w:r>
    </w:p>
    <w:p w14:paraId="6A6D54BC" w14:textId="77777777" w:rsidR="00457A67" w:rsidRDefault="00457A67" w:rsidP="00457A67">
      <w:pPr>
        <w:spacing w:line="276" w:lineRule="auto"/>
        <w:rPr>
          <w:rFonts w:ascii="Calibri" w:eastAsia="Calibri" w:hAnsi="Calibri" w:cs="Calibri"/>
        </w:rPr>
      </w:pPr>
    </w:p>
    <w:p w14:paraId="7F589CA4" w14:textId="77777777" w:rsidR="00457A67" w:rsidRDefault="00457A67" w:rsidP="00457A67">
      <w:pPr>
        <w:spacing w:line="276" w:lineRule="auto"/>
        <w:rPr>
          <w:rFonts w:ascii="Calibri" w:eastAsia="Calibri" w:hAnsi="Calibri" w:cs="Calibri"/>
        </w:rPr>
      </w:pPr>
    </w:p>
    <w:tbl>
      <w:tblPr>
        <w:tblStyle w:val="268"/>
        <w:tblW w:w="4112" w:type="dxa"/>
        <w:jc w:val="center"/>
        <w:tblInd w:w="0" w:type="dxa"/>
        <w:tblLayout w:type="fixed"/>
        <w:tblLook w:val="0400" w:firstRow="0" w:lastRow="0" w:firstColumn="0" w:lastColumn="0" w:noHBand="0" w:noVBand="1"/>
      </w:tblPr>
      <w:tblGrid>
        <w:gridCol w:w="1461"/>
        <w:gridCol w:w="1246"/>
        <w:gridCol w:w="1405"/>
      </w:tblGrid>
      <w:tr w:rsidR="00457A67" w:rsidRPr="00CC1F05" w14:paraId="5562046C"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vAlign w:val="bottom"/>
          </w:tcPr>
          <w:p w14:paraId="057E3272" w14:textId="77777777" w:rsidR="00457A67" w:rsidRPr="00CC1F05" w:rsidRDefault="00457A67" w:rsidP="00457A67">
            <w:pPr>
              <w:jc w:val="center"/>
              <w:rPr>
                <w:rFonts w:ascii="Calibri" w:eastAsia="Calibri" w:hAnsi="Calibri" w:cs="Calibri"/>
                <w:b/>
                <w:i/>
                <w:color w:val="000000"/>
              </w:rPr>
            </w:pPr>
            <w:r w:rsidRPr="00CC1F05">
              <w:rPr>
                <w:rFonts w:ascii="Calibri" w:eastAsia="Calibri" w:hAnsi="Calibri" w:cs="Calibri"/>
                <w:b/>
                <w:i/>
                <w:color w:val="000000"/>
                <w:sz w:val="22"/>
                <w:szCs w:val="22"/>
              </w:rPr>
              <w:t>Cuadro de Coordenadas UTM WGS 84</w:t>
            </w:r>
          </w:p>
        </w:tc>
      </w:tr>
      <w:tr w:rsidR="00457A67" w:rsidRPr="00CC1F05" w14:paraId="2887604E" w14:textId="77777777" w:rsidTr="00457A67">
        <w:trPr>
          <w:trHeight w:val="288"/>
          <w:jc w:val="center"/>
        </w:trPr>
        <w:tc>
          <w:tcPr>
            <w:tcW w:w="4112" w:type="dxa"/>
            <w:gridSpan w:val="3"/>
            <w:tcBorders>
              <w:top w:val="single" w:sz="4" w:space="0" w:color="auto"/>
              <w:left w:val="single" w:sz="4" w:space="0" w:color="auto"/>
              <w:bottom w:val="single" w:sz="4" w:space="0" w:color="auto"/>
              <w:right w:val="single" w:sz="4" w:space="0" w:color="000000"/>
            </w:tcBorders>
          </w:tcPr>
          <w:p w14:paraId="2C50883D" w14:textId="77777777" w:rsidR="00457A67" w:rsidRPr="00CC1F05" w:rsidRDefault="00457A67" w:rsidP="00457A67">
            <w:pPr>
              <w:jc w:val="center"/>
              <w:rPr>
                <w:rFonts w:ascii="Calibri" w:eastAsia="Calibri" w:hAnsi="Calibri" w:cs="Calibri"/>
                <w:color w:val="000000"/>
              </w:rPr>
            </w:pPr>
            <w:r>
              <w:rPr>
                <w:rFonts w:ascii="Calibri" w:eastAsia="Calibri" w:hAnsi="Calibri" w:cs="Calibri"/>
                <w:b/>
                <w:i/>
                <w:color w:val="000000"/>
                <w:sz w:val="22"/>
                <w:szCs w:val="22"/>
              </w:rPr>
              <w:t>TORRE EACH-05</w:t>
            </w:r>
          </w:p>
        </w:tc>
      </w:tr>
      <w:tr w:rsidR="00457A67" w:rsidRPr="00CC1F05" w14:paraId="792B849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C86698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246" w:type="dxa"/>
            <w:tcBorders>
              <w:top w:val="single" w:sz="4" w:space="0" w:color="auto"/>
              <w:left w:val="single" w:sz="4" w:space="0" w:color="auto"/>
              <w:bottom w:val="single" w:sz="4" w:space="0" w:color="auto"/>
              <w:right w:val="single" w:sz="4" w:space="0" w:color="auto"/>
            </w:tcBorders>
            <w:vAlign w:val="bottom"/>
          </w:tcPr>
          <w:p w14:paraId="7B8A33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05" w:type="dxa"/>
            <w:tcBorders>
              <w:top w:val="nil"/>
              <w:left w:val="single" w:sz="4" w:space="0" w:color="auto"/>
              <w:bottom w:val="single" w:sz="4" w:space="0" w:color="000000"/>
              <w:right w:val="single" w:sz="4" w:space="0" w:color="000000"/>
            </w:tcBorders>
            <w:vAlign w:val="bottom"/>
          </w:tcPr>
          <w:p w14:paraId="7FDA6A4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4478629"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158ACF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246" w:type="dxa"/>
            <w:tcBorders>
              <w:top w:val="single" w:sz="4" w:space="0" w:color="auto"/>
              <w:left w:val="single" w:sz="4" w:space="0" w:color="auto"/>
              <w:bottom w:val="single" w:sz="4" w:space="0" w:color="auto"/>
              <w:right w:val="single" w:sz="4" w:space="0" w:color="auto"/>
            </w:tcBorders>
            <w:vAlign w:val="bottom"/>
          </w:tcPr>
          <w:p w14:paraId="09588C8D"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730580.6098</w:t>
            </w:r>
          </w:p>
        </w:tc>
        <w:tc>
          <w:tcPr>
            <w:tcW w:w="1405" w:type="dxa"/>
            <w:tcBorders>
              <w:top w:val="nil"/>
              <w:left w:val="single" w:sz="4" w:space="0" w:color="auto"/>
              <w:bottom w:val="single" w:sz="4" w:space="0" w:color="000000"/>
              <w:right w:val="single" w:sz="4" w:space="0" w:color="000000"/>
            </w:tcBorders>
            <w:vAlign w:val="bottom"/>
          </w:tcPr>
          <w:p w14:paraId="2514A696"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8524423.8599</w:t>
            </w:r>
          </w:p>
        </w:tc>
      </w:tr>
      <w:tr w:rsidR="00457A67" w:rsidRPr="00CC1F05" w14:paraId="4203B65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6F2992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246" w:type="dxa"/>
            <w:tcBorders>
              <w:top w:val="single" w:sz="4" w:space="0" w:color="auto"/>
              <w:left w:val="single" w:sz="4" w:space="0" w:color="auto"/>
              <w:bottom w:val="single" w:sz="4" w:space="0" w:color="auto"/>
              <w:right w:val="single" w:sz="4" w:space="0" w:color="auto"/>
            </w:tcBorders>
            <w:vAlign w:val="bottom"/>
          </w:tcPr>
          <w:p w14:paraId="03EB3BBA"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730566.9381</w:t>
            </w:r>
          </w:p>
        </w:tc>
        <w:tc>
          <w:tcPr>
            <w:tcW w:w="1405" w:type="dxa"/>
            <w:tcBorders>
              <w:top w:val="nil"/>
              <w:left w:val="single" w:sz="4" w:space="0" w:color="auto"/>
              <w:bottom w:val="single" w:sz="4" w:space="0" w:color="000000"/>
              <w:right w:val="single" w:sz="4" w:space="0" w:color="000000"/>
            </w:tcBorders>
            <w:vAlign w:val="bottom"/>
          </w:tcPr>
          <w:p w14:paraId="725F0304"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8524409.2625</w:t>
            </w:r>
          </w:p>
        </w:tc>
      </w:tr>
      <w:tr w:rsidR="00457A67" w:rsidRPr="00CC1F05" w14:paraId="2577601A"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237764F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246" w:type="dxa"/>
            <w:tcBorders>
              <w:top w:val="single" w:sz="4" w:space="0" w:color="auto"/>
              <w:left w:val="single" w:sz="4" w:space="0" w:color="auto"/>
              <w:bottom w:val="single" w:sz="4" w:space="0" w:color="auto"/>
              <w:right w:val="single" w:sz="4" w:space="0" w:color="auto"/>
            </w:tcBorders>
            <w:vAlign w:val="bottom"/>
          </w:tcPr>
          <w:p w14:paraId="36689858"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730552.3407</w:t>
            </w:r>
          </w:p>
        </w:tc>
        <w:tc>
          <w:tcPr>
            <w:tcW w:w="1405" w:type="dxa"/>
            <w:tcBorders>
              <w:top w:val="nil"/>
              <w:left w:val="single" w:sz="4" w:space="0" w:color="auto"/>
              <w:bottom w:val="single" w:sz="4" w:space="0" w:color="000000"/>
              <w:right w:val="single" w:sz="4" w:space="0" w:color="000000"/>
            </w:tcBorders>
            <w:vAlign w:val="bottom"/>
          </w:tcPr>
          <w:p w14:paraId="65A9282E"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8524422.9342</w:t>
            </w:r>
          </w:p>
        </w:tc>
      </w:tr>
      <w:tr w:rsidR="00457A67" w:rsidRPr="00CC1F05" w14:paraId="587C4361"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6FAE94C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246" w:type="dxa"/>
            <w:tcBorders>
              <w:top w:val="single" w:sz="4" w:space="0" w:color="auto"/>
              <w:left w:val="single" w:sz="4" w:space="0" w:color="auto"/>
              <w:bottom w:val="single" w:sz="4" w:space="0" w:color="auto"/>
              <w:right w:val="single" w:sz="4" w:space="0" w:color="auto"/>
            </w:tcBorders>
            <w:vAlign w:val="bottom"/>
          </w:tcPr>
          <w:p w14:paraId="178F174D"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730566.0124</w:t>
            </w:r>
          </w:p>
        </w:tc>
        <w:tc>
          <w:tcPr>
            <w:tcW w:w="1405" w:type="dxa"/>
            <w:tcBorders>
              <w:top w:val="nil"/>
              <w:left w:val="single" w:sz="4" w:space="0" w:color="auto"/>
              <w:bottom w:val="single" w:sz="4" w:space="0" w:color="000000"/>
              <w:right w:val="single" w:sz="4" w:space="0" w:color="000000"/>
            </w:tcBorders>
            <w:vAlign w:val="bottom"/>
          </w:tcPr>
          <w:p w14:paraId="677D99A5" w14:textId="77777777" w:rsidR="00457A67" w:rsidRPr="00CC1F05" w:rsidRDefault="00457A67" w:rsidP="00457A67">
            <w:pPr>
              <w:spacing w:before="0" w:after="0"/>
              <w:jc w:val="center"/>
              <w:rPr>
                <w:rFonts w:ascii="Calibri" w:eastAsia="Calibri" w:hAnsi="Calibri" w:cs="Calibri"/>
                <w:color w:val="000000"/>
                <w:sz w:val="22"/>
                <w:szCs w:val="22"/>
              </w:rPr>
            </w:pPr>
            <w:r w:rsidRPr="00A5402E">
              <w:rPr>
                <w:rFonts w:ascii="Calibri" w:eastAsia="Calibri" w:hAnsi="Calibri" w:cs="Calibri"/>
                <w:color w:val="000000"/>
                <w:sz w:val="22"/>
                <w:szCs w:val="22"/>
              </w:rPr>
              <w:t>8524437.5316</w:t>
            </w:r>
          </w:p>
        </w:tc>
      </w:tr>
      <w:tr w:rsidR="00457A67" w:rsidRPr="00CC1F05" w14:paraId="20217F7E"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3231C46B" w14:textId="77777777" w:rsidR="00457A67" w:rsidRPr="00CC1F05" w:rsidRDefault="00457A67" w:rsidP="00457A67">
            <w:pPr>
              <w:jc w:val="center"/>
              <w:rPr>
                <w:rFonts w:ascii="Calibri" w:eastAsia="Calibri" w:hAnsi="Calibri" w:cs="Calibri"/>
                <w:color w:val="000000"/>
                <w:sz w:val="22"/>
                <w:szCs w:val="22"/>
              </w:rPr>
            </w:pPr>
            <w:r w:rsidRPr="007D2DC4">
              <w:rPr>
                <w:rFonts w:ascii="Calibri" w:eastAsia="Calibri" w:hAnsi="Calibri" w:cs="Calibri"/>
                <w:b/>
                <w:color w:val="000000"/>
                <w:sz w:val="22"/>
                <w:szCs w:val="22"/>
              </w:rPr>
              <w:lastRenderedPageBreak/>
              <w:t>Área (m2)</w:t>
            </w:r>
          </w:p>
        </w:tc>
        <w:tc>
          <w:tcPr>
            <w:tcW w:w="2651" w:type="dxa"/>
            <w:gridSpan w:val="2"/>
            <w:tcBorders>
              <w:top w:val="single" w:sz="4" w:space="0" w:color="auto"/>
              <w:left w:val="single" w:sz="4" w:space="0" w:color="auto"/>
              <w:bottom w:val="single" w:sz="4" w:space="0" w:color="auto"/>
              <w:right w:val="single" w:sz="4" w:space="0" w:color="auto"/>
            </w:tcBorders>
          </w:tcPr>
          <w:p w14:paraId="3A491117" w14:textId="77777777" w:rsidR="00457A67" w:rsidRPr="00CC1F05" w:rsidRDefault="00457A67" w:rsidP="00457A67">
            <w:pPr>
              <w:spacing w:before="0" w:after="0"/>
              <w:jc w:val="center"/>
              <w:rPr>
                <w:rFonts w:ascii="Calibri" w:eastAsia="Calibri" w:hAnsi="Calibri" w:cs="Calibri"/>
                <w:color w:val="000000"/>
                <w:sz w:val="22"/>
                <w:szCs w:val="22"/>
              </w:rPr>
            </w:pPr>
            <w:r w:rsidRPr="00B336A7">
              <w:rPr>
                <w:rFonts w:ascii="Calibri" w:eastAsia="Calibri" w:hAnsi="Calibri" w:cs="Calibri"/>
                <w:color w:val="000000"/>
                <w:sz w:val="22"/>
                <w:szCs w:val="22"/>
              </w:rPr>
              <w:t>400.0000</w:t>
            </w:r>
          </w:p>
        </w:tc>
      </w:tr>
      <w:tr w:rsidR="00457A67" w:rsidRPr="00CC1F05" w14:paraId="6EC3FA9B" w14:textId="77777777" w:rsidTr="00457A67">
        <w:trPr>
          <w:trHeight w:val="288"/>
          <w:jc w:val="center"/>
        </w:trPr>
        <w:tc>
          <w:tcPr>
            <w:tcW w:w="1461" w:type="dxa"/>
            <w:tcBorders>
              <w:top w:val="single" w:sz="4" w:space="0" w:color="auto"/>
              <w:left w:val="single" w:sz="4" w:space="0" w:color="auto"/>
              <w:bottom w:val="single" w:sz="4" w:space="0" w:color="auto"/>
              <w:right w:val="single" w:sz="4" w:space="0" w:color="auto"/>
            </w:tcBorders>
            <w:vAlign w:val="bottom"/>
          </w:tcPr>
          <w:p w14:paraId="4024B9F9"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2651" w:type="dxa"/>
            <w:gridSpan w:val="2"/>
            <w:tcBorders>
              <w:top w:val="single" w:sz="4" w:space="0" w:color="auto"/>
              <w:left w:val="single" w:sz="4" w:space="0" w:color="auto"/>
              <w:bottom w:val="single" w:sz="4" w:space="0" w:color="auto"/>
              <w:right w:val="single" w:sz="4" w:space="0" w:color="auto"/>
            </w:tcBorders>
          </w:tcPr>
          <w:p w14:paraId="5BFF5DF2" w14:textId="77777777" w:rsidR="00457A67" w:rsidRPr="00E2568A" w:rsidRDefault="00457A67" w:rsidP="00457A67">
            <w:pPr>
              <w:jc w:val="center"/>
              <w:rPr>
                <w:rFonts w:ascii="Calibri" w:eastAsia="Calibri" w:hAnsi="Calibri" w:cs="Calibri"/>
                <w:color w:val="000000"/>
              </w:rPr>
            </w:pPr>
            <w:r w:rsidRPr="00B336A7">
              <w:rPr>
                <w:rFonts w:ascii="Calibri" w:eastAsia="Calibri" w:hAnsi="Calibri" w:cs="Calibri"/>
                <w:color w:val="000000"/>
                <w:sz w:val="22"/>
                <w:szCs w:val="22"/>
              </w:rPr>
              <w:t>80.0000</w:t>
            </w:r>
          </w:p>
        </w:tc>
      </w:tr>
    </w:tbl>
    <w:p w14:paraId="6F720983" w14:textId="77777777" w:rsidR="00457A67" w:rsidRDefault="00457A67" w:rsidP="00457A67">
      <w:pPr>
        <w:spacing w:line="276" w:lineRule="auto"/>
        <w:rPr>
          <w:rFonts w:ascii="Calibri" w:eastAsia="Calibri" w:hAnsi="Calibri" w:cs="Calibri"/>
        </w:rPr>
      </w:pPr>
    </w:p>
    <w:p w14:paraId="04E3D483" w14:textId="77777777" w:rsidR="00457A67" w:rsidRPr="00CC1F05" w:rsidRDefault="00457A67" w:rsidP="00457A67">
      <w:pPr>
        <w:spacing w:line="276" w:lineRule="auto"/>
        <w:rPr>
          <w:rFonts w:ascii="Calibri" w:eastAsia="Calibri" w:hAnsi="Calibri" w:cs="Calibri"/>
        </w:rPr>
      </w:pPr>
    </w:p>
    <w:p w14:paraId="335C6B0D" w14:textId="77777777" w:rsidR="00457A67" w:rsidRPr="00CC1F05" w:rsidRDefault="00457A67" w:rsidP="00457A67">
      <w:pPr>
        <w:spacing w:line="276" w:lineRule="auto"/>
        <w:rPr>
          <w:rFonts w:ascii="Calibri" w:hAnsi="Calibri" w:cs="Calibri"/>
          <w:b/>
          <w:bCs/>
          <w:color w:val="1F3864" w:themeColor="accent1" w:themeShade="80"/>
        </w:rPr>
      </w:pPr>
      <w:r w:rsidRPr="00CC1F05">
        <w:rPr>
          <w:rFonts w:ascii="Calibri" w:hAnsi="Calibri" w:cs="Calibri"/>
          <w:b/>
          <w:bCs/>
          <w:color w:val="1F3864" w:themeColor="accent1" w:themeShade="80"/>
        </w:rPr>
        <w:t>SECCIÓN 2: COMPONENTE SUR</w:t>
      </w:r>
    </w:p>
    <w:p w14:paraId="7B8393CE" w14:textId="77777777" w:rsidR="00457A67" w:rsidRPr="00CC1F05" w:rsidRDefault="00457A67" w:rsidP="00457A67">
      <w:pPr>
        <w:spacing w:line="276" w:lineRule="auto"/>
        <w:rPr>
          <w:rFonts w:ascii="Calibri" w:hAnsi="Calibri" w:cs="Calibri"/>
          <w:b/>
          <w:bCs/>
          <w:color w:val="1F3864" w:themeColor="accent1" w:themeShade="80"/>
        </w:rPr>
      </w:pPr>
    </w:p>
    <w:p w14:paraId="01CA4DFC" w14:textId="3AC07429" w:rsidR="00457A67" w:rsidRPr="00CC1F05"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6</w:t>
      </w:r>
      <w:r w:rsidRPr="00CC1F05">
        <w:rPr>
          <w:rFonts w:ascii="Calibri" w:hAnsi="Calibri"/>
          <w:sz w:val="22"/>
          <w:szCs w:val="22"/>
        </w:rPr>
        <w:t>. ÁREA DEL TRAZO DEL TELEFÉRICO KIUÑALLA - UNIÓN</w:t>
      </w:r>
      <w:r w:rsidRPr="00CC1F05">
        <w:rPr>
          <w:rStyle w:val="Refdenotaalpie"/>
          <w:rFonts w:ascii="Calibri" w:eastAsia="Arial" w:hAnsi="Calibri" w:cs="Calibri"/>
          <w:sz w:val="22"/>
          <w:szCs w:val="22"/>
        </w:rPr>
        <w:footnoteReference w:id="2"/>
      </w:r>
      <w:r w:rsidRPr="00CC1F05">
        <w:rPr>
          <w:rFonts w:ascii="Calibri" w:hAnsi="Calibri"/>
          <w:sz w:val="22"/>
          <w:szCs w:val="22"/>
        </w:rPr>
        <w:t xml:space="preserve"> </w:t>
      </w:r>
      <w:bookmarkStart w:id="9" w:name="_Hlk190361631"/>
      <w:r>
        <w:rPr>
          <w:rFonts w:ascii="Calibri" w:hAnsi="Calibri"/>
          <w:sz w:val="22"/>
          <w:szCs w:val="22"/>
        </w:rPr>
        <w:t>(servidumbre)</w:t>
      </w: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2FFBA503"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vAlign w:val="bottom"/>
          </w:tcPr>
          <w:bookmarkEnd w:id="9"/>
          <w:p w14:paraId="491E71AC" w14:textId="77777777" w:rsidR="00457A67" w:rsidRPr="00CC1F05" w:rsidRDefault="00457A67" w:rsidP="00457A67">
            <w:pPr>
              <w:spacing w:before="0" w:after="0"/>
              <w:jc w:val="center"/>
              <w:rPr>
                <w:rFonts w:ascii="Calibri" w:eastAsia="Calibri" w:hAnsi="Calibri" w:cs="Calibri"/>
                <w:b/>
                <w:i/>
                <w:smallCaps w:val="0"/>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743D7879" w14:textId="77777777" w:rsidTr="00457A67">
        <w:trPr>
          <w:trHeight w:val="382"/>
          <w:jc w:val="center"/>
        </w:trPr>
        <w:tc>
          <w:tcPr>
            <w:tcW w:w="8505" w:type="dxa"/>
            <w:gridSpan w:val="3"/>
            <w:tcBorders>
              <w:top w:val="single" w:sz="4" w:space="0" w:color="auto"/>
              <w:left w:val="single" w:sz="4" w:space="0" w:color="auto"/>
              <w:bottom w:val="single" w:sz="4" w:space="0" w:color="auto"/>
              <w:right w:val="single" w:sz="4" w:space="0" w:color="auto"/>
            </w:tcBorders>
          </w:tcPr>
          <w:p w14:paraId="63F6202E"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Teleférico  Kiuñalla – Unión</w:t>
            </w:r>
          </w:p>
        </w:tc>
      </w:tr>
      <w:tr w:rsidR="00457A67" w:rsidRPr="00CC1F05" w14:paraId="7CFF305A"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543AC2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403000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0C99A29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66AA75F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64EEE1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2835" w:type="dxa"/>
            <w:tcBorders>
              <w:top w:val="single" w:sz="4" w:space="0" w:color="auto"/>
              <w:left w:val="single" w:sz="4" w:space="0" w:color="auto"/>
              <w:bottom w:val="single" w:sz="4" w:space="0" w:color="auto"/>
              <w:right w:val="single" w:sz="4" w:space="0" w:color="auto"/>
            </w:tcBorders>
            <w:vAlign w:val="bottom"/>
          </w:tcPr>
          <w:p w14:paraId="3B3CD9B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730232.1090</w:t>
            </w:r>
          </w:p>
        </w:tc>
        <w:tc>
          <w:tcPr>
            <w:tcW w:w="2835" w:type="dxa"/>
            <w:tcBorders>
              <w:top w:val="single" w:sz="4" w:space="0" w:color="auto"/>
              <w:left w:val="single" w:sz="4" w:space="0" w:color="auto"/>
              <w:bottom w:val="single" w:sz="4" w:space="0" w:color="auto"/>
              <w:right w:val="single" w:sz="4" w:space="0" w:color="auto"/>
            </w:tcBorders>
            <w:vAlign w:val="bottom"/>
          </w:tcPr>
          <w:p w14:paraId="2879E09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8517829.3231</w:t>
            </w:r>
          </w:p>
        </w:tc>
      </w:tr>
      <w:tr w:rsidR="00457A67" w:rsidRPr="00CC1F05" w14:paraId="4D0C9C94"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47BA46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2835" w:type="dxa"/>
            <w:tcBorders>
              <w:top w:val="single" w:sz="4" w:space="0" w:color="auto"/>
              <w:left w:val="single" w:sz="4" w:space="0" w:color="auto"/>
              <w:bottom w:val="single" w:sz="4" w:space="0" w:color="auto"/>
              <w:right w:val="single" w:sz="4" w:space="0" w:color="auto"/>
            </w:tcBorders>
            <w:vAlign w:val="bottom"/>
          </w:tcPr>
          <w:p w14:paraId="065DBA1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728358.0603</w:t>
            </w:r>
          </w:p>
        </w:tc>
        <w:tc>
          <w:tcPr>
            <w:tcW w:w="2835" w:type="dxa"/>
            <w:tcBorders>
              <w:top w:val="single" w:sz="4" w:space="0" w:color="auto"/>
              <w:left w:val="single" w:sz="4" w:space="0" w:color="auto"/>
              <w:bottom w:val="single" w:sz="4" w:space="0" w:color="auto"/>
              <w:right w:val="single" w:sz="4" w:space="0" w:color="auto"/>
            </w:tcBorders>
            <w:vAlign w:val="bottom"/>
          </w:tcPr>
          <w:p w14:paraId="54B8B53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8514086.8273</w:t>
            </w:r>
          </w:p>
        </w:tc>
      </w:tr>
      <w:tr w:rsidR="00457A67" w:rsidRPr="00CC1F05" w14:paraId="152C4B58"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7DFA9F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2835" w:type="dxa"/>
            <w:tcBorders>
              <w:top w:val="single" w:sz="4" w:space="0" w:color="auto"/>
              <w:left w:val="single" w:sz="4" w:space="0" w:color="auto"/>
              <w:bottom w:val="single" w:sz="4" w:space="0" w:color="auto"/>
              <w:right w:val="single" w:sz="4" w:space="0" w:color="auto"/>
            </w:tcBorders>
            <w:vAlign w:val="bottom"/>
          </w:tcPr>
          <w:p w14:paraId="5A8743A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728335.7063</w:t>
            </w:r>
          </w:p>
        </w:tc>
        <w:tc>
          <w:tcPr>
            <w:tcW w:w="2835" w:type="dxa"/>
            <w:tcBorders>
              <w:top w:val="single" w:sz="4" w:space="0" w:color="auto"/>
              <w:left w:val="single" w:sz="4" w:space="0" w:color="auto"/>
              <w:bottom w:val="single" w:sz="4" w:space="0" w:color="auto"/>
              <w:right w:val="single" w:sz="4" w:space="0" w:color="auto"/>
            </w:tcBorders>
            <w:vAlign w:val="bottom"/>
          </w:tcPr>
          <w:p w14:paraId="123BA4C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8514098.0210</w:t>
            </w:r>
          </w:p>
        </w:tc>
      </w:tr>
      <w:tr w:rsidR="00457A67" w:rsidRPr="00CC1F05" w14:paraId="4DB6DDF2"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5F5330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2835" w:type="dxa"/>
            <w:tcBorders>
              <w:top w:val="single" w:sz="4" w:space="0" w:color="auto"/>
              <w:left w:val="single" w:sz="4" w:space="0" w:color="auto"/>
              <w:bottom w:val="single" w:sz="4" w:space="0" w:color="auto"/>
              <w:right w:val="single" w:sz="4" w:space="0" w:color="auto"/>
            </w:tcBorders>
            <w:vAlign w:val="bottom"/>
          </w:tcPr>
          <w:p w14:paraId="1579A8C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730209.7550</w:t>
            </w:r>
          </w:p>
        </w:tc>
        <w:tc>
          <w:tcPr>
            <w:tcW w:w="2835" w:type="dxa"/>
            <w:tcBorders>
              <w:top w:val="single" w:sz="4" w:space="0" w:color="auto"/>
              <w:left w:val="single" w:sz="4" w:space="0" w:color="auto"/>
              <w:bottom w:val="single" w:sz="4" w:space="0" w:color="auto"/>
              <w:right w:val="single" w:sz="4" w:space="0" w:color="auto"/>
            </w:tcBorders>
            <w:vAlign w:val="bottom"/>
          </w:tcPr>
          <w:p w14:paraId="774C85D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8517840.5168</w:t>
            </w:r>
          </w:p>
        </w:tc>
      </w:tr>
      <w:tr w:rsidR="00457A67" w:rsidRPr="00CC1F05" w14:paraId="27652291"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B6D7523" w14:textId="77777777" w:rsidR="00457A67" w:rsidRPr="00CC1F05" w:rsidRDefault="00457A67" w:rsidP="00457A67">
            <w:pPr>
              <w:jc w:val="center"/>
              <w:rPr>
                <w:rFonts w:ascii="Calibri" w:eastAsia="Calibri" w:hAnsi="Calibri" w:cs="Calibri"/>
                <w:color w:val="000000"/>
              </w:rPr>
            </w:pPr>
            <w:r w:rsidRPr="005859DF">
              <w:rPr>
                <w:rFonts w:ascii="Calibri" w:eastAsia="Calibri" w:hAnsi="Calibri" w:cs="Calibri"/>
                <w:b/>
                <w:color w:val="000000"/>
                <w:sz w:val="22"/>
                <w:szCs w:val="22"/>
              </w:rPr>
              <w:t>Área (m2)</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3133B2F5" w14:textId="77777777" w:rsidR="00457A67" w:rsidRPr="00CC1F05" w:rsidRDefault="00457A67" w:rsidP="00457A67">
            <w:pPr>
              <w:jc w:val="center"/>
              <w:rPr>
                <w:rFonts w:ascii="Calibri" w:eastAsia="Calibri" w:hAnsi="Calibri" w:cs="Calibri"/>
                <w:color w:val="000000"/>
              </w:rPr>
            </w:pPr>
            <w:r w:rsidRPr="004266B2">
              <w:rPr>
                <w:rFonts w:ascii="Calibri" w:eastAsia="Calibri" w:hAnsi="Calibri" w:cs="Calibri"/>
                <w:color w:val="000000"/>
                <w:sz w:val="22"/>
                <w:szCs w:val="22"/>
              </w:rPr>
              <w:t>104,637.2705</w:t>
            </w:r>
          </w:p>
        </w:tc>
      </w:tr>
      <w:tr w:rsidR="00457A67" w:rsidRPr="00CC1F05" w14:paraId="2492A033"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6DEBEC0A"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0ECB33E5" w14:textId="77777777" w:rsidR="00457A67" w:rsidRPr="00CC1F05" w:rsidRDefault="00457A67" w:rsidP="00457A67">
            <w:pPr>
              <w:jc w:val="center"/>
              <w:rPr>
                <w:rFonts w:ascii="Calibri" w:eastAsia="Calibri" w:hAnsi="Calibri" w:cs="Calibri"/>
                <w:color w:val="000000"/>
              </w:rPr>
            </w:pPr>
            <w:r w:rsidRPr="004266B2">
              <w:rPr>
                <w:rFonts w:ascii="Calibri" w:eastAsia="Calibri" w:hAnsi="Calibri" w:cs="Calibri"/>
                <w:color w:val="000000"/>
                <w:sz w:val="22"/>
                <w:szCs w:val="22"/>
              </w:rPr>
              <w:t>8,420.9816</w:t>
            </w:r>
          </w:p>
        </w:tc>
      </w:tr>
    </w:tbl>
    <w:p w14:paraId="28188D5C" w14:textId="77777777" w:rsidR="00457A67" w:rsidRPr="00CC1F05" w:rsidRDefault="00457A67" w:rsidP="00457A67">
      <w:pPr>
        <w:spacing w:line="276" w:lineRule="auto"/>
        <w:rPr>
          <w:rFonts w:ascii="Calibri" w:eastAsia="Calibri" w:hAnsi="Calibri" w:cs="Calibri"/>
        </w:rPr>
      </w:pPr>
    </w:p>
    <w:p w14:paraId="50F3CB2D"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7</w:t>
      </w:r>
      <w:r w:rsidRPr="00CC1F05">
        <w:rPr>
          <w:rFonts w:ascii="Calibri" w:hAnsi="Calibri"/>
          <w:sz w:val="22"/>
          <w:szCs w:val="22"/>
        </w:rPr>
        <w:t xml:space="preserve">. ÁREAS de las Estaciones KIUÑALLA - UNIÓN. </w:t>
      </w:r>
    </w:p>
    <w:p w14:paraId="345CF5C8" w14:textId="77777777" w:rsidR="00457A67" w:rsidRDefault="00457A67" w:rsidP="00457A67">
      <w:pPr>
        <w:spacing w:line="276" w:lineRule="auto"/>
        <w:rPr>
          <w:rFonts w:ascii="Calibri" w:eastAsia="Calibri" w:hAnsi="Calibri" w:cs="Calibri"/>
        </w:rPr>
      </w:pPr>
    </w:p>
    <w:p w14:paraId="6D4DCFAC"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t>TABLA 7.A  ÁREA DE LA ESTACIÓN KIUÑALLA</w:t>
      </w:r>
    </w:p>
    <w:p w14:paraId="5D24E767" w14:textId="77777777" w:rsidR="00457A67" w:rsidRDefault="00457A67" w:rsidP="00457A67">
      <w:pPr>
        <w:spacing w:line="276" w:lineRule="auto"/>
        <w:rPr>
          <w:rFonts w:ascii="Calibri" w:eastAsia="Calibri" w:hAnsi="Calibri" w:cs="Calibri"/>
        </w:rPr>
      </w:pPr>
    </w:p>
    <w:tbl>
      <w:tblPr>
        <w:tblStyle w:val="262"/>
        <w:tblW w:w="5103" w:type="dxa"/>
        <w:jc w:val="center"/>
        <w:tblInd w:w="0" w:type="dxa"/>
        <w:tblLayout w:type="fixed"/>
        <w:tblLook w:val="0400" w:firstRow="0" w:lastRow="0" w:firstColumn="0" w:lastColumn="0" w:noHBand="0" w:noVBand="1"/>
      </w:tblPr>
      <w:tblGrid>
        <w:gridCol w:w="1701"/>
        <w:gridCol w:w="1701"/>
        <w:gridCol w:w="1701"/>
      </w:tblGrid>
      <w:tr w:rsidR="00457A67" w:rsidRPr="00CC1F05" w14:paraId="63697A9C"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6BCE463D" w14:textId="77777777" w:rsidR="00457A67" w:rsidRPr="00CC1F05" w:rsidRDefault="00457A67" w:rsidP="00457A67">
            <w:pPr>
              <w:jc w:val="center"/>
              <w:rPr>
                <w:rFonts w:ascii="Calibri" w:eastAsia="Calibri" w:hAnsi="Calibri" w:cs="Calibri"/>
                <w:b/>
                <w:color w:val="000000"/>
              </w:rPr>
            </w:pPr>
            <w:r w:rsidRPr="00CC1F05">
              <w:rPr>
                <w:rFonts w:ascii="Calibri" w:eastAsia="Calibri" w:hAnsi="Calibri" w:cs="Calibri"/>
                <w:b/>
                <w:i/>
                <w:color w:val="000000"/>
                <w:sz w:val="22"/>
                <w:szCs w:val="22"/>
              </w:rPr>
              <w:t>Cuadro de Coordenadas UTM WGS 84</w:t>
            </w:r>
          </w:p>
        </w:tc>
      </w:tr>
      <w:tr w:rsidR="00457A67" w:rsidRPr="00CC1F05" w14:paraId="4BFEC14B"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6091949A" w14:textId="77777777" w:rsidR="00457A67" w:rsidRPr="00CC1F05" w:rsidRDefault="00457A67" w:rsidP="00457A67">
            <w:pPr>
              <w:spacing w:before="0" w:after="0"/>
              <w:jc w:val="center"/>
              <w:rPr>
                <w:rFonts w:ascii="Calibri" w:eastAsia="Calibri" w:hAnsi="Calibri" w:cs="Calibri"/>
                <w:b/>
                <w:color w:val="000000"/>
                <w:sz w:val="22"/>
                <w:szCs w:val="22"/>
              </w:rPr>
            </w:pPr>
            <w:bookmarkStart w:id="10" w:name="_Hlk179837064"/>
            <w:r w:rsidRPr="00CC1F05">
              <w:rPr>
                <w:rFonts w:ascii="Calibri" w:eastAsia="Calibri" w:hAnsi="Calibri" w:cs="Calibri"/>
                <w:b/>
                <w:color w:val="000000"/>
                <w:sz w:val="22"/>
                <w:szCs w:val="22"/>
              </w:rPr>
              <w:t>Estación Kiuñalla</w:t>
            </w:r>
          </w:p>
        </w:tc>
      </w:tr>
      <w:tr w:rsidR="00457A67" w:rsidRPr="00CC1F05" w14:paraId="7679782D"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074A42E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701" w:type="dxa"/>
            <w:tcBorders>
              <w:top w:val="single" w:sz="4" w:space="0" w:color="auto"/>
              <w:left w:val="single" w:sz="4" w:space="0" w:color="auto"/>
              <w:bottom w:val="single" w:sz="4" w:space="0" w:color="auto"/>
              <w:right w:val="single" w:sz="4" w:space="0" w:color="auto"/>
            </w:tcBorders>
            <w:vAlign w:val="bottom"/>
          </w:tcPr>
          <w:p w14:paraId="46F628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701" w:type="dxa"/>
            <w:tcBorders>
              <w:top w:val="single" w:sz="4" w:space="0" w:color="auto"/>
              <w:left w:val="single" w:sz="4" w:space="0" w:color="auto"/>
              <w:bottom w:val="single" w:sz="4" w:space="0" w:color="auto"/>
              <w:right w:val="single" w:sz="4" w:space="0" w:color="auto"/>
            </w:tcBorders>
            <w:vAlign w:val="bottom"/>
          </w:tcPr>
          <w:p w14:paraId="6C6B967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6D180647"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D0441D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701" w:type="dxa"/>
            <w:tcBorders>
              <w:top w:val="single" w:sz="4" w:space="0" w:color="auto"/>
              <w:left w:val="single" w:sz="4" w:space="0" w:color="auto"/>
              <w:bottom w:val="single" w:sz="4" w:space="0" w:color="auto"/>
              <w:right w:val="single" w:sz="4" w:space="0" w:color="auto"/>
            </w:tcBorders>
            <w:vAlign w:val="bottom"/>
          </w:tcPr>
          <w:p w14:paraId="175FD4A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728300.3004</w:t>
            </w:r>
          </w:p>
        </w:tc>
        <w:tc>
          <w:tcPr>
            <w:tcW w:w="1701" w:type="dxa"/>
            <w:tcBorders>
              <w:top w:val="single" w:sz="4" w:space="0" w:color="auto"/>
              <w:left w:val="single" w:sz="4" w:space="0" w:color="auto"/>
              <w:bottom w:val="single" w:sz="4" w:space="0" w:color="auto"/>
              <w:right w:val="single" w:sz="4" w:space="0" w:color="auto"/>
            </w:tcBorders>
            <w:vAlign w:val="bottom"/>
          </w:tcPr>
          <w:p w14:paraId="526E50A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8513999.4755</w:t>
            </w:r>
          </w:p>
        </w:tc>
      </w:tr>
      <w:tr w:rsidR="00457A67" w:rsidRPr="00CC1F05" w14:paraId="4BAF1B5A"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4DB5D12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701" w:type="dxa"/>
            <w:tcBorders>
              <w:top w:val="single" w:sz="4" w:space="0" w:color="auto"/>
              <w:left w:val="single" w:sz="4" w:space="0" w:color="auto"/>
              <w:bottom w:val="single" w:sz="4" w:space="0" w:color="auto"/>
              <w:right w:val="single" w:sz="4" w:space="0" w:color="auto"/>
            </w:tcBorders>
            <w:vAlign w:val="bottom"/>
          </w:tcPr>
          <w:p w14:paraId="532656B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728238.8754</w:t>
            </w:r>
          </w:p>
        </w:tc>
        <w:tc>
          <w:tcPr>
            <w:tcW w:w="1701" w:type="dxa"/>
            <w:tcBorders>
              <w:top w:val="single" w:sz="4" w:space="0" w:color="auto"/>
              <w:left w:val="single" w:sz="4" w:space="0" w:color="auto"/>
              <w:bottom w:val="single" w:sz="4" w:space="0" w:color="auto"/>
              <w:right w:val="single" w:sz="4" w:space="0" w:color="auto"/>
            </w:tcBorders>
            <w:vAlign w:val="bottom"/>
          </w:tcPr>
          <w:p w14:paraId="00DA244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8513887.0756</w:t>
            </w:r>
          </w:p>
        </w:tc>
      </w:tr>
      <w:tr w:rsidR="00457A67" w:rsidRPr="00CC1F05" w14:paraId="5A90F371"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17B917D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701" w:type="dxa"/>
            <w:tcBorders>
              <w:top w:val="single" w:sz="4" w:space="0" w:color="auto"/>
              <w:left w:val="single" w:sz="4" w:space="0" w:color="auto"/>
              <w:bottom w:val="single" w:sz="4" w:space="0" w:color="auto"/>
              <w:right w:val="single" w:sz="4" w:space="0" w:color="auto"/>
            </w:tcBorders>
            <w:vAlign w:val="bottom"/>
          </w:tcPr>
          <w:p w14:paraId="32D3CD9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728162.8718</w:t>
            </w:r>
          </w:p>
        </w:tc>
        <w:tc>
          <w:tcPr>
            <w:tcW w:w="1701" w:type="dxa"/>
            <w:tcBorders>
              <w:top w:val="single" w:sz="4" w:space="0" w:color="auto"/>
              <w:left w:val="single" w:sz="4" w:space="0" w:color="auto"/>
              <w:bottom w:val="single" w:sz="4" w:space="0" w:color="auto"/>
              <w:right w:val="single" w:sz="4" w:space="0" w:color="auto"/>
            </w:tcBorders>
            <w:vAlign w:val="bottom"/>
          </w:tcPr>
          <w:p w14:paraId="028244A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8513925.1342</w:t>
            </w:r>
          </w:p>
        </w:tc>
      </w:tr>
      <w:tr w:rsidR="00457A67" w:rsidRPr="00CC1F05" w14:paraId="49D8BFC8"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05D80D0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701" w:type="dxa"/>
            <w:tcBorders>
              <w:top w:val="single" w:sz="4" w:space="0" w:color="auto"/>
              <w:left w:val="single" w:sz="4" w:space="0" w:color="auto"/>
              <w:bottom w:val="single" w:sz="4" w:space="0" w:color="auto"/>
              <w:right w:val="single" w:sz="4" w:space="0" w:color="auto"/>
            </w:tcBorders>
            <w:vAlign w:val="bottom"/>
          </w:tcPr>
          <w:p w14:paraId="4C794B6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728226.3727</w:t>
            </w:r>
          </w:p>
        </w:tc>
        <w:tc>
          <w:tcPr>
            <w:tcW w:w="1701" w:type="dxa"/>
            <w:tcBorders>
              <w:top w:val="single" w:sz="4" w:space="0" w:color="auto"/>
              <w:left w:val="single" w:sz="4" w:space="0" w:color="auto"/>
              <w:bottom w:val="single" w:sz="4" w:space="0" w:color="auto"/>
              <w:right w:val="single" w:sz="4" w:space="0" w:color="auto"/>
            </w:tcBorders>
            <w:vAlign w:val="bottom"/>
          </w:tcPr>
          <w:p w14:paraId="644F1B5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8514058.3519</w:t>
            </w:r>
          </w:p>
        </w:tc>
      </w:tr>
      <w:tr w:rsidR="00457A67" w:rsidRPr="00CC1F05" w14:paraId="6D1F9B72"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1B423A12"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701" w:type="dxa"/>
            <w:tcBorders>
              <w:top w:val="single" w:sz="4" w:space="0" w:color="auto"/>
              <w:left w:val="single" w:sz="4" w:space="0" w:color="auto"/>
              <w:bottom w:val="single" w:sz="4" w:space="0" w:color="auto"/>
              <w:right w:val="single" w:sz="4" w:space="0" w:color="auto"/>
            </w:tcBorders>
            <w:vAlign w:val="bottom"/>
          </w:tcPr>
          <w:p w14:paraId="56BA72E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728323.0195</w:t>
            </w:r>
          </w:p>
        </w:tc>
        <w:tc>
          <w:tcPr>
            <w:tcW w:w="1701" w:type="dxa"/>
            <w:tcBorders>
              <w:top w:val="single" w:sz="4" w:space="0" w:color="auto"/>
              <w:left w:val="single" w:sz="4" w:space="0" w:color="auto"/>
              <w:bottom w:val="single" w:sz="4" w:space="0" w:color="auto"/>
              <w:right w:val="single" w:sz="4" w:space="0" w:color="auto"/>
            </w:tcBorders>
            <w:vAlign w:val="bottom"/>
          </w:tcPr>
          <w:p w14:paraId="49D78BE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8514139.6869</w:t>
            </w:r>
          </w:p>
        </w:tc>
      </w:tr>
      <w:tr w:rsidR="00457A67" w:rsidRPr="00CC1F05" w14:paraId="7E1FD600"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709B65E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701" w:type="dxa"/>
            <w:tcBorders>
              <w:top w:val="single" w:sz="4" w:space="0" w:color="auto"/>
              <w:left w:val="single" w:sz="4" w:space="0" w:color="auto"/>
              <w:bottom w:val="single" w:sz="4" w:space="0" w:color="auto"/>
              <w:right w:val="single" w:sz="4" w:space="0" w:color="auto"/>
            </w:tcBorders>
            <w:vAlign w:val="bottom"/>
          </w:tcPr>
          <w:p w14:paraId="14A0B0E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728399.0230</w:t>
            </w:r>
          </w:p>
        </w:tc>
        <w:tc>
          <w:tcPr>
            <w:tcW w:w="1701" w:type="dxa"/>
            <w:tcBorders>
              <w:top w:val="single" w:sz="4" w:space="0" w:color="auto"/>
              <w:left w:val="single" w:sz="4" w:space="0" w:color="auto"/>
              <w:bottom w:val="single" w:sz="4" w:space="0" w:color="auto"/>
              <w:right w:val="single" w:sz="4" w:space="0" w:color="auto"/>
            </w:tcBorders>
            <w:vAlign w:val="bottom"/>
          </w:tcPr>
          <w:p w14:paraId="73AE3B2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8514101.6283</w:t>
            </w:r>
          </w:p>
        </w:tc>
      </w:tr>
      <w:tr w:rsidR="00457A67" w:rsidRPr="00CC1F05" w14:paraId="610BF943"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661BD01"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701" w:type="dxa"/>
            <w:tcBorders>
              <w:top w:val="single" w:sz="4" w:space="0" w:color="auto"/>
              <w:left w:val="single" w:sz="4" w:space="0" w:color="auto"/>
              <w:bottom w:val="single" w:sz="4" w:space="0" w:color="auto"/>
              <w:right w:val="single" w:sz="4" w:space="0" w:color="auto"/>
            </w:tcBorders>
            <w:vAlign w:val="bottom"/>
          </w:tcPr>
          <w:p w14:paraId="0E9CA4B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728406.7434</w:t>
            </w:r>
          </w:p>
        </w:tc>
        <w:tc>
          <w:tcPr>
            <w:tcW w:w="1701" w:type="dxa"/>
            <w:tcBorders>
              <w:top w:val="single" w:sz="4" w:space="0" w:color="auto"/>
              <w:left w:val="single" w:sz="4" w:space="0" w:color="auto"/>
              <w:bottom w:val="single" w:sz="4" w:space="0" w:color="auto"/>
              <w:right w:val="single" w:sz="4" w:space="0" w:color="auto"/>
            </w:tcBorders>
            <w:vAlign w:val="bottom"/>
          </w:tcPr>
          <w:p w14:paraId="2A67895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8514005.3761</w:t>
            </w:r>
          </w:p>
        </w:tc>
      </w:tr>
      <w:tr w:rsidR="00457A67" w:rsidRPr="00CC1F05" w14:paraId="2E071BC3"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3665D74" w14:textId="77777777" w:rsidR="00457A67" w:rsidRPr="00CC1F05" w:rsidRDefault="00457A67" w:rsidP="00457A67">
            <w:pPr>
              <w:spacing w:before="0" w:after="0"/>
              <w:jc w:val="center"/>
              <w:rPr>
                <w:rFonts w:ascii="Calibri" w:eastAsia="Calibri" w:hAnsi="Calibri" w:cs="Calibri"/>
                <w:color w:val="000000"/>
                <w:sz w:val="22"/>
                <w:szCs w:val="22"/>
              </w:rPr>
            </w:pPr>
            <w:r w:rsidRPr="005859DF">
              <w:rPr>
                <w:rFonts w:ascii="Calibri" w:eastAsia="Calibri" w:hAnsi="Calibri" w:cs="Calibri"/>
                <w:b/>
                <w:color w:val="000000"/>
                <w:sz w:val="22"/>
                <w:szCs w:val="22"/>
              </w:rPr>
              <w:t>Área (m2)</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291BE403"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28,991.</w:t>
            </w:r>
            <w:r>
              <w:rPr>
                <w:rFonts w:ascii="Calibri" w:eastAsia="Calibri" w:hAnsi="Calibri" w:cs="Calibri"/>
                <w:color w:val="000000"/>
                <w:sz w:val="22"/>
                <w:szCs w:val="22"/>
              </w:rPr>
              <w:t>4985</w:t>
            </w:r>
          </w:p>
        </w:tc>
      </w:tr>
      <w:tr w:rsidR="00457A67" w:rsidRPr="00CC1F05" w14:paraId="36A33242"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1C0C50E"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3B549349" w14:textId="77777777" w:rsidR="00457A67" w:rsidRPr="004266B2" w:rsidRDefault="00457A67" w:rsidP="00457A67">
            <w:pPr>
              <w:spacing w:before="0" w:after="0"/>
              <w:jc w:val="center"/>
              <w:rPr>
                <w:rFonts w:ascii="Calibri" w:eastAsia="Calibri" w:hAnsi="Calibri" w:cs="Calibri"/>
                <w:color w:val="000000"/>
                <w:sz w:val="22"/>
                <w:szCs w:val="22"/>
              </w:rPr>
            </w:pPr>
            <w:r w:rsidRPr="004266B2">
              <w:rPr>
                <w:rFonts w:ascii="Calibri" w:eastAsia="Calibri" w:hAnsi="Calibri" w:cs="Calibri"/>
                <w:color w:val="000000"/>
                <w:sz w:val="22"/>
                <w:szCs w:val="22"/>
              </w:rPr>
              <w:t>775.1518</w:t>
            </w:r>
          </w:p>
        </w:tc>
      </w:tr>
      <w:bookmarkEnd w:id="10"/>
    </w:tbl>
    <w:p w14:paraId="2DCBE68B" w14:textId="77777777" w:rsidR="00457A67" w:rsidRDefault="00457A67" w:rsidP="00457A67">
      <w:pPr>
        <w:spacing w:line="276" w:lineRule="auto"/>
        <w:rPr>
          <w:rFonts w:ascii="Calibri" w:eastAsia="Calibri" w:hAnsi="Calibri" w:cs="Calibri"/>
        </w:rPr>
      </w:pPr>
    </w:p>
    <w:p w14:paraId="373BD64A" w14:textId="0D989BB2" w:rsidR="000933AA" w:rsidRDefault="000933AA" w:rsidP="00457A67">
      <w:pPr>
        <w:spacing w:line="276" w:lineRule="auto"/>
        <w:rPr>
          <w:rFonts w:ascii="Calibri" w:eastAsia="Calibri" w:hAnsi="Calibri" w:cs="Calibri"/>
        </w:rPr>
      </w:pPr>
    </w:p>
    <w:p w14:paraId="3299A1BB" w14:textId="77777777" w:rsidR="000933AA" w:rsidRDefault="000933AA" w:rsidP="00457A67">
      <w:pPr>
        <w:spacing w:line="276" w:lineRule="auto"/>
        <w:rPr>
          <w:rFonts w:ascii="Calibri" w:eastAsia="Calibri" w:hAnsi="Calibri" w:cs="Calibri"/>
        </w:rPr>
      </w:pPr>
    </w:p>
    <w:p w14:paraId="187FFAEC" w14:textId="77777777" w:rsidR="00457A67" w:rsidRDefault="00457A67" w:rsidP="00457A67">
      <w:pPr>
        <w:spacing w:line="276" w:lineRule="auto"/>
        <w:rPr>
          <w:rFonts w:ascii="Calibri" w:eastAsia="Calibri" w:hAnsi="Calibri" w:cs="Calibri"/>
        </w:rPr>
      </w:pPr>
    </w:p>
    <w:p w14:paraId="0C54D4D5" w14:textId="77777777" w:rsidR="00457A67" w:rsidRPr="00483CAF" w:rsidRDefault="00457A67" w:rsidP="00457A67">
      <w:pPr>
        <w:pStyle w:val="Descripcin"/>
        <w:spacing w:line="276" w:lineRule="auto"/>
        <w:rPr>
          <w:rFonts w:ascii="Calibri" w:hAnsi="Calibri"/>
          <w:sz w:val="22"/>
          <w:szCs w:val="22"/>
        </w:rPr>
      </w:pPr>
      <w:r>
        <w:rPr>
          <w:rFonts w:ascii="Calibri" w:hAnsi="Calibri"/>
          <w:sz w:val="22"/>
          <w:szCs w:val="22"/>
        </w:rPr>
        <w:lastRenderedPageBreak/>
        <w:t>TABLA 7.B  ÁREA DE LA ESTACIÓN unión</w:t>
      </w:r>
    </w:p>
    <w:p w14:paraId="2D75B73D" w14:textId="77777777" w:rsidR="00457A67" w:rsidRDefault="00457A67" w:rsidP="00457A67">
      <w:pPr>
        <w:spacing w:line="276" w:lineRule="auto"/>
        <w:rPr>
          <w:rFonts w:ascii="Calibri" w:eastAsia="Calibri" w:hAnsi="Calibri" w:cs="Calibri"/>
        </w:rPr>
      </w:pPr>
    </w:p>
    <w:tbl>
      <w:tblPr>
        <w:tblStyle w:val="262"/>
        <w:tblW w:w="5103" w:type="dxa"/>
        <w:jc w:val="center"/>
        <w:tblInd w:w="0" w:type="dxa"/>
        <w:tblLayout w:type="fixed"/>
        <w:tblLook w:val="0400" w:firstRow="0" w:lastRow="0" w:firstColumn="0" w:lastColumn="0" w:noHBand="0" w:noVBand="1"/>
      </w:tblPr>
      <w:tblGrid>
        <w:gridCol w:w="1701"/>
        <w:gridCol w:w="1701"/>
        <w:gridCol w:w="1701"/>
      </w:tblGrid>
      <w:tr w:rsidR="00457A67" w:rsidRPr="00CC1F05" w14:paraId="5714B868"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1803710D"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i/>
                <w:color w:val="000000"/>
                <w:sz w:val="22"/>
                <w:szCs w:val="22"/>
              </w:rPr>
              <w:t>Cuadro de Coordenadas UTM WGS 84</w:t>
            </w:r>
          </w:p>
        </w:tc>
      </w:tr>
      <w:tr w:rsidR="00457A67" w:rsidRPr="00CC1F05" w14:paraId="1F8CA648" w14:textId="77777777" w:rsidTr="00457A67">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vAlign w:val="bottom"/>
          </w:tcPr>
          <w:p w14:paraId="50F34436" w14:textId="77777777" w:rsidR="00457A67" w:rsidRPr="00CC1F05" w:rsidRDefault="00457A67" w:rsidP="00457A67">
            <w:pPr>
              <w:jc w:val="center"/>
              <w:rPr>
                <w:rFonts w:ascii="Calibri" w:eastAsia="Calibri" w:hAnsi="Calibri" w:cs="Calibri"/>
                <w:color w:val="000000"/>
              </w:rPr>
            </w:pPr>
            <w:r w:rsidRPr="00CC1F05">
              <w:rPr>
                <w:rFonts w:ascii="Calibri" w:eastAsia="Calibri" w:hAnsi="Calibri" w:cs="Calibri"/>
                <w:b/>
                <w:color w:val="000000"/>
                <w:sz w:val="22"/>
                <w:szCs w:val="22"/>
              </w:rPr>
              <w:t xml:space="preserve">Estación </w:t>
            </w:r>
            <w:r>
              <w:rPr>
                <w:rFonts w:ascii="Calibri" w:eastAsia="Calibri" w:hAnsi="Calibri" w:cs="Calibri"/>
                <w:b/>
                <w:color w:val="000000"/>
                <w:sz w:val="22"/>
                <w:szCs w:val="22"/>
              </w:rPr>
              <w:t>Unión</w:t>
            </w:r>
          </w:p>
        </w:tc>
      </w:tr>
      <w:tr w:rsidR="00457A67" w:rsidRPr="00CC1F05" w14:paraId="22C2B747"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71D3E9C0"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701" w:type="dxa"/>
            <w:tcBorders>
              <w:top w:val="single" w:sz="4" w:space="0" w:color="auto"/>
              <w:left w:val="single" w:sz="4" w:space="0" w:color="auto"/>
              <w:bottom w:val="single" w:sz="4" w:space="0" w:color="auto"/>
              <w:right w:val="single" w:sz="4" w:space="0" w:color="auto"/>
            </w:tcBorders>
            <w:vAlign w:val="bottom"/>
          </w:tcPr>
          <w:p w14:paraId="69BB6388"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701" w:type="dxa"/>
            <w:tcBorders>
              <w:top w:val="single" w:sz="4" w:space="0" w:color="auto"/>
              <w:left w:val="single" w:sz="4" w:space="0" w:color="auto"/>
              <w:bottom w:val="single" w:sz="4" w:space="0" w:color="auto"/>
              <w:right w:val="single" w:sz="4" w:space="0" w:color="auto"/>
            </w:tcBorders>
            <w:vAlign w:val="bottom"/>
          </w:tcPr>
          <w:p w14:paraId="54E6511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2DC46AC9"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22FDEE4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701" w:type="dxa"/>
            <w:tcBorders>
              <w:top w:val="single" w:sz="4" w:space="0" w:color="auto"/>
              <w:left w:val="single" w:sz="4" w:space="0" w:color="auto"/>
              <w:bottom w:val="single" w:sz="4" w:space="0" w:color="auto"/>
              <w:right w:val="single" w:sz="4" w:space="0" w:color="auto"/>
            </w:tcBorders>
            <w:vAlign w:val="bottom"/>
          </w:tcPr>
          <w:p w14:paraId="02AB826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730221.9087</w:t>
            </w:r>
          </w:p>
        </w:tc>
        <w:tc>
          <w:tcPr>
            <w:tcW w:w="1701" w:type="dxa"/>
            <w:tcBorders>
              <w:top w:val="single" w:sz="4" w:space="0" w:color="auto"/>
              <w:left w:val="single" w:sz="4" w:space="0" w:color="auto"/>
              <w:bottom w:val="single" w:sz="4" w:space="0" w:color="auto"/>
              <w:right w:val="single" w:sz="4" w:space="0" w:color="auto"/>
            </w:tcBorders>
            <w:vAlign w:val="bottom"/>
          </w:tcPr>
          <w:p w14:paraId="08B5492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8517907.2223</w:t>
            </w:r>
          </w:p>
        </w:tc>
      </w:tr>
      <w:tr w:rsidR="00457A67" w:rsidRPr="00CC1F05" w14:paraId="16EE5AD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341770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701" w:type="dxa"/>
            <w:tcBorders>
              <w:top w:val="single" w:sz="4" w:space="0" w:color="auto"/>
              <w:left w:val="single" w:sz="4" w:space="0" w:color="auto"/>
              <w:bottom w:val="single" w:sz="4" w:space="0" w:color="auto"/>
              <w:right w:val="single" w:sz="4" w:space="0" w:color="auto"/>
            </w:tcBorders>
            <w:vAlign w:val="bottom"/>
          </w:tcPr>
          <w:p w14:paraId="6180263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730264.0006</w:t>
            </w:r>
          </w:p>
        </w:tc>
        <w:tc>
          <w:tcPr>
            <w:tcW w:w="1701" w:type="dxa"/>
            <w:tcBorders>
              <w:top w:val="single" w:sz="4" w:space="0" w:color="auto"/>
              <w:left w:val="single" w:sz="4" w:space="0" w:color="auto"/>
              <w:bottom w:val="single" w:sz="4" w:space="0" w:color="auto"/>
              <w:right w:val="single" w:sz="4" w:space="0" w:color="auto"/>
            </w:tcBorders>
            <w:vAlign w:val="bottom"/>
          </w:tcPr>
          <w:p w14:paraId="0C46E5E6"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8517886.1448</w:t>
            </w:r>
          </w:p>
        </w:tc>
      </w:tr>
      <w:tr w:rsidR="00457A67" w:rsidRPr="00CC1F05" w14:paraId="1AE73354"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511F72A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701" w:type="dxa"/>
            <w:tcBorders>
              <w:top w:val="single" w:sz="4" w:space="0" w:color="auto"/>
              <w:left w:val="single" w:sz="4" w:space="0" w:color="auto"/>
              <w:bottom w:val="single" w:sz="4" w:space="0" w:color="auto"/>
              <w:right w:val="single" w:sz="4" w:space="0" w:color="auto"/>
            </w:tcBorders>
            <w:vAlign w:val="bottom"/>
          </w:tcPr>
          <w:p w14:paraId="3E7E18E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730276.9017</w:t>
            </w:r>
          </w:p>
        </w:tc>
        <w:tc>
          <w:tcPr>
            <w:tcW w:w="1701" w:type="dxa"/>
            <w:tcBorders>
              <w:top w:val="single" w:sz="4" w:space="0" w:color="auto"/>
              <w:left w:val="single" w:sz="4" w:space="0" w:color="auto"/>
              <w:bottom w:val="single" w:sz="4" w:space="0" w:color="auto"/>
              <w:right w:val="single" w:sz="4" w:space="0" w:color="auto"/>
            </w:tcBorders>
            <w:vAlign w:val="bottom"/>
          </w:tcPr>
          <w:p w14:paraId="068E448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8517876.3400</w:t>
            </w:r>
          </w:p>
        </w:tc>
      </w:tr>
      <w:tr w:rsidR="00457A67" w:rsidRPr="00CC1F05" w14:paraId="689308B0"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32A8D9E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701" w:type="dxa"/>
            <w:tcBorders>
              <w:top w:val="single" w:sz="4" w:space="0" w:color="auto"/>
              <w:left w:val="single" w:sz="4" w:space="0" w:color="auto"/>
              <w:bottom w:val="single" w:sz="4" w:space="0" w:color="auto"/>
              <w:right w:val="single" w:sz="4" w:space="0" w:color="auto"/>
            </w:tcBorders>
            <w:vAlign w:val="bottom"/>
          </w:tcPr>
          <w:p w14:paraId="12BC82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730236.1523</w:t>
            </w:r>
          </w:p>
        </w:tc>
        <w:tc>
          <w:tcPr>
            <w:tcW w:w="1701" w:type="dxa"/>
            <w:tcBorders>
              <w:top w:val="single" w:sz="4" w:space="0" w:color="auto"/>
              <w:left w:val="single" w:sz="4" w:space="0" w:color="auto"/>
              <w:bottom w:val="single" w:sz="4" w:space="0" w:color="auto"/>
              <w:right w:val="single" w:sz="4" w:space="0" w:color="auto"/>
            </w:tcBorders>
            <w:vAlign w:val="bottom"/>
          </w:tcPr>
          <w:p w14:paraId="64E9634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8517794.9631</w:t>
            </w:r>
          </w:p>
        </w:tc>
      </w:tr>
      <w:tr w:rsidR="00457A67" w:rsidRPr="00CC1F05" w14:paraId="2B93F60A"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BC13CF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701" w:type="dxa"/>
            <w:tcBorders>
              <w:top w:val="single" w:sz="4" w:space="0" w:color="auto"/>
              <w:left w:val="single" w:sz="4" w:space="0" w:color="auto"/>
              <w:bottom w:val="single" w:sz="4" w:space="0" w:color="auto"/>
              <w:right w:val="single" w:sz="4" w:space="0" w:color="auto"/>
            </w:tcBorders>
            <w:vAlign w:val="bottom"/>
          </w:tcPr>
          <w:p w14:paraId="6F4D1204"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730179.8203</w:t>
            </w:r>
          </w:p>
        </w:tc>
        <w:tc>
          <w:tcPr>
            <w:tcW w:w="1701" w:type="dxa"/>
            <w:tcBorders>
              <w:top w:val="single" w:sz="4" w:space="0" w:color="auto"/>
              <w:left w:val="single" w:sz="4" w:space="0" w:color="auto"/>
              <w:bottom w:val="single" w:sz="4" w:space="0" w:color="auto"/>
              <w:right w:val="single" w:sz="4" w:space="0" w:color="auto"/>
            </w:tcBorders>
            <w:vAlign w:val="bottom"/>
          </w:tcPr>
          <w:p w14:paraId="7AB9238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8517823.1713</w:t>
            </w:r>
          </w:p>
        </w:tc>
      </w:tr>
      <w:tr w:rsidR="00457A67" w:rsidRPr="00CC1F05" w14:paraId="3C240E3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66529FF1" w14:textId="77777777" w:rsidR="00457A67" w:rsidRPr="00CC1F05" w:rsidRDefault="00457A67" w:rsidP="00457A67">
            <w:pPr>
              <w:spacing w:before="0" w:after="0"/>
              <w:jc w:val="center"/>
              <w:rPr>
                <w:rFonts w:ascii="Calibri" w:eastAsia="Calibri" w:hAnsi="Calibri" w:cs="Calibri"/>
                <w:color w:val="000000"/>
                <w:sz w:val="22"/>
                <w:szCs w:val="22"/>
              </w:rPr>
            </w:pPr>
            <w:r w:rsidRPr="005859DF">
              <w:rPr>
                <w:rFonts w:ascii="Calibri" w:eastAsia="Calibri" w:hAnsi="Calibri" w:cs="Calibri"/>
                <w:b/>
                <w:color w:val="000000"/>
                <w:sz w:val="22"/>
                <w:szCs w:val="22"/>
              </w:rPr>
              <w:t>Área (m2)</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0ACED73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5,898.1</w:t>
            </w:r>
            <w:r>
              <w:rPr>
                <w:rFonts w:ascii="Calibri" w:eastAsia="Calibri" w:hAnsi="Calibri" w:cs="Calibri"/>
                <w:color w:val="000000"/>
                <w:sz w:val="22"/>
                <w:szCs w:val="22"/>
              </w:rPr>
              <w:t>851</w:t>
            </w:r>
          </w:p>
        </w:tc>
      </w:tr>
      <w:tr w:rsidR="00457A67" w:rsidRPr="00CC1F05" w14:paraId="767C9B66" w14:textId="77777777" w:rsidTr="00457A67">
        <w:trPr>
          <w:trHeight w:val="288"/>
          <w:jc w:val="center"/>
        </w:trPr>
        <w:tc>
          <w:tcPr>
            <w:tcW w:w="1701" w:type="dxa"/>
            <w:tcBorders>
              <w:top w:val="single" w:sz="4" w:space="0" w:color="auto"/>
              <w:left w:val="single" w:sz="4" w:space="0" w:color="auto"/>
              <w:bottom w:val="single" w:sz="4" w:space="0" w:color="auto"/>
              <w:right w:val="single" w:sz="4" w:space="0" w:color="auto"/>
            </w:tcBorders>
            <w:vAlign w:val="bottom"/>
          </w:tcPr>
          <w:p w14:paraId="4E41F94B" w14:textId="77777777" w:rsidR="00457A67" w:rsidRPr="00CC1F05"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3402" w:type="dxa"/>
            <w:gridSpan w:val="2"/>
            <w:tcBorders>
              <w:top w:val="single" w:sz="4" w:space="0" w:color="auto"/>
              <w:left w:val="single" w:sz="4" w:space="0" w:color="auto"/>
              <w:bottom w:val="single" w:sz="4" w:space="0" w:color="auto"/>
              <w:right w:val="single" w:sz="4" w:space="0" w:color="auto"/>
            </w:tcBorders>
            <w:vAlign w:val="bottom"/>
          </w:tcPr>
          <w:p w14:paraId="54059D9E" w14:textId="77777777" w:rsidR="00457A67" w:rsidRPr="00F54B05" w:rsidRDefault="00457A67" w:rsidP="00457A67">
            <w:pPr>
              <w:jc w:val="center"/>
              <w:rPr>
                <w:rFonts w:ascii="Calibri" w:eastAsia="Calibri" w:hAnsi="Calibri" w:cs="Calibri"/>
                <w:color w:val="000000"/>
                <w:sz w:val="22"/>
                <w:szCs w:val="22"/>
              </w:rPr>
            </w:pPr>
            <w:r w:rsidRPr="00F54B05">
              <w:rPr>
                <w:rFonts w:ascii="Calibri" w:eastAsia="Calibri" w:hAnsi="Calibri" w:cs="Calibri"/>
                <w:color w:val="000000"/>
                <w:sz w:val="22"/>
                <w:szCs w:val="22"/>
              </w:rPr>
              <w:t>311.2877</w:t>
            </w:r>
          </w:p>
        </w:tc>
      </w:tr>
    </w:tbl>
    <w:p w14:paraId="519D778D" w14:textId="77777777" w:rsidR="00457A67" w:rsidRPr="00CC1F05" w:rsidRDefault="00457A67" w:rsidP="00457A67">
      <w:pPr>
        <w:spacing w:line="276" w:lineRule="auto"/>
        <w:rPr>
          <w:rFonts w:ascii="Calibri" w:eastAsia="Calibri" w:hAnsi="Calibri" w:cs="Calibri"/>
        </w:rPr>
      </w:pPr>
    </w:p>
    <w:p w14:paraId="210042E0" w14:textId="77777777" w:rsidR="00457A67" w:rsidRPr="00CC1F05" w:rsidRDefault="00457A67" w:rsidP="00457A67">
      <w:pPr>
        <w:pStyle w:val="Descripcin"/>
        <w:spacing w:line="276" w:lineRule="auto"/>
        <w:rPr>
          <w:rFonts w:ascii="Calibri" w:hAnsi="Calibri"/>
          <w:color w:val="000000"/>
          <w:sz w:val="22"/>
          <w:szCs w:val="22"/>
        </w:rPr>
      </w:pPr>
      <w:r w:rsidRPr="00CC1F05">
        <w:rPr>
          <w:rFonts w:ascii="Calibri" w:hAnsi="Calibri"/>
          <w:sz w:val="22"/>
          <w:szCs w:val="22"/>
        </w:rPr>
        <w:t xml:space="preserve">Tabla </w:t>
      </w:r>
      <w:r>
        <w:rPr>
          <w:rFonts w:ascii="Calibri" w:hAnsi="Calibri"/>
          <w:sz w:val="22"/>
          <w:szCs w:val="22"/>
        </w:rPr>
        <w:t>8</w:t>
      </w:r>
      <w:r w:rsidRPr="00CC1F05">
        <w:rPr>
          <w:rFonts w:ascii="Calibri" w:hAnsi="Calibri"/>
          <w:sz w:val="22"/>
          <w:szCs w:val="22"/>
        </w:rPr>
        <w:t xml:space="preserve">. ÁREA DE LA ESTACIÓN CENTRAL HUANIPACA. </w:t>
      </w:r>
    </w:p>
    <w:p w14:paraId="6BFF77EA" w14:textId="45DC0ADA" w:rsidR="15FDE5D3" w:rsidRDefault="15FDE5D3" w:rsidP="15FDE5D3">
      <w:pPr>
        <w:pStyle w:val="Descripcin"/>
        <w:spacing w:line="276" w:lineRule="auto"/>
        <w:rPr>
          <w:rFonts w:ascii="Calibri" w:hAnsi="Calibri"/>
          <w:sz w:val="22"/>
          <w:szCs w:val="22"/>
        </w:rPr>
      </w:pPr>
    </w:p>
    <w:tbl>
      <w:tblPr>
        <w:tblW w:w="0" w:type="auto"/>
        <w:tblLayout w:type="fixed"/>
        <w:tblLook w:val="0400" w:firstRow="0" w:lastRow="0" w:firstColumn="0" w:lastColumn="0" w:noHBand="0" w:noVBand="1"/>
      </w:tblPr>
      <w:tblGrid>
        <w:gridCol w:w="1332"/>
        <w:gridCol w:w="1356"/>
        <w:gridCol w:w="1372"/>
        <w:gridCol w:w="1288"/>
        <w:gridCol w:w="1356"/>
        <w:gridCol w:w="1536"/>
      </w:tblGrid>
      <w:tr w:rsidR="15FDE5D3" w14:paraId="76267620" w14:textId="77777777" w:rsidTr="15FDE5D3">
        <w:trPr>
          <w:trHeight w:val="285"/>
        </w:trPr>
        <w:tc>
          <w:tcPr>
            <w:tcW w:w="8240" w:type="dxa"/>
            <w:gridSpan w:val="6"/>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E98F158" w14:textId="0BE775B1" w:rsidR="15FDE5D3" w:rsidRDefault="15FDE5D3" w:rsidP="001E4AD6">
            <w:pPr>
              <w:jc w:val="center"/>
              <w:rPr>
                <w:rFonts w:ascii="Calibri" w:eastAsia="Calibri" w:hAnsi="Calibri" w:cs="Calibri"/>
                <w:b/>
                <w:bCs/>
                <w:i/>
                <w:iCs/>
                <w:smallCaps/>
                <w:color w:val="000000" w:themeColor="text1"/>
                <w:lang w:val="es"/>
              </w:rPr>
            </w:pPr>
            <w:r w:rsidRPr="15FDE5D3">
              <w:rPr>
                <w:rFonts w:ascii="Calibri" w:eastAsia="Calibri" w:hAnsi="Calibri" w:cs="Calibri"/>
                <w:b/>
                <w:bCs/>
                <w:i/>
                <w:iCs/>
                <w:smallCaps/>
                <w:color w:val="000000" w:themeColor="text1"/>
                <w:lang w:val="es"/>
              </w:rPr>
              <w:t>Cuadro de Coordenadas UTM WGS 84</w:t>
            </w:r>
          </w:p>
        </w:tc>
      </w:tr>
      <w:tr w:rsidR="15FDE5D3" w14:paraId="2D672532" w14:textId="77777777" w:rsidTr="15FDE5D3">
        <w:trPr>
          <w:trHeight w:val="285"/>
        </w:trPr>
        <w:tc>
          <w:tcPr>
            <w:tcW w:w="8240" w:type="dxa"/>
            <w:gridSpan w:val="6"/>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EDD9F09" w14:textId="6D0A1974" w:rsidR="15FDE5D3" w:rsidRDefault="15FDE5D3" w:rsidP="001E4AD6">
            <w:pPr>
              <w:jc w:val="center"/>
              <w:rPr>
                <w:rFonts w:ascii="Calibri" w:eastAsia="Calibri" w:hAnsi="Calibri" w:cs="Calibri"/>
                <w:b/>
                <w:bCs/>
                <w:smallCaps/>
                <w:color w:val="000000" w:themeColor="text1"/>
                <w:lang w:val="es"/>
              </w:rPr>
            </w:pPr>
            <w:r w:rsidRPr="15FDE5D3">
              <w:rPr>
                <w:rFonts w:ascii="Calibri" w:eastAsia="Calibri" w:hAnsi="Calibri" w:cs="Calibri"/>
                <w:b/>
                <w:bCs/>
                <w:smallCaps/>
                <w:color w:val="000000" w:themeColor="text1"/>
                <w:lang w:val="es"/>
              </w:rPr>
              <w:t>Estación Central Huanipaca</w:t>
            </w:r>
          </w:p>
        </w:tc>
      </w:tr>
      <w:tr w:rsidR="15FDE5D3" w14:paraId="075704B9"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670579B" w14:textId="70ED818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Vértice</w:t>
            </w:r>
          </w:p>
        </w:tc>
        <w:tc>
          <w:tcPr>
            <w:tcW w:w="1356"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2C5DE4B" w14:textId="65383B5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Este</w:t>
            </w:r>
          </w:p>
        </w:tc>
        <w:tc>
          <w:tcPr>
            <w:tcW w:w="1372"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5D4C788" w14:textId="34FC7DD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Norte</w:t>
            </w:r>
          </w:p>
        </w:tc>
        <w:tc>
          <w:tcPr>
            <w:tcW w:w="1288"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B48B6A9" w14:textId="782C164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Vértice</w:t>
            </w:r>
          </w:p>
        </w:tc>
        <w:tc>
          <w:tcPr>
            <w:tcW w:w="1356"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83CC9B1" w14:textId="3E5B8FB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Este</w:t>
            </w:r>
          </w:p>
        </w:tc>
        <w:tc>
          <w:tcPr>
            <w:tcW w:w="1536" w:type="dxa"/>
            <w:tcBorders>
              <w:top w:val="nil"/>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D952282" w14:textId="1D24954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Norte</w:t>
            </w:r>
          </w:p>
        </w:tc>
      </w:tr>
      <w:tr w:rsidR="15FDE5D3" w14:paraId="2E850E0A"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EABF589" w14:textId="4B7BBC0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D977F6D" w14:textId="35A2777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724031.8981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FF46C8D" w14:textId="2E6F167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8507263.2062</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A941BD8" w14:textId="0523C79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P24</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AE043F9" w14:textId="0BE234A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723997.7423</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3DF2D29" w14:textId="6888026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8507019.8599</w:t>
            </w:r>
          </w:p>
        </w:tc>
      </w:tr>
      <w:tr w:rsidR="15FDE5D3" w14:paraId="503EABF4"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A02EF8F" w14:textId="5D98AD7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648A18D" w14:textId="2DC9527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724032.8624</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635922E" w14:textId="287E5B3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8507262.0898</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3DE0245" w14:textId="4562B3F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P25</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C01237" w14:textId="2C89037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723992.0551</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25ACE5F" w14:textId="518898E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8507034.3391</w:t>
            </w:r>
          </w:p>
        </w:tc>
      </w:tr>
      <w:tr w:rsidR="15FDE5D3" w14:paraId="6B598C2B"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77B538D" w14:textId="15AEDC5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0536F14" w14:textId="0A5161A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724038.9721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8308653" w14:textId="66AD782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8507254.1872</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0F7A3D6" w14:textId="25B2284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P26</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DC2C451" w14:textId="7273FAD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723989.8143</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994A31F" w14:textId="38A9E8A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8507044.1713</w:t>
            </w:r>
          </w:p>
        </w:tc>
      </w:tr>
      <w:tr w:rsidR="15FDE5D3" w14:paraId="77F1F499"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A9934E7" w14:textId="689866B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6F622E2" w14:textId="2AEAC91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724043.9336</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247342A" w14:textId="307AB5A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8507246.1798</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23315E1" w14:textId="6902612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P27</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969F543" w14:textId="2187D8F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723985.3133</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3A266E7" w14:textId="2DD9A0F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8507061.5267</w:t>
            </w:r>
          </w:p>
        </w:tc>
      </w:tr>
      <w:tr w:rsidR="15FDE5D3" w14:paraId="668CF7F7"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7B8E870" w14:textId="3021F78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P5</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7A1BA70" w14:textId="05FDD7F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724048.6884</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A99158A" w14:textId="4FB5405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8507237.2326</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1025B6C" w14:textId="354307F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P28</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E2C5A60" w14:textId="28825C7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723983.0587</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9FEDA8E" w14:textId="791BC79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8507071.1185</w:t>
            </w:r>
          </w:p>
        </w:tc>
      </w:tr>
      <w:tr w:rsidR="15FDE5D3" w14:paraId="45CC0049"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40B287A" w14:textId="4BD5E30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P6</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4FCA312" w14:textId="13AF3A9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724055.8539</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B89D91A" w14:textId="0469716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8507219.3465</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BAFE4C9" w14:textId="233138A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P29</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93BD5C1" w14:textId="072B21B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723980.8268</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017EC05" w14:textId="31874CD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8507080.6138</w:t>
            </w:r>
          </w:p>
        </w:tc>
      </w:tr>
      <w:tr w:rsidR="15FDE5D3" w14:paraId="302F7E27"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FC7C603" w14:textId="524D62F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P7</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696CD9E" w14:textId="50D3242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724059.0185</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408270C" w14:textId="4A8857F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8507210.0256</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EDB58AB" w14:textId="0121910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P30</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323901C" w14:textId="465F47D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723961.8570</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98A05C5" w14:textId="55C7FDC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8507104.4411</w:t>
            </w:r>
          </w:p>
        </w:tc>
      </w:tr>
      <w:tr w:rsidR="15FDE5D3" w14:paraId="547D0043"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9AAFA0C" w14:textId="7F91BB6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P8</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3A128C4" w14:textId="290FC80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724060.7955</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E2313F7" w14:textId="1AF5020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8507200.8240</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2684D25" w14:textId="3D1650C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P31</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9AEB584" w14:textId="40943EB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723953.8024</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B1481AC" w14:textId="580389C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8507113.7450</w:t>
            </w:r>
          </w:p>
        </w:tc>
      </w:tr>
      <w:tr w:rsidR="15FDE5D3" w14:paraId="0BFFC6E0"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CC1FB68" w14:textId="6DAD741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P9</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307FC0F" w14:textId="78259C7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724062.2283</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CD2EB74" w14:textId="76162F3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8507191.1210</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16CEC86" w14:textId="17F32C1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P32</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69092BE" w14:textId="686F201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723931.4008</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B52C87F" w14:textId="33361F4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8507143.9509</w:t>
            </w:r>
          </w:p>
        </w:tc>
      </w:tr>
      <w:tr w:rsidR="15FDE5D3" w14:paraId="4B21C829"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0B1DF1B" w14:textId="1509BF8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P10</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38EFDA6" w14:textId="67A481C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724062.6831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76DB8F7" w14:textId="6D62A89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8507181.3328</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C654649" w14:textId="0D31B83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P33</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500FFB3" w14:textId="743D2E2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723925.4027</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B1C13A8" w14:textId="52C7B5D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8507152.3568</w:t>
            </w:r>
          </w:p>
        </w:tc>
      </w:tr>
      <w:tr w:rsidR="15FDE5D3" w14:paraId="07F2DE8F"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2AF491B" w14:textId="3526C46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P11</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68E2D37" w14:textId="162E78A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724062.1428</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AD4FB99" w14:textId="20A0CD4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8507162.0625</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2687827" w14:textId="6258C1D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P34</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FB9124A" w14:textId="4D1D0CD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723928.3158</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CE0BA42" w14:textId="0362972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8507155.2741</w:t>
            </w:r>
          </w:p>
        </w:tc>
      </w:tr>
      <w:tr w:rsidR="15FDE5D3" w14:paraId="157DC9B4"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6A61139" w14:textId="6E0EC49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P12</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639FD7F" w14:textId="68EF9AC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724058.6837</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BA9E655" w14:textId="1278CD0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8507143.1957</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A2D65E7" w14:textId="1D13460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P35</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CC6469C" w14:textId="22FBCCB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723935.9041</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40DBA2F" w14:textId="074EEC1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8507163.3864</w:t>
            </w:r>
          </w:p>
        </w:tc>
      </w:tr>
      <w:tr w:rsidR="15FDE5D3" w14:paraId="700591C5"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0AFA1B8" w14:textId="0BFD98F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P13</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839B172" w14:textId="5D506D9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724045.8157</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E36ACA4" w14:textId="13B9633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8507095.0352</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E17E16B" w14:textId="64854A2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P36</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FCCF929" w14:textId="3F37156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723945.4633</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3343FEC" w14:textId="5D01196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8507174.0352</w:t>
            </w:r>
          </w:p>
        </w:tc>
      </w:tr>
      <w:tr w:rsidR="15FDE5D3" w14:paraId="3EF8FBB7"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782E3FE" w14:textId="11E2829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P14</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24B8900" w14:textId="3FD8BD5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724035.0877</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4FE05E8" w14:textId="01DBE27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8507056.5298</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7F57CED" w14:textId="208516D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P37</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4C63262" w14:textId="18F1381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723962.5695</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E71D689" w14:textId="780553A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8507191.1344</w:t>
            </w:r>
          </w:p>
        </w:tc>
      </w:tr>
      <w:tr w:rsidR="15FDE5D3" w14:paraId="78450C6D"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4503DA7" w14:textId="396CA93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P15</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29C867" w14:textId="6A45E60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724030.1812</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BC112D7" w14:textId="439BD5C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8507037.2991</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94CE5F3" w14:textId="069A6F4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P38</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A7EE533" w14:textId="3951234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723963.4384</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7A306D3" w14:textId="529231F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8507198.0333</w:t>
            </w:r>
          </w:p>
        </w:tc>
      </w:tr>
      <w:tr w:rsidR="15FDE5D3" w14:paraId="1BFAA3BB"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2B3B739" w14:textId="07E2957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P16</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1DFEF08" w14:textId="14C8E7A4"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724025.8431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EB08A45" w14:textId="36FAE42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8507022.4064</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D29299A" w14:textId="0983C24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P39</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AC1FA71" w14:textId="2B7C549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723966.4104</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E86159E" w14:textId="0E985E3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8507202.6820</w:t>
            </w:r>
          </w:p>
        </w:tc>
      </w:tr>
      <w:tr w:rsidR="15FDE5D3" w14:paraId="21B4DF84"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A9909E4" w14:textId="2D804EB5"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P17</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1EC9244" w14:textId="05ED0E3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724024.9300</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F418847" w14:textId="0CF8ED1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8507016.9462</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00944E8" w14:textId="3776789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P40</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D9B355E" w14:textId="12CCB67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723970.4660</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190F19F" w14:textId="4969626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8507205.6523</w:t>
            </w:r>
          </w:p>
        </w:tc>
      </w:tr>
      <w:tr w:rsidR="15FDE5D3" w14:paraId="2739283B"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7EECD40" w14:textId="71071170"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P18</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A3E6501" w14:textId="14E94B19"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724024.8797</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C3CD671" w14:textId="744527F2"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8507016.3423</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25C5649" w14:textId="041D4E4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P41</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7C62B72" w14:textId="63276C5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723977.6690</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CC5038A" w14:textId="577472CE"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8507212.4839</w:t>
            </w:r>
          </w:p>
        </w:tc>
      </w:tr>
      <w:tr w:rsidR="15FDE5D3" w14:paraId="14B86525"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747EA8F" w14:textId="09EEE45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P19</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59F784D" w14:textId="13B18E68"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724022.6718</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FF4C386" w14:textId="36EE7EF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8507013.8772</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AB25983" w14:textId="00A0CDE7"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P42</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74A23B1" w14:textId="57B73EC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723983.3149</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4F9F446" w14:textId="08A9133C"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8507221.0724</w:t>
            </w:r>
          </w:p>
        </w:tc>
      </w:tr>
      <w:tr w:rsidR="15FDE5D3" w14:paraId="13399642"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CB89931" w14:textId="1E17D711"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P20</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DD5B8F2" w14:textId="23D45DCB"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724015.3475</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676B6F6" w14:textId="5CA470E3"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8507008.0866</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B4D997D" w14:textId="7EA79336"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P43</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A8DB207" w14:textId="4FA6654A"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723989.6890</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BC50BE5" w14:textId="18F5EBEF"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8507228.2573</w:t>
            </w:r>
          </w:p>
        </w:tc>
      </w:tr>
      <w:tr w:rsidR="15FDE5D3" w14:paraId="3179796E"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07C61B62" w14:textId="5B915A17"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P21</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737D502" w14:textId="7CED5597"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724010.3904</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4ABF471" w14:textId="4750BAC7"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8507004.1675</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9EF3C3F" w14:textId="3951029B"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P44</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76EA29B9" w14:textId="79841139"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723994.3152</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898BFF2" w14:textId="62436B17"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8507233.4720</w:t>
            </w:r>
          </w:p>
        </w:tc>
      </w:tr>
      <w:tr w:rsidR="15FDE5D3" w14:paraId="0BA0FA54"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BE91A6" w14:textId="7924B6D1"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lastRenderedPageBreak/>
              <w:t>P22</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510249F" w14:textId="3DEC4A84"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724008.7061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449D1236" w14:textId="53168CFF"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8507011.1087</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56689C5" w14:textId="44D1C61B"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P45</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2BEF67AE" w14:textId="02C897F9"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724001.3005</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1882AC0" w14:textId="417C44F1"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8507235.1449</w:t>
            </w:r>
          </w:p>
        </w:tc>
      </w:tr>
      <w:tr w:rsidR="15FDE5D3" w14:paraId="7AF11880"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B578E0D" w14:textId="2F00AE2E"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P23</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D4B0990" w14:textId="761CB66D"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724004.0931</w:t>
            </w:r>
          </w:p>
        </w:tc>
        <w:tc>
          <w:tcPr>
            <w:tcW w:w="137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DF7D903" w14:textId="57C7A3A7"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8507015.1884</w:t>
            </w:r>
          </w:p>
        </w:tc>
        <w:tc>
          <w:tcPr>
            <w:tcW w:w="1288"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6E9CC727" w14:textId="6287A55F"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P46</w:t>
            </w:r>
          </w:p>
        </w:tc>
        <w:tc>
          <w:tcPr>
            <w:tcW w:w="135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9D31416" w14:textId="164538AA"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724014.1677</w:t>
            </w:r>
          </w:p>
        </w:tc>
        <w:tc>
          <w:tcPr>
            <w:tcW w:w="1536"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10ED7EA7" w14:textId="1B339DFC" w:rsidR="15FDE5D3" w:rsidRDefault="15FDE5D3" w:rsidP="001E4AD6">
            <w:pPr>
              <w:spacing w:before="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8507245.4269</w:t>
            </w:r>
          </w:p>
        </w:tc>
      </w:tr>
      <w:tr w:rsidR="15FDE5D3" w14:paraId="3229A287"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3780FD29" w14:textId="4EAC2D16" w:rsidR="15FDE5D3" w:rsidRDefault="15FDE5D3" w:rsidP="001E4AD6">
            <w:pPr>
              <w:jc w:val="center"/>
              <w:rPr>
                <w:rFonts w:ascii="Calibri" w:eastAsia="Calibri" w:hAnsi="Calibri" w:cs="Calibri"/>
                <w:b/>
                <w:bCs/>
                <w:smallCaps/>
                <w:color w:val="000000" w:themeColor="text1"/>
                <w:lang w:val="es"/>
              </w:rPr>
            </w:pPr>
            <w:r w:rsidRPr="15FDE5D3">
              <w:rPr>
                <w:rFonts w:ascii="Calibri" w:eastAsia="Calibri" w:hAnsi="Calibri" w:cs="Calibri"/>
                <w:b/>
                <w:bCs/>
                <w:smallCaps/>
                <w:color w:val="000000" w:themeColor="text1"/>
                <w:lang w:val="es"/>
              </w:rPr>
              <w:t>Área (m2)</w:t>
            </w:r>
          </w:p>
        </w:tc>
        <w:tc>
          <w:tcPr>
            <w:tcW w:w="6908" w:type="dxa"/>
            <w:gridSpan w:val="5"/>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center"/>
          </w:tcPr>
          <w:p w14:paraId="1E7DA38E" w14:textId="28369C3D" w:rsidR="15FDE5D3" w:rsidRDefault="15FDE5D3" w:rsidP="001E4AD6">
            <w:pPr>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18,838.24</w:t>
            </w:r>
          </w:p>
        </w:tc>
      </w:tr>
      <w:tr w:rsidR="15FDE5D3" w14:paraId="06AAED9D" w14:textId="77777777" w:rsidTr="15FDE5D3">
        <w:trPr>
          <w:trHeight w:val="285"/>
        </w:trPr>
        <w:tc>
          <w:tcPr>
            <w:tcW w:w="1332" w:type="dxa"/>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bottom"/>
          </w:tcPr>
          <w:p w14:paraId="5FCD7B78" w14:textId="6C533AA7" w:rsidR="15FDE5D3" w:rsidRDefault="15FDE5D3" w:rsidP="001E4AD6">
            <w:pPr>
              <w:spacing w:before="120" w:after="120"/>
              <w:jc w:val="center"/>
              <w:rPr>
                <w:rFonts w:ascii="Calibri" w:eastAsia="Calibri" w:hAnsi="Calibri" w:cs="Calibri"/>
                <w:b/>
                <w:bCs/>
                <w:smallCaps/>
                <w:color w:val="000000" w:themeColor="text1"/>
                <w:lang w:val="es"/>
              </w:rPr>
            </w:pPr>
            <w:r w:rsidRPr="15FDE5D3">
              <w:rPr>
                <w:rFonts w:ascii="Calibri" w:eastAsia="Calibri" w:hAnsi="Calibri" w:cs="Calibri"/>
                <w:b/>
                <w:bCs/>
                <w:smallCaps/>
                <w:color w:val="000000" w:themeColor="text1"/>
                <w:lang w:val="es"/>
              </w:rPr>
              <w:t>Perímetro (ml)</w:t>
            </w:r>
          </w:p>
        </w:tc>
        <w:tc>
          <w:tcPr>
            <w:tcW w:w="6908" w:type="dxa"/>
            <w:gridSpan w:val="5"/>
            <w:tc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tcBorders>
            <w:tcMar>
              <w:top w:w="15" w:type="dxa"/>
              <w:left w:w="15" w:type="dxa"/>
              <w:bottom w:w="15" w:type="dxa"/>
              <w:right w:w="15" w:type="dxa"/>
            </w:tcMar>
            <w:vAlign w:val="center"/>
          </w:tcPr>
          <w:p w14:paraId="7833AB39" w14:textId="52696D7F" w:rsidR="15FDE5D3" w:rsidRDefault="15FDE5D3" w:rsidP="001E4AD6">
            <w:pPr>
              <w:spacing w:before="120" w:after="120"/>
              <w:jc w:val="center"/>
              <w:rPr>
                <w:rFonts w:ascii="Calibri" w:eastAsia="Calibri" w:hAnsi="Calibri" w:cs="Calibri"/>
                <w:smallCaps/>
                <w:color w:val="000000" w:themeColor="text1"/>
                <w:lang w:val="es"/>
              </w:rPr>
            </w:pPr>
            <w:r w:rsidRPr="15FDE5D3">
              <w:rPr>
                <w:rFonts w:ascii="Calibri" w:eastAsia="Calibri" w:hAnsi="Calibri" w:cs="Calibri"/>
                <w:smallCaps/>
                <w:color w:val="000000" w:themeColor="text1"/>
                <w:lang w:val="es"/>
              </w:rPr>
              <w:t>609.68</w:t>
            </w:r>
          </w:p>
        </w:tc>
      </w:tr>
    </w:tbl>
    <w:p w14:paraId="39AFAE81" w14:textId="02530D6D" w:rsidR="15FDE5D3" w:rsidRDefault="15FDE5D3" w:rsidP="15FDE5D3">
      <w:pPr>
        <w:pStyle w:val="Normal0"/>
      </w:pPr>
    </w:p>
    <w:p w14:paraId="246ACC19" w14:textId="77777777" w:rsidR="00457A67" w:rsidRDefault="00457A67" w:rsidP="00457A67">
      <w:pPr>
        <w:pStyle w:val="Descripcin"/>
        <w:spacing w:line="276" w:lineRule="auto"/>
        <w:rPr>
          <w:rFonts w:ascii="Calibri" w:hAnsi="Calibri"/>
          <w:sz w:val="22"/>
          <w:szCs w:val="22"/>
        </w:rPr>
      </w:pPr>
      <w:r w:rsidRPr="00CC1F05">
        <w:rPr>
          <w:rFonts w:ascii="Calibri" w:hAnsi="Calibri"/>
          <w:sz w:val="22"/>
          <w:szCs w:val="22"/>
        </w:rPr>
        <w:t xml:space="preserve">Tabla </w:t>
      </w:r>
      <w:r>
        <w:rPr>
          <w:rFonts w:ascii="Calibri" w:hAnsi="Calibri"/>
          <w:sz w:val="22"/>
          <w:szCs w:val="22"/>
        </w:rPr>
        <w:t>9</w:t>
      </w:r>
      <w:r w:rsidRPr="00CC1F05">
        <w:rPr>
          <w:rFonts w:ascii="Calibri" w:hAnsi="Calibri"/>
          <w:sz w:val="22"/>
          <w:szCs w:val="22"/>
        </w:rPr>
        <w:t>. Localización de Las Vía</w:t>
      </w:r>
      <w:r>
        <w:rPr>
          <w:rFonts w:ascii="Calibri" w:hAnsi="Calibri"/>
          <w:sz w:val="22"/>
          <w:szCs w:val="22"/>
        </w:rPr>
        <w:t>s</w:t>
      </w:r>
      <w:r w:rsidRPr="00CC1F05">
        <w:rPr>
          <w:rFonts w:ascii="Calibri" w:hAnsi="Calibri"/>
          <w:sz w:val="22"/>
          <w:szCs w:val="22"/>
        </w:rPr>
        <w:t xml:space="preserve"> TURÍSTICA</w:t>
      </w:r>
      <w:r>
        <w:rPr>
          <w:rFonts w:ascii="Calibri" w:hAnsi="Calibri"/>
          <w:sz w:val="22"/>
          <w:szCs w:val="22"/>
        </w:rPr>
        <w:t>s</w:t>
      </w:r>
      <w:r w:rsidRPr="00CC1F05">
        <w:rPr>
          <w:rFonts w:ascii="Calibri" w:hAnsi="Calibri"/>
          <w:sz w:val="22"/>
          <w:szCs w:val="22"/>
        </w:rPr>
        <w:t xml:space="preserve"> KIUÑALLA - ESTACIÓN KIUÑALLA</w:t>
      </w:r>
    </w:p>
    <w:p w14:paraId="354B3FB5" w14:textId="77777777" w:rsidR="00F210B9" w:rsidRDefault="00F210B9" w:rsidP="00457A67">
      <w:pPr>
        <w:pStyle w:val="Normal0"/>
      </w:pPr>
    </w:p>
    <w:p w14:paraId="099146AE" w14:textId="77777777" w:rsidR="00457A67" w:rsidRDefault="00457A67" w:rsidP="00457A67">
      <w:pPr>
        <w:pStyle w:val="Descripcin"/>
        <w:spacing w:line="276" w:lineRule="auto"/>
        <w:rPr>
          <w:rFonts w:ascii="Calibri" w:hAnsi="Calibri"/>
          <w:sz w:val="22"/>
          <w:szCs w:val="22"/>
        </w:rPr>
      </w:pPr>
      <w:r>
        <w:rPr>
          <w:rFonts w:ascii="Calibri" w:hAnsi="Calibri"/>
          <w:sz w:val="22"/>
          <w:szCs w:val="22"/>
        </w:rPr>
        <w:t>tabla 9.A  EXTREMOS Y LONGITUD DE LA VÍA TURÍSTICA VEHICULAR KIUÑALLA – ESTACIÓN KIUÑALLA</w:t>
      </w:r>
      <w:r w:rsidRPr="00CC1F05">
        <w:rPr>
          <w:rFonts w:ascii="Calibri" w:hAnsi="Calibri"/>
          <w:sz w:val="22"/>
          <w:szCs w:val="22"/>
        </w:rPr>
        <w:t xml:space="preserve">. </w:t>
      </w:r>
    </w:p>
    <w:p w14:paraId="25513477" w14:textId="77777777" w:rsidR="00457A67" w:rsidRPr="001B00AA" w:rsidRDefault="00457A67" w:rsidP="00457A67">
      <w:pPr>
        <w:pStyle w:val="Normal0"/>
      </w:pPr>
    </w:p>
    <w:tbl>
      <w:tblPr>
        <w:tblStyle w:val="268"/>
        <w:tblW w:w="8505" w:type="dxa"/>
        <w:jc w:val="center"/>
        <w:tblInd w:w="0" w:type="dxa"/>
        <w:tblLayout w:type="fixed"/>
        <w:tblLook w:val="0400" w:firstRow="0" w:lastRow="0" w:firstColumn="0" w:lastColumn="0" w:noHBand="0" w:noVBand="1"/>
      </w:tblPr>
      <w:tblGrid>
        <w:gridCol w:w="2835"/>
        <w:gridCol w:w="2835"/>
        <w:gridCol w:w="2835"/>
      </w:tblGrid>
      <w:tr w:rsidR="00457A67" w:rsidRPr="00CC1F05" w14:paraId="0AF99D65"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37567600"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1DF09C48" w14:textId="77777777" w:rsidTr="00457A67">
        <w:trPr>
          <w:trHeight w:val="288"/>
          <w:jc w:val="center"/>
        </w:trPr>
        <w:tc>
          <w:tcPr>
            <w:tcW w:w="8505" w:type="dxa"/>
            <w:gridSpan w:val="3"/>
            <w:tcBorders>
              <w:top w:val="single" w:sz="4" w:space="0" w:color="auto"/>
              <w:left w:val="single" w:sz="4" w:space="0" w:color="auto"/>
              <w:bottom w:val="single" w:sz="4" w:space="0" w:color="auto"/>
              <w:right w:val="single" w:sz="4" w:space="0" w:color="auto"/>
            </w:tcBorders>
          </w:tcPr>
          <w:p w14:paraId="2517D26E"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Vía Turística Vehicular Kiuñalla – Estación Kiuñalla</w:t>
            </w:r>
          </w:p>
        </w:tc>
      </w:tr>
      <w:tr w:rsidR="00457A67" w:rsidRPr="00CC1F05" w14:paraId="42AAB5CB"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2A8333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2835" w:type="dxa"/>
            <w:tcBorders>
              <w:top w:val="single" w:sz="4" w:space="0" w:color="auto"/>
              <w:left w:val="single" w:sz="4" w:space="0" w:color="auto"/>
              <w:bottom w:val="single" w:sz="4" w:space="0" w:color="auto"/>
              <w:right w:val="single" w:sz="4" w:space="0" w:color="auto"/>
            </w:tcBorders>
            <w:vAlign w:val="bottom"/>
          </w:tcPr>
          <w:p w14:paraId="79C1ECF7"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2835" w:type="dxa"/>
            <w:tcBorders>
              <w:top w:val="single" w:sz="4" w:space="0" w:color="auto"/>
              <w:left w:val="single" w:sz="4" w:space="0" w:color="auto"/>
              <w:bottom w:val="single" w:sz="4" w:space="0" w:color="auto"/>
              <w:right w:val="single" w:sz="4" w:space="0" w:color="auto"/>
            </w:tcBorders>
            <w:vAlign w:val="bottom"/>
          </w:tcPr>
          <w:p w14:paraId="1FACC91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380BE339"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2A0D090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Inicio</w:t>
            </w:r>
          </w:p>
        </w:tc>
        <w:tc>
          <w:tcPr>
            <w:tcW w:w="2835" w:type="dxa"/>
            <w:tcBorders>
              <w:top w:val="single" w:sz="4" w:space="0" w:color="auto"/>
              <w:left w:val="single" w:sz="4" w:space="0" w:color="auto"/>
              <w:bottom w:val="single" w:sz="4" w:space="0" w:color="auto"/>
              <w:right w:val="single" w:sz="4" w:space="0" w:color="auto"/>
            </w:tcBorders>
            <w:vAlign w:val="bottom"/>
          </w:tcPr>
          <w:p w14:paraId="512155E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7281</w:t>
            </w:r>
            <w:r>
              <w:rPr>
                <w:rFonts w:ascii="Calibri" w:eastAsia="Calibri" w:hAnsi="Calibri" w:cs="Calibri"/>
                <w:color w:val="000000"/>
                <w:sz w:val="22"/>
                <w:szCs w:val="22"/>
              </w:rPr>
              <w:t>33.9975</w:t>
            </w:r>
          </w:p>
        </w:tc>
        <w:tc>
          <w:tcPr>
            <w:tcW w:w="2835" w:type="dxa"/>
            <w:tcBorders>
              <w:top w:val="single" w:sz="4" w:space="0" w:color="auto"/>
              <w:left w:val="single" w:sz="4" w:space="0" w:color="auto"/>
              <w:bottom w:val="single" w:sz="4" w:space="0" w:color="auto"/>
              <w:right w:val="single" w:sz="4" w:space="0" w:color="auto"/>
            </w:tcBorders>
            <w:vAlign w:val="bottom"/>
          </w:tcPr>
          <w:p w14:paraId="06E91D0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8513</w:t>
            </w:r>
            <w:r>
              <w:rPr>
                <w:rFonts w:ascii="Calibri" w:eastAsia="Calibri" w:hAnsi="Calibri" w:cs="Calibri"/>
                <w:color w:val="000000"/>
                <w:sz w:val="22"/>
                <w:szCs w:val="22"/>
              </w:rPr>
              <w:t>221.9994</w:t>
            </w:r>
          </w:p>
        </w:tc>
      </w:tr>
      <w:tr w:rsidR="00457A67" w:rsidRPr="00CC1F05" w14:paraId="500F4C2C"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3B18CC5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Fin</w:t>
            </w:r>
          </w:p>
        </w:tc>
        <w:tc>
          <w:tcPr>
            <w:tcW w:w="2835" w:type="dxa"/>
            <w:tcBorders>
              <w:top w:val="single" w:sz="4" w:space="0" w:color="auto"/>
              <w:left w:val="single" w:sz="4" w:space="0" w:color="auto"/>
              <w:bottom w:val="single" w:sz="4" w:space="0" w:color="auto"/>
              <w:right w:val="single" w:sz="4" w:space="0" w:color="auto"/>
            </w:tcBorders>
            <w:vAlign w:val="bottom"/>
          </w:tcPr>
          <w:p w14:paraId="4163D5C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728324.7</w:t>
            </w:r>
            <w:r>
              <w:rPr>
                <w:rFonts w:ascii="Calibri" w:eastAsia="Calibri" w:hAnsi="Calibri" w:cs="Calibri"/>
                <w:color w:val="000000"/>
                <w:sz w:val="22"/>
                <w:szCs w:val="22"/>
              </w:rPr>
              <w:t>598</w:t>
            </w:r>
          </w:p>
        </w:tc>
        <w:tc>
          <w:tcPr>
            <w:tcW w:w="2835" w:type="dxa"/>
            <w:tcBorders>
              <w:top w:val="single" w:sz="4" w:space="0" w:color="auto"/>
              <w:left w:val="single" w:sz="4" w:space="0" w:color="auto"/>
              <w:bottom w:val="single" w:sz="4" w:space="0" w:color="auto"/>
              <w:right w:val="single" w:sz="4" w:space="0" w:color="auto"/>
            </w:tcBorders>
            <w:vAlign w:val="bottom"/>
          </w:tcPr>
          <w:p w14:paraId="2E0D51F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8514050.26</w:t>
            </w:r>
            <w:r>
              <w:rPr>
                <w:rFonts w:ascii="Calibri" w:eastAsia="Calibri" w:hAnsi="Calibri" w:cs="Calibri"/>
                <w:color w:val="000000"/>
                <w:sz w:val="22"/>
                <w:szCs w:val="22"/>
              </w:rPr>
              <w:t>84</w:t>
            </w:r>
          </w:p>
        </w:tc>
      </w:tr>
      <w:tr w:rsidR="00457A67" w:rsidRPr="00CC1F05" w14:paraId="29E9D9A4"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75EA1816" w14:textId="77777777" w:rsidR="00457A67" w:rsidRPr="00CC1F05" w:rsidRDefault="00457A67" w:rsidP="00457A67">
            <w:pPr>
              <w:jc w:val="center"/>
              <w:rPr>
                <w:rFonts w:ascii="Calibri" w:eastAsia="Calibri" w:hAnsi="Calibri" w:cs="Calibri"/>
                <w:color w:val="000000"/>
              </w:rPr>
            </w:pPr>
            <w:r w:rsidRPr="00DB51FC">
              <w:rPr>
                <w:rFonts w:ascii="Calibri" w:eastAsia="Calibri" w:hAnsi="Calibri" w:cs="Calibri"/>
                <w:color w:val="000000"/>
                <w:sz w:val="22"/>
                <w:szCs w:val="22"/>
              </w:rPr>
              <w:t>Longitud de vía</w:t>
            </w:r>
            <w:r>
              <w:rPr>
                <w:rFonts w:ascii="Calibri" w:eastAsia="Calibri" w:hAnsi="Calibri" w:cs="Calibri"/>
                <w:color w:val="000000"/>
                <w:sz w:val="22"/>
                <w:szCs w:val="22"/>
              </w:rPr>
              <w:t xml:space="preserv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30AAF79C"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1080.6502</w:t>
            </w:r>
          </w:p>
        </w:tc>
      </w:tr>
      <w:tr w:rsidR="00457A67" w:rsidRPr="00CC1F05" w14:paraId="23A1D3BB" w14:textId="77777777" w:rsidTr="00457A67">
        <w:trPr>
          <w:trHeight w:val="288"/>
          <w:jc w:val="center"/>
        </w:trPr>
        <w:tc>
          <w:tcPr>
            <w:tcW w:w="2835" w:type="dxa"/>
            <w:tcBorders>
              <w:top w:val="single" w:sz="4" w:space="0" w:color="auto"/>
              <w:left w:val="single" w:sz="4" w:space="0" w:color="auto"/>
              <w:bottom w:val="single" w:sz="4" w:space="0" w:color="auto"/>
              <w:right w:val="single" w:sz="4" w:space="0" w:color="auto"/>
            </w:tcBorders>
            <w:vAlign w:val="bottom"/>
          </w:tcPr>
          <w:p w14:paraId="0B4F2460"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Sección de vía típica a eje (ml)</w:t>
            </w:r>
          </w:p>
        </w:tc>
        <w:tc>
          <w:tcPr>
            <w:tcW w:w="5670" w:type="dxa"/>
            <w:gridSpan w:val="2"/>
            <w:tcBorders>
              <w:top w:val="single" w:sz="4" w:space="0" w:color="auto"/>
              <w:left w:val="single" w:sz="4" w:space="0" w:color="auto"/>
              <w:bottom w:val="single" w:sz="4" w:space="0" w:color="auto"/>
              <w:right w:val="single" w:sz="4" w:space="0" w:color="auto"/>
            </w:tcBorders>
            <w:vAlign w:val="bottom"/>
          </w:tcPr>
          <w:p w14:paraId="76332866" w14:textId="77777777" w:rsidR="00457A67" w:rsidRPr="00CC1F05" w:rsidRDefault="00457A67" w:rsidP="00457A67">
            <w:pPr>
              <w:jc w:val="center"/>
              <w:rPr>
                <w:rFonts w:ascii="Calibri" w:eastAsia="Calibri" w:hAnsi="Calibri" w:cs="Calibri"/>
                <w:color w:val="000000"/>
              </w:rPr>
            </w:pPr>
            <w:r>
              <w:rPr>
                <w:rFonts w:ascii="Calibri" w:eastAsia="Calibri" w:hAnsi="Calibri" w:cs="Calibri"/>
                <w:color w:val="000000"/>
                <w:sz w:val="22"/>
                <w:szCs w:val="22"/>
              </w:rPr>
              <w:t>3.5750</w:t>
            </w:r>
          </w:p>
        </w:tc>
      </w:tr>
    </w:tbl>
    <w:p w14:paraId="12447E62" w14:textId="77777777" w:rsidR="00457A67" w:rsidRDefault="00457A67" w:rsidP="00457A67">
      <w:pPr>
        <w:spacing w:line="276" w:lineRule="auto"/>
        <w:ind w:left="-142" w:hanging="1276"/>
        <w:jc w:val="center"/>
        <w:rPr>
          <w:rFonts w:ascii="Calibri" w:eastAsia="Calibri" w:hAnsi="Calibri" w:cs="Calibri"/>
        </w:rPr>
      </w:pPr>
    </w:p>
    <w:p w14:paraId="15E4E0D5" w14:textId="77777777" w:rsidR="00F210B9" w:rsidRDefault="00F210B9" w:rsidP="00457A67">
      <w:pPr>
        <w:pStyle w:val="Descripcin"/>
        <w:spacing w:line="276" w:lineRule="auto"/>
        <w:rPr>
          <w:rFonts w:ascii="Calibri" w:hAnsi="Calibri"/>
          <w:sz w:val="22"/>
          <w:szCs w:val="22"/>
        </w:rPr>
      </w:pPr>
    </w:p>
    <w:p w14:paraId="68B13A15" w14:textId="656EC659" w:rsidR="00457A67" w:rsidRDefault="00457A67" w:rsidP="00457A67">
      <w:pPr>
        <w:pStyle w:val="Descripcin"/>
        <w:spacing w:line="276" w:lineRule="auto"/>
        <w:rPr>
          <w:rFonts w:ascii="Calibri" w:hAnsi="Calibri"/>
          <w:sz w:val="22"/>
          <w:szCs w:val="22"/>
        </w:rPr>
      </w:pPr>
      <w:r>
        <w:rPr>
          <w:rFonts w:ascii="Calibri" w:hAnsi="Calibri"/>
          <w:sz w:val="22"/>
          <w:szCs w:val="22"/>
        </w:rPr>
        <w:t xml:space="preserve">tabla </w:t>
      </w:r>
      <w:r w:rsidR="00F210B9">
        <w:rPr>
          <w:rFonts w:ascii="Calibri" w:hAnsi="Calibri"/>
          <w:sz w:val="22"/>
          <w:szCs w:val="22"/>
        </w:rPr>
        <w:t>9.B PROGRESIVAS</w:t>
      </w:r>
      <w:r>
        <w:rPr>
          <w:rFonts w:ascii="Calibri" w:hAnsi="Calibri"/>
          <w:sz w:val="22"/>
          <w:szCs w:val="22"/>
        </w:rPr>
        <w:t xml:space="preserve"> DE LA VÍA TURÍSTICA VEHICULAR Kiuñalla – ESTACIÓN Kiuñalla</w:t>
      </w:r>
    </w:p>
    <w:p w14:paraId="5A9B364F" w14:textId="3A367758" w:rsidR="00457A67" w:rsidRDefault="00457A67" w:rsidP="00A3732C">
      <w:pPr>
        <w:spacing w:line="276" w:lineRule="auto"/>
        <w:rPr>
          <w:rFonts w:ascii="Calibri" w:eastAsia="Calibri" w:hAnsi="Calibri" w:cs="Calibri"/>
        </w:rPr>
      </w:pPr>
    </w:p>
    <w:tbl>
      <w:tblPr>
        <w:tblStyle w:val="265"/>
        <w:tblW w:w="9072" w:type="dxa"/>
        <w:tblInd w:w="-5" w:type="dxa"/>
        <w:tblLayout w:type="fixed"/>
        <w:tblLook w:val="0400" w:firstRow="0" w:lastRow="0" w:firstColumn="0" w:lastColumn="0" w:noHBand="0" w:noVBand="1"/>
      </w:tblPr>
      <w:tblGrid>
        <w:gridCol w:w="284"/>
        <w:gridCol w:w="283"/>
        <w:gridCol w:w="709"/>
        <w:gridCol w:w="567"/>
        <w:gridCol w:w="567"/>
        <w:gridCol w:w="567"/>
        <w:gridCol w:w="709"/>
        <w:gridCol w:w="850"/>
        <w:gridCol w:w="851"/>
        <w:gridCol w:w="709"/>
        <w:gridCol w:w="567"/>
        <w:gridCol w:w="567"/>
        <w:gridCol w:w="850"/>
        <w:gridCol w:w="992"/>
      </w:tblGrid>
      <w:tr w:rsidR="00F210B9" w:rsidRPr="007F0765" w14:paraId="0AF82558" w14:textId="77777777" w:rsidTr="00A3732C">
        <w:trPr>
          <w:trHeight w:val="288"/>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FACF87" w14:textId="77777777" w:rsidR="00F210B9" w:rsidRPr="007F0765" w:rsidRDefault="00F210B9" w:rsidP="00F31011">
            <w:pPr>
              <w:spacing w:before="0" w:after="0"/>
              <w:jc w:val="center"/>
              <w:rPr>
                <w:rFonts w:ascii="Calibri" w:eastAsia="Calibri" w:hAnsi="Calibri" w:cs="Calibri"/>
                <w:b/>
                <w:i/>
                <w:color w:val="000000"/>
                <w:sz w:val="20"/>
                <w:szCs w:val="22"/>
              </w:rPr>
            </w:pPr>
            <w:r w:rsidRPr="007F0765">
              <w:rPr>
                <w:rFonts w:eastAsia="Calibri"/>
                <w:b/>
                <w:i/>
                <w:color w:val="000000"/>
                <w:sz w:val="20"/>
              </w:rPr>
              <w:t>Cuadro de Elementos de curva - Coordenadas UTM WGS 84</w:t>
            </w:r>
          </w:p>
        </w:tc>
      </w:tr>
      <w:tr w:rsidR="00F210B9" w:rsidRPr="007F0765" w14:paraId="36A827B9" w14:textId="77777777" w:rsidTr="00A3732C">
        <w:trPr>
          <w:trHeight w:val="275"/>
        </w:trPr>
        <w:tc>
          <w:tcPr>
            <w:tcW w:w="9072" w:type="dxa"/>
            <w:gridSpan w:val="1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BD5664" w14:textId="77777777" w:rsidR="00F210B9" w:rsidRPr="007F0765" w:rsidRDefault="00F210B9" w:rsidP="00F31011">
            <w:pPr>
              <w:jc w:val="center"/>
              <w:rPr>
                <w:rFonts w:ascii="Calibri" w:eastAsia="Calibri" w:hAnsi="Calibri" w:cs="Calibri"/>
                <w:b/>
                <w:color w:val="000000"/>
                <w:sz w:val="20"/>
                <w:szCs w:val="22"/>
              </w:rPr>
            </w:pPr>
            <w:r w:rsidRPr="007F0765">
              <w:rPr>
                <w:rFonts w:eastAsia="Calibri"/>
                <w:b/>
                <w:i/>
                <w:color w:val="000000"/>
                <w:sz w:val="20"/>
              </w:rPr>
              <w:t>Progresivas de la Vía Turística Vehicular Yanama – Estación San Juan</w:t>
            </w:r>
          </w:p>
        </w:tc>
      </w:tr>
      <w:tr w:rsidR="0068176C" w:rsidRPr="007F0765" w14:paraId="3194CBC4" w14:textId="77777777" w:rsidTr="0068176C">
        <w:trPr>
          <w:trHeight w:val="365"/>
        </w:trPr>
        <w:tc>
          <w:tcPr>
            <w:tcW w:w="284"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6C08C589" w14:textId="77777777" w:rsidR="00F210B9" w:rsidRPr="007F0765" w:rsidRDefault="00F210B9" w:rsidP="00F31011">
            <w:pPr>
              <w:spacing w:before="0" w:after="0"/>
              <w:ind w:left="-584"/>
              <w:jc w:val="center"/>
              <w:rPr>
                <w:rFonts w:ascii="Calibri" w:eastAsia="Calibri" w:hAnsi="Calibri" w:cs="Calibri"/>
                <w:color w:val="000000"/>
                <w:sz w:val="14"/>
                <w:szCs w:val="22"/>
              </w:rPr>
            </w:pPr>
            <w:r w:rsidRPr="007F0765">
              <w:rPr>
                <w:rFonts w:eastAsia="Calibri"/>
                <w:color w:val="000000"/>
                <w:sz w:val="14"/>
              </w:rPr>
              <w:t>N°</w:t>
            </w:r>
          </w:p>
        </w:tc>
        <w:tc>
          <w:tcPr>
            <w:tcW w:w="283"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278F171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3775FD83"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Ang. Deflexión A.D (°)</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48B65D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Radio H. R(m)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32CF3F2D"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Subtangente T(m)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53B7792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Curva L(m)</w:t>
            </w:r>
          </w:p>
        </w:tc>
        <w:tc>
          <w:tcPr>
            <w:tcW w:w="709"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40B0159A"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Externo E(m)</w:t>
            </w:r>
          </w:p>
        </w:tc>
        <w:tc>
          <w:tcPr>
            <w:tcW w:w="2410" w:type="dxa"/>
            <w:gridSpan w:val="3"/>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398A84"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Progresivas  (km)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14:paraId="4083AE10"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Sobre ancho S.A (m)</w:t>
            </w:r>
          </w:p>
        </w:tc>
        <w:tc>
          <w:tcPr>
            <w:tcW w:w="567" w:type="dxa"/>
            <w:vMerge w:val="restart"/>
            <w:tcBorders>
              <w:top w:val="single" w:sz="4" w:space="0" w:color="7F7F7F" w:themeColor="text1" w:themeTint="80"/>
              <w:left w:val="single" w:sz="4" w:space="0" w:color="7F7F7F" w:themeColor="text1" w:themeTint="80"/>
              <w:right w:val="single" w:sz="4" w:space="0" w:color="7F7F7F" w:themeColor="text1" w:themeTint="80"/>
            </w:tcBorders>
            <w:vAlign w:val="bottom"/>
          </w:tcPr>
          <w:p w14:paraId="16B979ED"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Peralte P(%)</w:t>
            </w:r>
          </w:p>
        </w:tc>
        <w:tc>
          <w:tcPr>
            <w:tcW w:w="184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48731F7" w14:textId="77777777" w:rsidR="00F210B9" w:rsidRPr="007F0765" w:rsidRDefault="00F210B9" w:rsidP="00F31011">
            <w:pPr>
              <w:spacing w:before="0" w:after="0"/>
              <w:jc w:val="center"/>
              <w:rPr>
                <w:rFonts w:ascii="Calibri" w:eastAsia="Calibri" w:hAnsi="Calibri" w:cs="Calibri"/>
                <w:color w:val="000000"/>
                <w:sz w:val="14"/>
                <w:szCs w:val="22"/>
              </w:rPr>
            </w:pPr>
            <w:r w:rsidRPr="007F0765">
              <w:rPr>
                <w:rFonts w:eastAsia="Calibri"/>
                <w:color w:val="000000"/>
                <w:sz w:val="14"/>
              </w:rPr>
              <w:t>COORDENADAS (m)</w:t>
            </w:r>
          </w:p>
        </w:tc>
      </w:tr>
      <w:tr w:rsidR="0068176C" w:rsidRPr="007F0765" w14:paraId="7EF75680" w14:textId="77777777" w:rsidTr="00A3732C">
        <w:trPr>
          <w:trHeight w:val="288"/>
        </w:trPr>
        <w:tc>
          <w:tcPr>
            <w:tcW w:w="284"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459DB6C" w14:textId="77777777" w:rsidR="00F210B9" w:rsidRPr="007F0765" w:rsidRDefault="00F210B9" w:rsidP="00F31011">
            <w:pPr>
              <w:jc w:val="center"/>
              <w:rPr>
                <w:rFonts w:ascii="Calibri" w:eastAsia="Calibri" w:hAnsi="Calibri" w:cs="Calibri"/>
                <w:color w:val="000000"/>
                <w:sz w:val="14"/>
              </w:rPr>
            </w:pPr>
          </w:p>
        </w:tc>
        <w:tc>
          <w:tcPr>
            <w:tcW w:w="283"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76438111" w14:textId="77777777" w:rsidR="00F210B9" w:rsidRPr="007F0765" w:rsidRDefault="00F210B9" w:rsidP="00F31011">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16BB6A48"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2EE8FE6F"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3B75BD98"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2EF73ED2" w14:textId="77777777" w:rsidR="00F210B9" w:rsidRPr="007F0765" w:rsidRDefault="00F210B9" w:rsidP="00F31011">
            <w:pPr>
              <w:jc w:val="center"/>
              <w:rPr>
                <w:rFonts w:ascii="Calibri" w:eastAsia="Calibri" w:hAnsi="Calibri" w:cs="Calibri"/>
                <w:color w:val="000000"/>
                <w:sz w:val="14"/>
              </w:rPr>
            </w:pPr>
          </w:p>
        </w:tc>
        <w:tc>
          <w:tcPr>
            <w:tcW w:w="709"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5E31C685" w14:textId="77777777" w:rsidR="00F210B9" w:rsidRPr="007F0765" w:rsidRDefault="00F210B9" w:rsidP="00F31011">
            <w:pPr>
              <w:jc w:val="cente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99BA0D"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SC ó PC</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283677A"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PI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259C98"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CS ó PT</w:t>
            </w: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tcPr>
          <w:p w14:paraId="2BF554ED" w14:textId="77777777" w:rsidR="00F210B9" w:rsidRPr="007F0765" w:rsidRDefault="00F210B9" w:rsidP="00F31011">
            <w:pPr>
              <w:jc w:val="center"/>
              <w:rPr>
                <w:rFonts w:ascii="Calibri" w:eastAsia="Calibri" w:hAnsi="Calibri" w:cs="Calibri"/>
                <w:color w:val="000000"/>
                <w:sz w:val="14"/>
              </w:rPr>
            </w:pPr>
          </w:p>
        </w:tc>
        <w:tc>
          <w:tcPr>
            <w:tcW w:w="567" w:type="dxa"/>
            <w:vMerge/>
            <w:tcBorders>
              <w:left w:val="single" w:sz="4" w:space="0" w:color="7F7F7F" w:themeColor="text1" w:themeTint="80"/>
              <w:bottom w:val="single" w:sz="4" w:space="0" w:color="7F7F7F" w:themeColor="text1" w:themeTint="80"/>
              <w:right w:val="single" w:sz="4" w:space="0" w:color="7F7F7F" w:themeColor="text1" w:themeTint="80"/>
            </w:tcBorders>
            <w:vAlign w:val="bottom"/>
          </w:tcPr>
          <w:p w14:paraId="7DC7DC8A" w14:textId="77777777" w:rsidR="00F210B9" w:rsidRPr="007F0765" w:rsidRDefault="00F210B9" w:rsidP="00F31011">
            <w:pPr>
              <w:rPr>
                <w:rFonts w:ascii="Calibri" w:eastAsia="Calibri" w:hAnsi="Calibri" w:cs="Calibri"/>
                <w:color w:val="000000"/>
                <w:sz w:val="14"/>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648F2B"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Este</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D55A55" w14:textId="77777777" w:rsidR="00F210B9" w:rsidRPr="007F0765" w:rsidRDefault="00F210B9" w:rsidP="00F31011">
            <w:pPr>
              <w:jc w:val="center"/>
              <w:rPr>
                <w:rFonts w:ascii="Calibri" w:eastAsia="Calibri" w:hAnsi="Calibri" w:cs="Calibri"/>
                <w:color w:val="000000"/>
                <w:sz w:val="14"/>
              </w:rPr>
            </w:pPr>
            <w:r w:rsidRPr="007F0765">
              <w:rPr>
                <w:rFonts w:eastAsia="Calibri"/>
                <w:color w:val="000000"/>
                <w:sz w:val="14"/>
              </w:rPr>
              <w:t>Oeste</w:t>
            </w:r>
          </w:p>
        </w:tc>
      </w:tr>
      <w:tr w:rsidR="0068176C" w:rsidRPr="007F0765" w14:paraId="0E44B349"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BE74B8"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909960" w14:textId="77777777" w:rsidR="00F210B9" w:rsidRPr="007F0765" w:rsidRDefault="00F210B9" w:rsidP="00F31011">
            <w:pPr>
              <w:jc w:val="center"/>
              <w:rPr>
                <w:rFonts w:asciiTheme="majorHAnsi" w:eastAsia="Calibri" w:hAnsiTheme="majorHAnsi" w:cstheme="majorHAnsi"/>
                <w:color w:val="auto"/>
                <w:sz w:val="14"/>
                <w:szCs w:val="22"/>
              </w:rPr>
            </w:pP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58CC51" w14:textId="77777777" w:rsidR="00F210B9" w:rsidRPr="007F0765" w:rsidRDefault="00F210B9" w:rsidP="00F31011">
            <w:pPr>
              <w:jc w:val="center"/>
              <w:rPr>
                <w:rFonts w:asciiTheme="majorHAnsi" w:eastAsia="Calibri" w:hAnsiTheme="majorHAnsi" w:cstheme="majorHAnsi"/>
                <w:color w:val="auto"/>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9A3347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2088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247D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E8675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D04EA4" w14:textId="77777777" w:rsidR="00F210B9" w:rsidRPr="007F0765" w:rsidRDefault="00F210B9" w:rsidP="00F31011">
            <w:pPr>
              <w:spacing w:before="0" w:after="0"/>
              <w:jc w:val="center"/>
              <w:rPr>
                <w:rFonts w:asciiTheme="majorHAnsi" w:eastAsia="Calibri" w:hAnsiTheme="majorHAnsi" w:cstheme="majorHAnsi"/>
                <w:color w:val="auto"/>
                <w:sz w:val="14"/>
                <w:szCs w:val="22"/>
              </w:rPr>
            </w:pP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65B69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b/>
                <w:bCs/>
                <w:color w:val="auto"/>
                <w:sz w:val="14"/>
              </w:rPr>
              <w:t>0+000.000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71B27A9" w14:textId="77777777" w:rsidR="00F210B9" w:rsidRPr="007F0765" w:rsidRDefault="00F210B9" w:rsidP="00F31011">
            <w:pPr>
              <w:jc w:val="center"/>
              <w:rPr>
                <w:rFonts w:asciiTheme="majorHAnsi" w:eastAsia="Calibri" w:hAnsiTheme="majorHAnsi" w:cstheme="majorHAnsi"/>
                <w:color w:val="auto"/>
                <w:sz w:val="14"/>
                <w:szCs w:val="22"/>
              </w:rPr>
            </w:pP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CD3F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0D1204" w14:textId="77777777" w:rsidR="00F210B9" w:rsidRPr="007F0765" w:rsidRDefault="00F210B9" w:rsidP="00F31011">
            <w:pPr>
              <w:spacing w:before="0" w:after="0"/>
              <w:jc w:val="center"/>
              <w:rPr>
                <w:rFonts w:asciiTheme="majorHAnsi" w:eastAsia="Calibri" w:hAnsiTheme="majorHAnsi" w:cstheme="majorHAnsi"/>
                <w:color w:val="auto"/>
                <w:sz w:val="14"/>
                <w:szCs w:val="22"/>
              </w:rPr>
            </w:pP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7909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728,133.998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7FC21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8,513,221.999</w:t>
            </w:r>
          </w:p>
        </w:tc>
      </w:tr>
      <w:tr w:rsidR="0068176C" w:rsidRPr="007F0765" w14:paraId="54AC7E28"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9EB854"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12734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DDB2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46°47'54''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1A8EB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E3217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17.309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8676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32.671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75D6D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3.584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7BFF90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0+012.239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C081B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0+029.548</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3D27F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0+044.910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3330A7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24777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0868D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728,125.695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AB2B65"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8,513,250.357</w:t>
            </w:r>
          </w:p>
        </w:tc>
      </w:tr>
      <w:tr w:rsidR="0068176C" w:rsidRPr="007F0765" w14:paraId="70955ED5"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870B4C5"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D3ED8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BB5D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25°29'19''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C17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7FC87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15.832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3ACC2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31.140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B80C1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1.768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9B42F69"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0+084.741</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BA84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0+100.573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C4BE6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0+115.882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EC88DC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F4769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375800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728,162.710</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BC6C5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8,513,313.244</w:t>
            </w:r>
          </w:p>
        </w:tc>
      </w:tr>
      <w:tr w:rsidR="0068176C" w:rsidRPr="007F0765" w14:paraId="35AA389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63FCC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E436D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183E2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19°58'59''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144D0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DC0BF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15.856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C3D75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31.389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2867C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1.386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21912A"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0+147.855</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CAAC4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0+163.711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3F3C1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0+179.244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F014B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57A7B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C90AD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728,168.249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B1B64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8,513.376.664</w:t>
            </w:r>
          </w:p>
        </w:tc>
      </w:tr>
      <w:tr w:rsidR="0068176C" w:rsidRPr="007F0765" w14:paraId="6BC9C41A"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49527E"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EE859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88A9B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20°12'23''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E35E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90.00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9F7FA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16.037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F1A5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31.740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E756BA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1.418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AFA10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0+224.612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1C0C48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0+240.649</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408A7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0+256.352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60C06C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6C4E6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082D3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728,148.263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BB7D7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8,513,451.295</w:t>
            </w:r>
          </w:p>
        </w:tc>
      </w:tr>
      <w:tr w:rsidR="0068176C" w:rsidRPr="007F0765" w14:paraId="10255CB3"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751348"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6</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471721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33D53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14°17'25"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2889E6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31274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25.071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BC136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49.882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402223"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1.565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6A97D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0+378.123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5102E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0+403.195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EA31C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0+428.006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084D73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23C9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1B496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734,052.543</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4DB67A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8,525,974.529</w:t>
            </w:r>
          </w:p>
        </w:tc>
      </w:tr>
      <w:tr w:rsidR="0068176C" w:rsidRPr="007F0765" w14:paraId="1FF27C9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61F46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7</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E8ED4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EE4886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56°34'21”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52953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32393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21.525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CABB1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39.495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784AC7"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5.424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D9A3F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0+497.178</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305E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0+518.704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749D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0+536.673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98706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11E161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411F1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733,943.417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F52361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8,525,935.878</w:t>
            </w:r>
          </w:p>
        </w:tc>
      </w:tr>
      <w:tr w:rsidR="0068176C" w:rsidRPr="007F0765" w14:paraId="0F293341"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A31522"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8</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6E967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900AC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26°11'20"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FA7EB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4DAEC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18.609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A514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36.567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591CE"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2.136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DB76BC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0+560.413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0AEB4F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0+579.022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961D0C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0+596.980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92789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28479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E46F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733,928.046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04471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8,525,873.881</w:t>
            </w:r>
          </w:p>
        </w:tc>
      </w:tr>
      <w:tr w:rsidR="0068176C" w:rsidRPr="007F0765" w14:paraId="76E160A2"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9FF791"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lastRenderedPageBreak/>
              <w:t>9</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E93CE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D36CB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138°36'18"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FDDA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1B936F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52.935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97E91E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48.382</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AFFB2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36.588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439FE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0+632.715</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5B11E1"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0+685.650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C9A2D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0+681.097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079754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95678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B1A97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733,950.836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BF2B00"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8,525,769.051</w:t>
            </w:r>
          </w:p>
        </w:tc>
      </w:tr>
      <w:tr w:rsidR="0068176C" w:rsidRPr="007F0765" w14:paraId="5CB640B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452B8D"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10</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A48E1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B3E2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33°11'36"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5BD24E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3E9D7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23.844</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2BEA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46.347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D884CA"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3.478</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6AFB18"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0+762.923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82FAD05"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0+786.767</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0D88D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0+809.270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47426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ACC0A6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B874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733,823.076</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6C66F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8,525,863.037</w:t>
            </w:r>
          </w:p>
        </w:tc>
      </w:tr>
      <w:tr w:rsidR="0068176C" w:rsidRPr="007F0765" w14:paraId="775C3C4B"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6DE3893"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11</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62D35C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7597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44°52'47"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D343D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82B607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20.649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21495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39.165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F0775B6"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4.096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C3B7832"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0+924.862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7EEF09"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0+945.511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0A4C9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0+964.027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DB5A1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61BAC7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B4F2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733,663.232</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DA4A2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8,525,871.825</w:t>
            </w:r>
          </w:p>
        </w:tc>
      </w:tr>
      <w:tr w:rsidR="0068176C" w:rsidRPr="007F0765" w14:paraId="0DDDEFD0"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881FFEF" w14:textId="77777777" w:rsidR="00F210B9" w:rsidRPr="007F0765" w:rsidRDefault="00F210B9" w:rsidP="00F31011">
            <w:pPr>
              <w:spacing w:before="0" w:after="0"/>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12</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E4442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BC6570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62°14'26"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306791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072B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30.186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1DF75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54.315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5A710DC"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8.405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53EA79B"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1+010.598</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B0BD6D"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1+040.784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5FC97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1+064.913</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7C02C3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26D72D4"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DB0C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733,598.088</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8DA41F" w14:textId="77777777" w:rsidR="00F210B9" w:rsidRPr="007F0765" w:rsidRDefault="00F210B9" w:rsidP="00F31011">
            <w:pPr>
              <w:spacing w:before="0" w:after="0"/>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8,525,944.241</w:t>
            </w:r>
          </w:p>
        </w:tc>
      </w:tr>
      <w:tr w:rsidR="0068176C" w:rsidRPr="007F0765" w14:paraId="130D1E10"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645BB08"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13</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24EBC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765B9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31°49'59"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AA51E2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60.00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81A3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17.110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5C7D1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33.336</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387DA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2.392</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3856E3"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1+071.013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86A34A8"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1+088.123</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72E3F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1+104.348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A0CA9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0.8</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888B0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3.6</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4A374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733,546.327</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93861CF"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8,525,931.130</w:t>
            </w:r>
          </w:p>
        </w:tc>
      </w:tr>
      <w:tr w:rsidR="0068176C" w:rsidRPr="007F0765" w14:paraId="7E45E9E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94719CF"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14</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7B61DC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I</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0A10D4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24°38'1”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D86EFD4"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CAB50B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17.467</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345296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34.395</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51CD2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1.885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038134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1+158.627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247868C"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1+176.094</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D016BD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1+193.022</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A933486"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0.6</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529DF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3.1</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88294B7"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733,461.639</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48FDE09"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8,525,958.026</w:t>
            </w:r>
          </w:p>
        </w:tc>
      </w:tr>
      <w:tr w:rsidR="0068176C" w:rsidRPr="007F0765" w14:paraId="67F8D9E4" w14:textId="77777777" w:rsidTr="00A3732C">
        <w:trPr>
          <w:trHeight w:val="288"/>
        </w:trPr>
        <w:tc>
          <w:tcPr>
            <w:tcW w:w="28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B2ABBE0" w14:textId="77777777" w:rsidR="00F210B9" w:rsidRPr="007F0765" w:rsidRDefault="00F210B9" w:rsidP="00F31011">
            <w:pPr>
              <w:jc w:val="center"/>
              <w:rPr>
                <w:rFonts w:asciiTheme="majorHAnsi" w:eastAsia="Calibri" w:hAnsiTheme="majorHAnsi" w:cstheme="majorHAnsi"/>
                <w:color w:val="000000"/>
                <w:sz w:val="14"/>
                <w:szCs w:val="22"/>
              </w:rPr>
            </w:pPr>
            <w:r w:rsidRPr="007F0765">
              <w:rPr>
                <w:rFonts w:asciiTheme="majorHAnsi" w:hAnsiTheme="majorHAnsi" w:cstheme="majorHAnsi"/>
                <w:color w:val="000000"/>
                <w:sz w:val="14"/>
              </w:rPr>
              <w:t>15</w:t>
            </w:r>
          </w:p>
        </w:tc>
        <w:tc>
          <w:tcPr>
            <w:tcW w:w="2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765785"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D</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08465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10°38'49"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C7E18F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220.00</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91AF61"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20.499</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C01CD52"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40.881</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C2E754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0.953</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56820E"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1+306.260</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AC83BB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1+326.760</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A6984A"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1+347.141</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82D486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w:t>
            </w:r>
          </w:p>
        </w:tc>
        <w:tc>
          <w:tcPr>
            <w:tcW w:w="5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3FFC2D"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2.5</w:t>
            </w:r>
          </w:p>
        </w:tc>
        <w:tc>
          <w:tcPr>
            <w:tcW w:w="8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DBA12E0"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733,311.565</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67314FB" w14:textId="77777777" w:rsidR="00F210B9" w:rsidRPr="007F0765" w:rsidRDefault="00F210B9" w:rsidP="00F31011">
            <w:pPr>
              <w:jc w:val="center"/>
              <w:rPr>
                <w:rFonts w:asciiTheme="majorHAnsi" w:eastAsia="Calibri" w:hAnsiTheme="majorHAnsi" w:cstheme="majorHAnsi"/>
                <w:color w:val="auto"/>
                <w:sz w:val="14"/>
                <w:szCs w:val="22"/>
              </w:rPr>
            </w:pPr>
            <w:r w:rsidRPr="007F0765">
              <w:rPr>
                <w:rFonts w:asciiTheme="majorHAnsi" w:hAnsiTheme="majorHAnsi" w:cstheme="majorHAnsi"/>
                <w:color w:val="auto"/>
                <w:sz w:val="14"/>
              </w:rPr>
              <w:t>8,525,939.561</w:t>
            </w:r>
          </w:p>
        </w:tc>
      </w:tr>
    </w:tbl>
    <w:p w14:paraId="568D36F2" w14:textId="77777777" w:rsidR="00F210B9" w:rsidRDefault="00F210B9" w:rsidP="00A3732C">
      <w:pPr>
        <w:spacing w:line="276" w:lineRule="auto"/>
        <w:ind w:left="-142" w:hanging="1276"/>
        <w:jc w:val="both"/>
        <w:rPr>
          <w:rFonts w:ascii="Calibri" w:eastAsia="Calibri" w:hAnsi="Calibri" w:cs="Calibri"/>
        </w:rPr>
      </w:pPr>
    </w:p>
    <w:p w14:paraId="148D5575" w14:textId="77777777" w:rsidR="00A16D9F" w:rsidRDefault="00A16D9F" w:rsidP="00457A67">
      <w:pPr>
        <w:spacing w:line="276" w:lineRule="auto"/>
        <w:ind w:left="-142" w:hanging="1276"/>
        <w:jc w:val="center"/>
        <w:rPr>
          <w:rFonts w:ascii="Calibri" w:eastAsia="Calibri" w:hAnsi="Calibri" w:cs="Calibri"/>
        </w:rPr>
      </w:pPr>
    </w:p>
    <w:p w14:paraId="0F7F6372" w14:textId="77777777" w:rsidR="00457A67" w:rsidRDefault="00457A67" w:rsidP="00457A67">
      <w:pPr>
        <w:spacing w:line="276" w:lineRule="auto"/>
        <w:ind w:left="-142" w:hanging="1276"/>
        <w:jc w:val="center"/>
        <w:rPr>
          <w:rFonts w:ascii="Calibri" w:eastAsia="Calibri" w:hAnsi="Calibri" w:cs="Calibri"/>
        </w:rPr>
      </w:pPr>
    </w:p>
    <w:p w14:paraId="2516D1BA" w14:textId="3C2E9EA8" w:rsidR="00457A67" w:rsidRDefault="00457A67" w:rsidP="00457A67">
      <w:pPr>
        <w:pStyle w:val="Descripcin"/>
        <w:spacing w:line="276" w:lineRule="auto"/>
        <w:rPr>
          <w:rFonts w:ascii="Calibri" w:hAnsi="Calibri"/>
          <w:sz w:val="22"/>
          <w:szCs w:val="22"/>
        </w:rPr>
      </w:pPr>
      <w:r>
        <w:rPr>
          <w:rFonts w:ascii="Calibri" w:hAnsi="Calibri"/>
          <w:sz w:val="22"/>
          <w:szCs w:val="22"/>
        </w:rPr>
        <w:t>tabla 9.C CAMINO DE ACCESO ESTACIÓN UNIÓN - MACH</w:t>
      </w:r>
      <w:r w:rsidRPr="00CC1F05">
        <w:rPr>
          <w:rFonts w:ascii="Calibri" w:hAnsi="Calibri"/>
          <w:sz w:val="22"/>
          <w:szCs w:val="22"/>
        </w:rPr>
        <w:t xml:space="preserve">. </w:t>
      </w:r>
    </w:p>
    <w:p w14:paraId="777880B8" w14:textId="77777777" w:rsidR="00457A67" w:rsidRPr="00CC1F05" w:rsidRDefault="00457A67" w:rsidP="00457A67">
      <w:pPr>
        <w:spacing w:line="276" w:lineRule="auto"/>
        <w:ind w:left="-142" w:hanging="1276"/>
        <w:jc w:val="center"/>
        <w:rPr>
          <w:rFonts w:ascii="Calibri" w:eastAsia="Calibri" w:hAnsi="Calibri" w:cs="Calibri"/>
        </w:rPr>
      </w:pPr>
    </w:p>
    <w:tbl>
      <w:tblPr>
        <w:tblStyle w:val="265"/>
        <w:tblW w:w="8505" w:type="dxa"/>
        <w:jc w:val="right"/>
        <w:tblInd w:w="0" w:type="dxa"/>
        <w:tblLayout w:type="fixed"/>
        <w:tblLook w:val="0400" w:firstRow="0" w:lastRow="0" w:firstColumn="0" w:lastColumn="0" w:noHBand="0" w:noVBand="1"/>
      </w:tblPr>
      <w:tblGrid>
        <w:gridCol w:w="1418"/>
        <w:gridCol w:w="1418"/>
        <w:gridCol w:w="1418"/>
        <w:gridCol w:w="1417"/>
        <w:gridCol w:w="1417"/>
        <w:gridCol w:w="1417"/>
      </w:tblGrid>
      <w:tr w:rsidR="00457A67" w:rsidRPr="00CC1F05" w14:paraId="0726CD89"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F67AB63" w14:textId="77777777" w:rsidR="00457A67" w:rsidRPr="00CC1F05" w:rsidRDefault="00457A67" w:rsidP="00457A67">
            <w:pPr>
              <w:spacing w:before="0" w:after="0"/>
              <w:jc w:val="center"/>
              <w:rPr>
                <w:rFonts w:ascii="Calibri" w:eastAsia="Calibri" w:hAnsi="Calibri" w:cs="Calibri"/>
                <w:b/>
                <w:i/>
                <w:color w:val="000000"/>
                <w:sz w:val="22"/>
                <w:szCs w:val="22"/>
              </w:rPr>
            </w:pPr>
            <w:r w:rsidRPr="00CC1F05">
              <w:rPr>
                <w:rFonts w:ascii="Calibri" w:eastAsia="Calibri" w:hAnsi="Calibri" w:cs="Calibri"/>
                <w:b/>
                <w:i/>
                <w:color w:val="000000"/>
                <w:sz w:val="22"/>
                <w:szCs w:val="22"/>
              </w:rPr>
              <w:t>Cuadro de Coordenadas UTM WGS 84</w:t>
            </w:r>
          </w:p>
        </w:tc>
      </w:tr>
      <w:tr w:rsidR="00457A67" w:rsidRPr="00CC1F05" w14:paraId="18FFFA7A" w14:textId="77777777" w:rsidTr="00457A67">
        <w:trPr>
          <w:trHeight w:val="288"/>
          <w:jc w:val="right"/>
        </w:trPr>
        <w:tc>
          <w:tcPr>
            <w:tcW w:w="8505" w:type="dxa"/>
            <w:gridSpan w:val="6"/>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6A7A8B4" w14:textId="77777777" w:rsidR="00457A67" w:rsidRPr="00CC1F05" w:rsidRDefault="00457A67" w:rsidP="00457A67">
            <w:pPr>
              <w:spacing w:before="0" w:after="0"/>
              <w:jc w:val="center"/>
              <w:rPr>
                <w:rFonts w:ascii="Calibri" w:eastAsia="Calibri" w:hAnsi="Calibri" w:cs="Calibri"/>
                <w:b/>
                <w:color w:val="000000"/>
                <w:sz w:val="22"/>
                <w:szCs w:val="22"/>
              </w:rPr>
            </w:pPr>
            <w:r w:rsidRPr="00CC1F05">
              <w:rPr>
                <w:rFonts w:ascii="Calibri" w:eastAsia="Calibri" w:hAnsi="Calibri" w:cs="Calibri"/>
                <w:b/>
                <w:color w:val="000000"/>
                <w:sz w:val="22"/>
                <w:szCs w:val="22"/>
              </w:rPr>
              <w:t>Camino de Acceso Estación Unión – MACH</w:t>
            </w:r>
          </w:p>
        </w:tc>
      </w:tr>
      <w:tr w:rsidR="00457A67" w:rsidRPr="00CC1F05" w14:paraId="309D0B2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F38E2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449B99B"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B62404F"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349D7B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Vértice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2E63A9C"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Este</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563616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Norte</w:t>
            </w:r>
          </w:p>
        </w:tc>
      </w:tr>
      <w:tr w:rsidR="00457A67" w:rsidRPr="00CC1F05" w14:paraId="7DD5DC67"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3C2BE3A"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1087ABB"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730253.0148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D593299"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8517891.6460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1F6E92E"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P7</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5C5C23"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730450.0091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A4756B2"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8518038.7892</w:t>
            </w:r>
          </w:p>
        </w:tc>
      </w:tr>
      <w:tr w:rsidR="00457A67" w:rsidRPr="00CC1F05" w14:paraId="4CD52220"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075514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P2</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FBC065A"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730247.1578</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B4CAAA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8517894.5788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73C6B9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F94BD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730445.3332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DE0316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8518025.7049</w:t>
            </w:r>
          </w:p>
        </w:tc>
      </w:tr>
      <w:tr w:rsidR="00457A67" w:rsidRPr="00CC1F05" w14:paraId="7B45B738"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78B0576"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P3</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B5D3F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730302.2377</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35C138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8517944.3500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E674125"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A3B0D5F"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730417.0881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67CC2B1"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8518003.0306</w:t>
            </w:r>
          </w:p>
        </w:tc>
      </w:tr>
      <w:tr w:rsidR="00457A67" w:rsidRPr="00CC1F05" w14:paraId="38736832"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C92E50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A68A617"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730413.8819</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4BB89FD0"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8518008.2791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4D7D824"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78B8DEE"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730306.1989</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FD0CDC8"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8517939.5885</w:t>
            </w:r>
          </w:p>
        </w:tc>
      </w:tr>
      <w:tr w:rsidR="00457A67" w:rsidRPr="00CC1F05" w14:paraId="68CEC5AE"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E71076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1136C27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730440.1694</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CCEBE85"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8518029.3820</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26FE11D"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P11</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391BE57C"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730253.0148</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E3F989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8517891.6460</w:t>
            </w:r>
          </w:p>
        </w:tc>
      </w:tr>
      <w:tr w:rsidR="00457A67" w:rsidRPr="00973187" w14:paraId="324F5BBC"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5F828DC9" w14:textId="77777777" w:rsidR="00457A67" w:rsidRPr="00CC1F05" w:rsidRDefault="00457A67" w:rsidP="00457A67">
            <w:pPr>
              <w:spacing w:before="0" w:after="0"/>
              <w:jc w:val="center"/>
              <w:rPr>
                <w:rFonts w:ascii="Calibri" w:eastAsia="Calibri" w:hAnsi="Calibri" w:cs="Calibri"/>
                <w:color w:val="000000"/>
                <w:sz w:val="22"/>
                <w:szCs w:val="22"/>
              </w:rPr>
            </w:pPr>
            <w:r w:rsidRPr="00CC1F05">
              <w:rPr>
                <w:rFonts w:ascii="Calibri" w:eastAsia="Calibri" w:hAnsi="Calibri" w:cs="Calibri"/>
                <w:color w:val="000000"/>
                <w:sz w:val="22"/>
                <w:szCs w:val="22"/>
              </w:rPr>
              <w:t>P6</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E862F3D" w14:textId="77777777" w:rsidR="00457A67" w:rsidRPr="00CC1F05"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730442.9985</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6CCEFB1E" w14:textId="77777777" w:rsidR="00457A67" w:rsidRPr="00973187" w:rsidRDefault="00457A67" w:rsidP="00457A67">
            <w:pPr>
              <w:spacing w:before="0" w:after="0"/>
              <w:jc w:val="center"/>
              <w:rPr>
                <w:rFonts w:ascii="Calibri" w:eastAsia="Calibri" w:hAnsi="Calibri" w:cs="Calibri"/>
                <w:color w:val="000000"/>
                <w:sz w:val="22"/>
                <w:szCs w:val="22"/>
              </w:rPr>
            </w:pPr>
            <w:r>
              <w:rPr>
                <w:rFonts w:ascii="Calibri" w:hAnsi="Calibri" w:cs="Calibri"/>
                <w:color w:val="000000"/>
                <w:sz w:val="22"/>
                <w:szCs w:val="22"/>
              </w:rPr>
              <w:t>8518037.2982</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5B84A46F" w14:textId="77777777" w:rsidR="00457A67" w:rsidRPr="00973187"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0AA51DF4" w14:textId="77777777" w:rsidR="00457A67" w:rsidRPr="00973187" w:rsidRDefault="00457A67" w:rsidP="00457A67">
            <w:pPr>
              <w:spacing w:before="0" w:after="0"/>
              <w:jc w:val="center"/>
              <w:rPr>
                <w:rFonts w:ascii="Calibri" w:eastAsia="Calibri" w:hAnsi="Calibri" w:cs="Calibri"/>
                <w:color w:val="000000"/>
                <w:sz w:val="22"/>
                <w:szCs w:val="22"/>
              </w:rP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r2bl w:val="single" w:sz="4" w:space="0" w:color="auto"/>
            </w:tcBorders>
            <w:vAlign w:val="bottom"/>
          </w:tcPr>
          <w:p w14:paraId="7B7AD521" w14:textId="77777777" w:rsidR="00457A67" w:rsidRPr="00973187" w:rsidRDefault="00457A67" w:rsidP="00457A67">
            <w:pPr>
              <w:spacing w:before="0" w:after="0"/>
              <w:jc w:val="center"/>
              <w:rPr>
                <w:rFonts w:ascii="Calibri" w:eastAsia="Calibri" w:hAnsi="Calibri" w:cs="Calibri"/>
                <w:color w:val="000000"/>
                <w:sz w:val="22"/>
                <w:szCs w:val="22"/>
              </w:rPr>
            </w:pPr>
          </w:p>
        </w:tc>
      </w:tr>
      <w:tr w:rsidR="00457A67" w:rsidRPr="00973187" w14:paraId="0E5D4491"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97F01CE" w14:textId="77777777" w:rsidR="00457A67" w:rsidRPr="00973187" w:rsidRDefault="00457A67" w:rsidP="00457A67">
            <w:pPr>
              <w:spacing w:before="0" w:after="0"/>
              <w:jc w:val="center"/>
              <w:rPr>
                <w:rFonts w:ascii="Calibri" w:eastAsia="Calibri" w:hAnsi="Calibri" w:cs="Calibri"/>
                <w:sz w:val="22"/>
                <w:szCs w:val="22"/>
              </w:rPr>
            </w:pPr>
            <w:r w:rsidRPr="005859DF">
              <w:rPr>
                <w:rFonts w:ascii="Calibri" w:eastAsia="Calibri" w:hAnsi="Calibri" w:cs="Calibri"/>
                <w:b/>
                <w:color w:val="000000"/>
                <w:sz w:val="22"/>
                <w:szCs w:val="22"/>
              </w:rPr>
              <w:t>Área (m2)</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087512C2" w14:textId="77777777" w:rsidR="00457A67" w:rsidRPr="00973187" w:rsidRDefault="00457A67" w:rsidP="00457A67">
            <w:pPr>
              <w:spacing w:before="0" w:after="0"/>
              <w:jc w:val="center"/>
              <w:rPr>
                <w:rFonts w:ascii="Calibri" w:eastAsia="Calibri" w:hAnsi="Calibri" w:cs="Calibri"/>
                <w:color w:val="000000"/>
                <w:sz w:val="22"/>
                <w:szCs w:val="22"/>
              </w:rPr>
            </w:pPr>
            <w:r w:rsidRPr="00AA7196">
              <w:rPr>
                <w:rFonts w:ascii="Calibri" w:eastAsia="Calibri" w:hAnsi="Calibri" w:cs="Calibri"/>
                <w:color w:val="000000"/>
                <w:sz w:val="22"/>
                <w:szCs w:val="22"/>
              </w:rPr>
              <w:t>1514.5266</w:t>
            </w:r>
          </w:p>
        </w:tc>
      </w:tr>
      <w:tr w:rsidR="00457A67" w:rsidRPr="00973187" w14:paraId="6542CC8B" w14:textId="77777777" w:rsidTr="00457A67">
        <w:trPr>
          <w:trHeight w:val="288"/>
          <w:jc w:val="right"/>
        </w:trPr>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2B1C28F9" w14:textId="77777777" w:rsidR="00457A67" w:rsidRPr="00973187" w:rsidRDefault="00457A67" w:rsidP="00457A67">
            <w:pPr>
              <w:jc w:val="center"/>
              <w:rPr>
                <w:rFonts w:ascii="Calibri" w:eastAsia="Calibri" w:hAnsi="Calibri" w:cs="Calibri"/>
                <w:color w:val="000000"/>
              </w:rPr>
            </w:pPr>
            <w:r w:rsidRPr="00CB6446">
              <w:rPr>
                <w:rFonts w:ascii="Calibri" w:eastAsia="Calibri" w:hAnsi="Calibri" w:cs="Calibri"/>
                <w:b/>
                <w:color w:val="000000"/>
                <w:sz w:val="22"/>
                <w:szCs w:val="22"/>
              </w:rPr>
              <w:t>Perímetro (ml)</w:t>
            </w:r>
          </w:p>
        </w:tc>
        <w:tc>
          <w:tcPr>
            <w:tcW w:w="7087" w:type="dxa"/>
            <w:gridSpan w:val="5"/>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bottom"/>
          </w:tcPr>
          <w:p w14:paraId="725C9812" w14:textId="77777777" w:rsidR="00457A67" w:rsidRDefault="00457A67" w:rsidP="00457A67">
            <w:pPr>
              <w:jc w:val="center"/>
              <w:rPr>
                <w:rFonts w:ascii="Calibri" w:eastAsia="Calibri" w:hAnsi="Calibri" w:cs="Calibri"/>
                <w:color w:val="000000"/>
              </w:rPr>
            </w:pPr>
            <w:r>
              <w:rPr>
                <w:rFonts w:ascii="Calibri" w:eastAsia="Calibri" w:hAnsi="Calibri" w:cs="Calibri"/>
                <w:color w:val="000000"/>
                <w:sz w:val="22"/>
                <w:szCs w:val="22"/>
              </w:rPr>
              <w:t>508.1954</w:t>
            </w:r>
          </w:p>
        </w:tc>
      </w:tr>
    </w:tbl>
    <w:p w14:paraId="31CF8B98" w14:textId="77777777" w:rsidR="00457A67" w:rsidRPr="00285D58" w:rsidRDefault="00457A67" w:rsidP="005D3BD8">
      <w:pPr>
        <w:spacing w:line="276" w:lineRule="auto"/>
        <w:ind w:firstLine="567"/>
        <w:jc w:val="both"/>
        <w:rPr>
          <w:rFonts w:asciiTheme="minorHAnsi" w:eastAsia="Calibri" w:hAnsiTheme="minorHAnsi" w:cstheme="minorHAnsi"/>
          <w:color w:val="000000"/>
        </w:rPr>
      </w:pPr>
    </w:p>
    <w:p w14:paraId="3F2B2A2A" w14:textId="77777777" w:rsidR="005D3BD8" w:rsidRDefault="005D3BD8" w:rsidP="005D3BD8">
      <w:pPr>
        <w:spacing w:line="276" w:lineRule="auto"/>
        <w:ind w:left="-142" w:hanging="1276"/>
        <w:jc w:val="center"/>
        <w:rPr>
          <w:rFonts w:asciiTheme="minorHAnsi" w:eastAsia="Calibri" w:hAnsiTheme="minorHAnsi" w:cstheme="minorHAnsi"/>
        </w:rPr>
      </w:pPr>
    </w:p>
    <w:p w14:paraId="39F653AF" w14:textId="4416F112" w:rsidR="00F210B9" w:rsidRPr="00285D58" w:rsidRDefault="00F210B9" w:rsidP="005D3BD8">
      <w:pPr>
        <w:spacing w:line="276" w:lineRule="auto"/>
        <w:ind w:left="-142" w:hanging="1276"/>
        <w:jc w:val="center"/>
        <w:rPr>
          <w:rFonts w:asciiTheme="minorHAnsi" w:eastAsia="Calibri" w:hAnsiTheme="minorHAnsi" w:cstheme="minorHAnsi"/>
        </w:rPr>
        <w:sectPr w:rsidR="00F210B9" w:rsidRPr="00285D58" w:rsidSect="00C94ED0">
          <w:footerReference w:type="default" r:id="rId9"/>
          <w:type w:val="continuous"/>
          <w:pgSz w:w="11906" w:h="16838"/>
          <w:pgMar w:top="1417" w:right="1701" w:bottom="1417" w:left="1701" w:header="708" w:footer="708" w:gutter="0"/>
          <w:pgNumType w:start="179"/>
          <w:cols w:space="708"/>
          <w:docGrid w:linePitch="360"/>
        </w:sectPr>
      </w:pPr>
    </w:p>
    <w:p w14:paraId="39F5365E" w14:textId="7A5DB898" w:rsidR="005D3BD8" w:rsidRPr="00285D58" w:rsidRDefault="005D3BD8"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7" w:left="1701" w:header="708" w:footer="708" w:gutter="0"/>
          <w:cols w:space="708"/>
          <w:docGrid w:linePitch="360"/>
        </w:sectPr>
      </w:pPr>
      <w:r w:rsidRPr="00285D58">
        <w:rPr>
          <w:rFonts w:asciiTheme="minorHAnsi" w:eastAsia="Calibri" w:hAnsiTheme="minorHAnsi" w:cstheme="minorHAnsi"/>
          <w:noProof/>
          <w:lang w:val="es-PE"/>
        </w:rPr>
        <w:lastRenderedPageBreak/>
        <w:drawing>
          <wp:inline distT="0" distB="0" distL="0" distR="0" wp14:anchorId="74C2C443" wp14:editId="6EF03420">
            <wp:extent cx="7200000" cy="10171429"/>
            <wp:effectExtent l="0" t="0" r="127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0" cy="10171429"/>
                    </a:xfrm>
                    <a:prstGeom prst="rect">
                      <a:avLst/>
                    </a:prstGeom>
                    <a:noFill/>
                    <a:ln>
                      <a:noFill/>
                    </a:ln>
                  </pic:spPr>
                </pic:pic>
              </a:graphicData>
            </a:graphic>
          </wp:inline>
        </w:drawing>
      </w:r>
    </w:p>
    <w:p w14:paraId="0F338D2B" w14:textId="421CCBC4" w:rsidR="005D3BD8" w:rsidRPr="00285D58" w:rsidRDefault="000933AA"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8" w:left="1701" w:header="709" w:footer="709" w:gutter="0"/>
          <w:cols w:space="708"/>
          <w:docGrid w:linePitch="360"/>
        </w:sectPr>
      </w:pPr>
      <w:r>
        <w:rPr>
          <w:rFonts w:asciiTheme="minorHAnsi" w:eastAsia="Calibri" w:hAnsiTheme="minorHAnsi" w:cstheme="minorHAnsi"/>
          <w:noProof/>
          <w:lang w:val="es-PE"/>
        </w:rPr>
        <w:lastRenderedPageBreak/>
        <w:drawing>
          <wp:inline distT="0" distB="0" distL="0" distR="0" wp14:anchorId="0709F37E" wp14:editId="67C3164F">
            <wp:extent cx="7155180" cy="10107462"/>
            <wp:effectExtent l="0" t="0" r="762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70084" cy="10128515"/>
                    </a:xfrm>
                    <a:prstGeom prst="rect">
                      <a:avLst/>
                    </a:prstGeom>
                    <a:noFill/>
                    <a:ln>
                      <a:noFill/>
                    </a:ln>
                  </pic:spPr>
                </pic:pic>
              </a:graphicData>
            </a:graphic>
          </wp:inline>
        </w:drawing>
      </w:r>
    </w:p>
    <w:p w14:paraId="47BB5601" w14:textId="51C3C9DA" w:rsidR="005D3BD8" w:rsidRPr="00285D58" w:rsidRDefault="000933AA" w:rsidP="005D3BD8">
      <w:pPr>
        <w:spacing w:line="276" w:lineRule="auto"/>
        <w:ind w:left="-142" w:hanging="1276"/>
        <w:jc w:val="center"/>
        <w:rPr>
          <w:rFonts w:asciiTheme="minorHAnsi" w:eastAsia="Calibri" w:hAnsiTheme="minorHAnsi" w:cstheme="minorHAnsi"/>
        </w:rPr>
      </w:pPr>
      <w:r>
        <w:rPr>
          <w:rFonts w:asciiTheme="minorHAnsi" w:eastAsia="Calibri" w:hAnsiTheme="minorHAnsi" w:cstheme="minorHAnsi"/>
          <w:noProof/>
          <w:lang w:val="es-PE"/>
        </w:rPr>
        <w:lastRenderedPageBreak/>
        <w:drawing>
          <wp:inline distT="0" distB="0" distL="0" distR="0" wp14:anchorId="7646CCA6" wp14:editId="38CE91FB">
            <wp:extent cx="7195969" cy="10165080"/>
            <wp:effectExtent l="0" t="0" r="508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7653" cy="10181585"/>
                    </a:xfrm>
                    <a:prstGeom prst="rect">
                      <a:avLst/>
                    </a:prstGeom>
                    <a:noFill/>
                    <a:ln>
                      <a:noFill/>
                    </a:ln>
                  </pic:spPr>
                </pic:pic>
              </a:graphicData>
            </a:graphic>
          </wp:inline>
        </w:drawing>
      </w:r>
    </w:p>
    <w:p w14:paraId="78DF44B8" w14:textId="77777777" w:rsidR="005D3BD8" w:rsidRPr="00285D58" w:rsidRDefault="005D3BD8" w:rsidP="005D3BD8">
      <w:pPr>
        <w:spacing w:line="276" w:lineRule="auto"/>
        <w:ind w:left="-142" w:hanging="1276"/>
        <w:jc w:val="center"/>
        <w:rPr>
          <w:rFonts w:asciiTheme="minorHAnsi" w:eastAsia="Calibri" w:hAnsiTheme="minorHAnsi" w:cstheme="minorHAnsi"/>
        </w:rPr>
      </w:pPr>
    </w:p>
    <w:p w14:paraId="285C3750" w14:textId="140D6B6D" w:rsidR="005D3BD8" w:rsidRPr="00285D58" w:rsidRDefault="005D3BD8" w:rsidP="005D3BD8">
      <w:pPr>
        <w:spacing w:line="276" w:lineRule="auto"/>
        <w:ind w:left="-142" w:hanging="1276"/>
        <w:jc w:val="center"/>
        <w:rPr>
          <w:rFonts w:asciiTheme="minorHAnsi" w:eastAsia="Calibri" w:hAnsiTheme="minorHAnsi" w:cstheme="minorHAnsi"/>
        </w:rPr>
        <w:sectPr w:rsidR="005D3BD8" w:rsidRPr="00285D58" w:rsidSect="00174033">
          <w:pgSz w:w="11906" w:h="16838"/>
          <w:pgMar w:top="567" w:right="1701" w:bottom="1418" w:left="1701" w:header="709" w:footer="709" w:gutter="0"/>
          <w:cols w:space="708"/>
          <w:docGrid w:linePitch="360"/>
        </w:sectPr>
      </w:pPr>
      <w:r w:rsidRPr="00285D58">
        <w:rPr>
          <w:rFonts w:asciiTheme="minorHAnsi" w:eastAsia="Calibri" w:hAnsiTheme="minorHAnsi" w:cstheme="minorHAnsi"/>
          <w:noProof/>
          <w:lang w:val="es-PE"/>
        </w:rPr>
        <w:drawing>
          <wp:inline distT="0" distB="0" distL="0" distR="0" wp14:anchorId="00F3EBFA" wp14:editId="28B07597">
            <wp:extent cx="7200000" cy="4961922"/>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00000" cy="4961922"/>
                    </a:xfrm>
                    <a:prstGeom prst="rect">
                      <a:avLst/>
                    </a:prstGeom>
                    <a:noFill/>
                    <a:ln>
                      <a:noFill/>
                    </a:ln>
                  </pic:spPr>
                </pic:pic>
              </a:graphicData>
            </a:graphic>
          </wp:inline>
        </w:drawing>
      </w:r>
    </w:p>
    <w:p w14:paraId="461C6382" w14:textId="5FEA9AF2" w:rsidR="0046458D" w:rsidRPr="00285D58" w:rsidRDefault="006049C1" w:rsidP="008D1FFF">
      <w:pPr>
        <w:pStyle w:val="Ttulo1"/>
        <w:spacing w:before="1" w:line="276" w:lineRule="auto"/>
        <w:jc w:val="both"/>
        <w:rPr>
          <w:rFonts w:asciiTheme="minorHAnsi" w:eastAsia="Calibri" w:hAnsiTheme="minorHAnsi" w:cstheme="minorHAnsi"/>
          <w:b/>
          <w:color w:val="1F4E79"/>
          <w:sz w:val="24"/>
          <w:szCs w:val="24"/>
          <w:u w:val="single"/>
        </w:rPr>
      </w:pPr>
      <w:bookmarkStart w:id="11" w:name="_heading=h.2et92p0" w:colFirst="0" w:colLast="0"/>
      <w:bookmarkStart w:id="12" w:name="_Toc193979265"/>
      <w:bookmarkEnd w:id="11"/>
      <w:r w:rsidRPr="00285D58">
        <w:rPr>
          <w:rFonts w:asciiTheme="minorHAnsi" w:eastAsia="Calibri" w:hAnsiTheme="minorHAnsi" w:cstheme="minorHAnsi"/>
          <w:b/>
          <w:color w:val="1F4E79"/>
          <w:sz w:val="24"/>
          <w:szCs w:val="24"/>
          <w:u w:val="single"/>
        </w:rPr>
        <w:lastRenderedPageBreak/>
        <w:t xml:space="preserve">ANEXO 03: </w:t>
      </w:r>
      <w:r w:rsidR="0046458D" w:rsidRPr="00285D58">
        <w:rPr>
          <w:rFonts w:asciiTheme="minorHAnsi" w:eastAsia="Calibri" w:hAnsiTheme="minorHAnsi" w:cstheme="minorHAnsi"/>
          <w:b/>
          <w:color w:val="1F4E79"/>
          <w:sz w:val="24"/>
          <w:szCs w:val="24"/>
          <w:u w:val="single"/>
        </w:rPr>
        <w:t>CIERRE FINANCIERO</w:t>
      </w:r>
      <w:bookmarkEnd w:id="12"/>
    </w:p>
    <w:p w14:paraId="4A225A9A" w14:textId="0C2203DD"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3" w:name="_Toc193979266"/>
      <w:r w:rsidRPr="00285D58">
        <w:rPr>
          <w:rFonts w:asciiTheme="minorHAnsi" w:eastAsia="Calibri" w:hAnsiTheme="minorHAnsi" w:cstheme="minorHAnsi"/>
          <w:b/>
          <w:color w:val="1F4E79"/>
          <w:sz w:val="22"/>
          <w:szCs w:val="22"/>
        </w:rPr>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1 - MODELO DE DECLARACIÓN JURADA PARA OBTENER LA CALIFICACIÓN DE ACREEDOR PERMITIDO</w:t>
      </w:r>
      <w:bookmarkEnd w:id="13"/>
    </w:p>
    <w:p w14:paraId="22FAA0C3" w14:textId="77777777" w:rsidR="0046458D" w:rsidRPr="00285D58" w:rsidRDefault="0046458D" w:rsidP="008D1FFF">
      <w:pPr>
        <w:pBdr>
          <w:between w:val="nil"/>
        </w:pBdr>
        <w:spacing w:before="6" w:line="276" w:lineRule="auto"/>
        <w:jc w:val="both"/>
        <w:rPr>
          <w:rFonts w:asciiTheme="minorHAnsi" w:eastAsia="Calibri" w:hAnsiTheme="minorHAnsi" w:cstheme="minorHAnsi"/>
          <w:b/>
          <w:color w:val="000000"/>
        </w:rPr>
      </w:pPr>
    </w:p>
    <w:p w14:paraId="03F61204" w14:textId="77777777" w:rsidR="0046458D" w:rsidRPr="00285D58" w:rsidRDefault="0046458D"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121DC746" w14:textId="77777777" w:rsidR="0046458D" w:rsidRPr="00285D58" w:rsidRDefault="0046458D" w:rsidP="008D1FFF">
      <w:pPr>
        <w:pBdr>
          <w:between w:val="nil"/>
        </w:pBdr>
        <w:spacing w:before="7" w:line="276" w:lineRule="auto"/>
        <w:jc w:val="both"/>
        <w:rPr>
          <w:rFonts w:asciiTheme="minorHAnsi" w:eastAsia="Calibri" w:hAnsiTheme="minorHAnsi" w:cstheme="minorHAnsi"/>
          <w:color w:val="000000"/>
        </w:rPr>
      </w:pPr>
    </w:p>
    <w:p w14:paraId="1B72752A" w14:textId="77777777" w:rsidR="0046458D" w:rsidRPr="00285D58" w:rsidRDefault="0046458D" w:rsidP="008D1FFF">
      <w:pPr>
        <w:pBdr>
          <w:between w:val="nil"/>
        </w:pBdr>
        <w:spacing w:before="1"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11059098" w14:textId="77777777" w:rsidR="0046458D" w:rsidRPr="00285D58" w:rsidRDefault="0046458D" w:rsidP="008D1FFF">
      <w:pPr>
        <w:pBdr>
          <w:between w:val="nil"/>
        </w:pBdr>
        <w:spacing w:before="1"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Agencia de Promoción de la Inversión Privada – Proinversión</w:t>
      </w:r>
    </w:p>
    <w:p w14:paraId="1D88E3DF" w14:textId="77777777" w:rsidR="0046458D" w:rsidRPr="00285D58" w:rsidRDefault="0046458D" w:rsidP="008D1FFF">
      <w:pPr>
        <w:pBdr>
          <w:between w:val="nil"/>
        </w:pBdr>
        <w:spacing w:before="37"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u w:val="single"/>
        </w:rPr>
        <w:t>Presente</w:t>
      </w:r>
      <w:r w:rsidRPr="00285D58">
        <w:rPr>
          <w:rFonts w:asciiTheme="minorHAnsi" w:eastAsia="Calibri" w:hAnsiTheme="minorHAnsi" w:cstheme="minorHAnsi"/>
          <w:color w:val="000000"/>
        </w:rPr>
        <w:t>. –</w:t>
      </w:r>
    </w:p>
    <w:p w14:paraId="279AB4E2" w14:textId="77777777" w:rsidR="0046458D" w:rsidRPr="00285D58" w:rsidRDefault="0046458D" w:rsidP="008D1FFF">
      <w:pPr>
        <w:pBdr>
          <w:between w:val="nil"/>
        </w:pBdr>
        <w:spacing w:before="8" w:line="276" w:lineRule="auto"/>
        <w:jc w:val="both"/>
        <w:rPr>
          <w:rFonts w:asciiTheme="minorHAnsi" w:eastAsia="Calibri" w:hAnsiTheme="minorHAnsi" w:cstheme="minorHAnsi"/>
          <w:color w:val="000000"/>
        </w:rPr>
      </w:pPr>
    </w:p>
    <w:p w14:paraId="751A17E4"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Acreedor Permitido: ..............................................</w:t>
      </w:r>
    </w:p>
    <w:p w14:paraId="05138536" w14:textId="77777777" w:rsidR="0046458D" w:rsidRPr="00285D58" w:rsidRDefault="0046458D" w:rsidP="008D1FFF">
      <w:pPr>
        <w:spacing w:line="276" w:lineRule="auto"/>
        <w:jc w:val="both"/>
        <w:rPr>
          <w:rFonts w:asciiTheme="minorHAnsi" w:eastAsia="Calibri" w:hAnsiTheme="minorHAnsi" w:cstheme="minorHAnsi"/>
        </w:rPr>
      </w:pPr>
    </w:p>
    <w:p w14:paraId="58EA1400"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Referencia: Contrato del Proyecto “……….”.</w:t>
      </w:r>
    </w:p>
    <w:p w14:paraId="270E245C" w14:textId="77777777" w:rsidR="0046458D" w:rsidRPr="00285D58" w:rsidRDefault="0046458D" w:rsidP="008D1FFF">
      <w:pPr>
        <w:spacing w:line="276" w:lineRule="auto"/>
        <w:jc w:val="both"/>
        <w:rPr>
          <w:rFonts w:asciiTheme="minorHAnsi" w:eastAsia="Calibri" w:hAnsiTheme="minorHAnsi" w:cstheme="minorHAnsi"/>
        </w:rPr>
      </w:pPr>
    </w:p>
    <w:p w14:paraId="6495A786" w14:textId="77777777" w:rsidR="0046458D" w:rsidRPr="00285D58" w:rsidRDefault="0046458D" w:rsidP="008D1FFF">
      <w:p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 xml:space="preserve">De acuerdo con lo previsto en el Cláusula 8.1 del Contrato de Concesión del Proyecto </w:t>
      </w:r>
      <w:r w:rsidRPr="00285D58">
        <w:rPr>
          <w:rFonts w:asciiTheme="minorHAnsi" w:eastAsia="Calibri" w:hAnsiTheme="minorHAnsi" w:cstheme="minorHAnsi"/>
          <w:color w:val="000000"/>
        </w:rPr>
        <w:t>“Mejoramiento de los servicios turísticos públicos del Parque Arqueológico Choquequirao”</w:t>
      </w:r>
      <w:r w:rsidRPr="00285D58">
        <w:rPr>
          <w:rFonts w:asciiTheme="minorHAnsi" w:eastAsia="Calibri" w:hAnsiTheme="minorHAnsi" w:cstheme="minorHAnsi"/>
        </w:rPr>
        <w:t xml:space="preserve">, declaramos lo </w:t>
      </w:r>
      <w:r w:rsidRPr="00285D58">
        <w:rPr>
          <w:rFonts w:asciiTheme="minorHAnsi" w:eastAsia="Calibri" w:hAnsiTheme="minorHAnsi" w:cstheme="minorHAnsi"/>
          <w:color w:val="000000"/>
        </w:rPr>
        <w:t>siguiente:</w:t>
      </w:r>
    </w:p>
    <w:p w14:paraId="5C48B22B" w14:textId="77777777" w:rsidR="0046458D" w:rsidRPr="00285D58" w:rsidRDefault="0046458D" w:rsidP="008D1FFF">
      <w:pPr>
        <w:spacing w:line="276" w:lineRule="auto"/>
        <w:jc w:val="both"/>
        <w:rPr>
          <w:rFonts w:asciiTheme="minorHAnsi" w:eastAsia="Calibri" w:hAnsiTheme="minorHAnsi" w:cstheme="minorHAnsi"/>
          <w:b/>
        </w:rPr>
      </w:pPr>
    </w:p>
    <w:p w14:paraId="6BE80A70" w14:textId="79D9422C"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 xml:space="preserve">Que no nos encontramos sujetos a impedimentos ni restricciones (por vía contractual, judicial, arbitral, administrativa, legislativa u otra) para asumir y cumplir con el compromiso de financiar a ………………(CONCESIONARIO) (actuando/participando en calidad de Agente de Garantías o Agente Administrativo/ agente, estructurador, o quien actúen con un rol similar a ellos en la emisión de valores mobiliarios/instrumentos de deuda) por lo que nuestros órganos internos competentes han aprobado [una línea de crédito / nuestra participación en la emisión de valores mobiliarios/instrumentos de deuda] hasta por el monto de ____________, a favor de……………….(CONCESIONARIO) [recibirá / emitirá], la misma que está destinada a cumplir las obligaciones derivadas del Contrato de Concesión. </w:t>
      </w:r>
    </w:p>
    <w:p w14:paraId="3FE55D54" w14:textId="77777777" w:rsidR="0046458D" w:rsidRPr="00285D58" w:rsidRDefault="0046458D" w:rsidP="008D1FFF">
      <w:pPr>
        <w:spacing w:line="276" w:lineRule="auto"/>
        <w:ind w:left="851"/>
        <w:jc w:val="both"/>
        <w:rPr>
          <w:rFonts w:asciiTheme="minorHAnsi" w:eastAsia="Calibri" w:hAnsiTheme="minorHAnsi" w:cstheme="minorHAnsi"/>
        </w:rPr>
      </w:pPr>
    </w:p>
    <w:p w14:paraId="5D3A360E"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Que, [actuando en representación de los agentes descritos en el literal precedente] cumplimos con los requisitos establecidos, para calificar como Acreedor Permitido, de conformidad con los términos que el Contrato de Concesión asigna a esta definición.</w:t>
      </w:r>
    </w:p>
    <w:p w14:paraId="1D38AF6C" w14:textId="77777777" w:rsidR="0046458D" w:rsidRPr="00285D58" w:rsidRDefault="0046458D" w:rsidP="008D1FFF">
      <w:pPr>
        <w:spacing w:line="276" w:lineRule="auto"/>
        <w:ind w:left="720"/>
        <w:jc w:val="both"/>
        <w:rPr>
          <w:rFonts w:asciiTheme="minorHAnsi" w:eastAsia="Calibri" w:hAnsiTheme="minorHAnsi" w:cstheme="minorHAnsi"/>
        </w:rPr>
      </w:pPr>
    </w:p>
    <w:p w14:paraId="22AE9123" w14:textId="225CF4FD"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rPr>
        <w:t>Que manifestamos que el financiamiento señalado en el Literal anterior se llevará a cabo, entre otros, de acuerdo con las disposiciones del contrato denominado ________________ que se suscribirá entre ____________________ (CONCESIONARIO) y _______________</w:t>
      </w:r>
      <w:r w:rsidR="00973187" w:rsidRPr="00285D58">
        <w:rPr>
          <w:rFonts w:asciiTheme="minorHAnsi" w:eastAsia="Calibri" w:hAnsiTheme="minorHAnsi" w:cstheme="minorHAnsi"/>
        </w:rPr>
        <w:t>_ (</w:t>
      </w:r>
      <w:r w:rsidRPr="00285D58">
        <w:rPr>
          <w:rFonts w:asciiTheme="minorHAnsi" w:eastAsia="Calibri" w:hAnsiTheme="minorHAnsi" w:cstheme="minorHAnsi"/>
        </w:rPr>
        <w:t>Entidad Financiera /agente o estructurador en la emisión de valores mobiliarios/instrumentos de deuda).</w:t>
      </w:r>
    </w:p>
    <w:p w14:paraId="1E02A975" w14:textId="77777777" w:rsidR="0046458D" w:rsidRPr="00285D58" w:rsidRDefault="0046458D" w:rsidP="008D1FFF">
      <w:pPr>
        <w:spacing w:line="276" w:lineRule="auto"/>
        <w:ind w:left="720"/>
        <w:jc w:val="both"/>
        <w:rPr>
          <w:rFonts w:asciiTheme="minorHAnsi" w:eastAsia="Calibri" w:hAnsiTheme="minorHAnsi" w:cstheme="minorHAnsi"/>
        </w:rPr>
      </w:pPr>
    </w:p>
    <w:p w14:paraId="672BBAC1"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i/>
        </w:rPr>
        <w:t xml:space="preserve">[En caso de contratos de créditos] </w:t>
      </w:r>
      <w:r w:rsidRPr="00285D58">
        <w:rPr>
          <w:rFonts w:asciiTheme="minorHAnsi" w:eastAsia="Calibri" w:hAnsiTheme="minorHAnsi" w:cstheme="minorHAnsi"/>
        </w:rPr>
        <w:t xml:space="preserve">Finalmente, declaramos que los contratos de crédito que se suscriban (i) no contravienen el Contrato y establecen que, en caso de discrepancia entre los contratos de crédito, o de cualquier otro acuerdo accesorio al mismo, y el </w:t>
      </w:r>
      <w:r w:rsidRPr="00285D58">
        <w:rPr>
          <w:rFonts w:asciiTheme="minorHAnsi" w:eastAsia="Calibri" w:hAnsiTheme="minorHAnsi" w:cstheme="minorHAnsi"/>
        </w:rPr>
        <w:lastRenderedPageBreak/>
        <w:t xml:space="preserve">Contrato de Concesión, prevalecerá lo dispuesto en el Contrato, (ii) no modifican la asignación de riesgos del Contrato (iii) establecen que las obligaciones a cargo de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 xml:space="preserve">en los contratos de financiamiento y las garantías otorgadas por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no exceden las garantías posibles de ser otorgadas de acuerdo al Contrato y a la legislación vigente, y que cualquier pacto en contrario no será oponible al CONCEDENTE, y (iv) no generan riesgos o alguna responsabilidad adicional al CONCEDENTE no considerada en el Contrato de Concesión.</w:t>
      </w:r>
    </w:p>
    <w:p w14:paraId="13A8625F" w14:textId="77777777" w:rsidR="0046458D" w:rsidRPr="00285D58" w:rsidRDefault="0046458D" w:rsidP="008D1FFF">
      <w:pPr>
        <w:spacing w:line="276" w:lineRule="auto"/>
        <w:ind w:left="720"/>
        <w:jc w:val="both"/>
        <w:rPr>
          <w:rFonts w:asciiTheme="minorHAnsi" w:eastAsia="Calibri" w:hAnsiTheme="minorHAnsi" w:cstheme="minorHAnsi"/>
        </w:rPr>
      </w:pPr>
    </w:p>
    <w:p w14:paraId="3DD28B56" w14:textId="77777777" w:rsidR="0046458D" w:rsidRPr="00285D58" w:rsidRDefault="0046458D" w:rsidP="00A3732C">
      <w:pPr>
        <w:widowControl/>
        <w:numPr>
          <w:ilvl w:val="2"/>
          <w:numId w:val="233"/>
        </w:numPr>
        <w:spacing w:line="276" w:lineRule="auto"/>
        <w:ind w:left="851"/>
        <w:jc w:val="both"/>
        <w:rPr>
          <w:rFonts w:asciiTheme="minorHAnsi" w:eastAsia="Calibri" w:hAnsiTheme="minorHAnsi" w:cstheme="minorHAnsi"/>
        </w:rPr>
      </w:pPr>
      <w:r w:rsidRPr="00285D58">
        <w:rPr>
          <w:rFonts w:asciiTheme="minorHAnsi" w:eastAsia="Calibri" w:hAnsiTheme="minorHAnsi" w:cstheme="minorHAnsi"/>
          <w:i/>
        </w:rPr>
        <w:t xml:space="preserve">[En caso de emisiones en el mercado de capitales] </w:t>
      </w:r>
      <w:r w:rsidRPr="00285D58">
        <w:rPr>
          <w:rFonts w:asciiTheme="minorHAnsi" w:eastAsia="Calibri" w:hAnsiTheme="minorHAnsi" w:cstheme="minorHAnsi"/>
        </w:rPr>
        <w:t xml:space="preserve">Finalmente, declaramos que el contrato de emisión de obligaciones o documento equivalente que se suscriba (i) no contraviene el Contrato de Concesión y establece que, en caso de discrepancia entre el contrato de emisión de obligaciones o documento equivalente y el Contrato, prevalecerá lo dispuesto en el Contrato de Concesión, o de cualquier otro acuerdo accesorio al mismo, (ii) no modifica la asignación de riesgos del Contrato, y (iii) las obligaciones a cargo de </w:t>
      </w:r>
      <w:r w:rsidRPr="00285D58">
        <w:rPr>
          <w:rFonts w:asciiTheme="minorHAnsi" w:eastAsia="Calibri" w:hAnsiTheme="minorHAnsi" w:cstheme="minorHAnsi"/>
          <w:i/>
        </w:rPr>
        <w:t xml:space="preserve">[Nombre del CONCESIONARIO] </w:t>
      </w:r>
      <w:r w:rsidRPr="00285D58">
        <w:rPr>
          <w:rFonts w:asciiTheme="minorHAnsi" w:eastAsia="Calibri" w:hAnsiTheme="minorHAnsi" w:cstheme="minorHAnsi"/>
        </w:rPr>
        <w:t xml:space="preserve">en el contrato de emisión de obligaciones o documento equivalente, así como las garantías otorgadas por </w:t>
      </w:r>
      <w:r w:rsidRPr="00285D58">
        <w:rPr>
          <w:rFonts w:asciiTheme="minorHAnsi" w:eastAsia="Calibri" w:hAnsiTheme="minorHAnsi" w:cstheme="minorHAnsi"/>
          <w:i/>
        </w:rPr>
        <w:t xml:space="preserve">[CONCESIONARIO] </w:t>
      </w:r>
      <w:r w:rsidRPr="00285D58">
        <w:rPr>
          <w:rFonts w:asciiTheme="minorHAnsi" w:eastAsia="Calibri" w:hAnsiTheme="minorHAnsi" w:cstheme="minorHAnsi"/>
        </w:rPr>
        <w:t>no exceden las garantías posibles de ser otorgadas de acuerdo al Contrato y a la legislación vigente, y que cualquier pacto en contrario no será oponible al CONCEDENTE, y (iv) no generan riesgos o alguna responsabilidad adicional al CONCEDENTE no considerada en el Contrato.</w:t>
      </w:r>
    </w:p>
    <w:p w14:paraId="51383E41" w14:textId="77777777" w:rsidR="0046458D" w:rsidRPr="00285D58" w:rsidRDefault="0046458D" w:rsidP="008D1FFF">
      <w:pPr>
        <w:spacing w:line="276" w:lineRule="auto"/>
        <w:jc w:val="both"/>
        <w:rPr>
          <w:rFonts w:asciiTheme="minorHAnsi" w:eastAsia="Calibri" w:hAnsiTheme="minorHAnsi" w:cstheme="minorHAnsi"/>
        </w:rPr>
      </w:pPr>
    </w:p>
    <w:p w14:paraId="75B91F8C"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Atentamente,</w:t>
      </w:r>
    </w:p>
    <w:p w14:paraId="59FC3931"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Firma</w:t>
      </w:r>
      <w:r w:rsidRPr="00285D58">
        <w:rPr>
          <w:rFonts w:asciiTheme="minorHAnsi" w:eastAsia="Calibri" w:hAnsiTheme="minorHAnsi" w:cstheme="minorHAnsi"/>
        </w:rPr>
        <w:t>: .....................................</w:t>
      </w:r>
    </w:p>
    <w:p w14:paraId="3C2AE60A"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Nombre: ..................................</w:t>
      </w:r>
    </w:p>
    <w:p w14:paraId="54C7F449"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Representante del Agente Administrativo / Agente de Garantías / agente o estructurador en la emisión de valores mobiliarios o equivalentes.</w:t>
      </w:r>
    </w:p>
    <w:p w14:paraId="15F36884" w14:textId="77777777" w:rsidR="0046458D" w:rsidRPr="00285D58" w:rsidRDefault="0046458D" w:rsidP="008D1FFF">
      <w:pPr>
        <w:spacing w:line="276" w:lineRule="auto"/>
        <w:jc w:val="both"/>
        <w:rPr>
          <w:rFonts w:asciiTheme="minorHAnsi" w:eastAsia="Calibri" w:hAnsiTheme="minorHAnsi" w:cstheme="minorHAnsi"/>
        </w:rPr>
      </w:pPr>
    </w:p>
    <w:p w14:paraId="35FD5B2F"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Entidad: ...................................</w:t>
      </w:r>
    </w:p>
    <w:p w14:paraId="539FDBA3"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Acreedor Permitido</w:t>
      </w:r>
    </w:p>
    <w:p w14:paraId="36B9D395"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 Copia a CONCEDENTE</w:t>
      </w:r>
    </w:p>
    <w:p w14:paraId="11F6CD07"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adjunta poder de representación</w:t>
      </w:r>
    </w:p>
    <w:p w14:paraId="44244D79" w14:textId="77777777" w:rsidR="0046458D" w:rsidRPr="00285D58" w:rsidRDefault="0046458D" w:rsidP="008D1FFF">
      <w:pPr>
        <w:spacing w:line="276" w:lineRule="auto"/>
        <w:jc w:val="both"/>
        <w:rPr>
          <w:rFonts w:asciiTheme="minorHAnsi" w:eastAsia="Calibri" w:hAnsiTheme="minorHAnsi" w:cstheme="minorHAnsi"/>
        </w:rPr>
      </w:pPr>
    </w:p>
    <w:p w14:paraId="3FBD032F" w14:textId="77777777" w:rsidR="0046458D" w:rsidRPr="00285D58" w:rsidRDefault="0046458D" w:rsidP="008D1FFF">
      <w:pPr>
        <w:pBdr>
          <w:between w:val="nil"/>
        </w:pBdr>
        <w:spacing w:line="276" w:lineRule="auto"/>
        <w:ind w:left="105"/>
        <w:jc w:val="both"/>
        <w:rPr>
          <w:rFonts w:asciiTheme="minorHAnsi" w:eastAsia="Calibri" w:hAnsiTheme="minorHAnsi" w:cstheme="minorHAnsi"/>
          <w:b/>
        </w:rPr>
      </w:pPr>
      <w:r w:rsidRPr="00285D58">
        <w:rPr>
          <w:rFonts w:asciiTheme="minorHAnsi" w:eastAsia="Calibri" w:hAnsiTheme="minorHAnsi" w:cstheme="minorHAnsi"/>
          <w:b/>
        </w:rPr>
        <w:t>Tabla: Condiciones del Financiamiento del Acreedor Permitido</w:t>
      </w:r>
    </w:p>
    <w:p w14:paraId="512FEEF3" w14:textId="77777777" w:rsidR="0046458D" w:rsidRPr="00285D58" w:rsidRDefault="0046458D" w:rsidP="008D1FFF">
      <w:pPr>
        <w:pBdr>
          <w:between w:val="nil"/>
        </w:pBdr>
        <w:spacing w:line="276" w:lineRule="auto"/>
        <w:ind w:left="105"/>
        <w:jc w:val="both"/>
        <w:rPr>
          <w:rFonts w:asciiTheme="minorHAnsi" w:eastAsia="Calibri" w:hAnsiTheme="minorHAnsi" w:cstheme="minorHAnsi"/>
          <w:b/>
        </w:rPr>
      </w:pPr>
    </w:p>
    <w:tbl>
      <w:tblPr>
        <w:tblW w:w="7938" w:type="dxa"/>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63"/>
        <w:gridCol w:w="4312"/>
        <w:gridCol w:w="2563"/>
      </w:tblGrid>
      <w:tr w:rsidR="0046458D" w:rsidRPr="00285D58" w14:paraId="1E6A93E7" w14:textId="77777777" w:rsidTr="006C5E05">
        <w:trPr>
          <w:trHeight w:val="290"/>
        </w:trPr>
        <w:tc>
          <w:tcPr>
            <w:tcW w:w="1063" w:type="dxa"/>
          </w:tcPr>
          <w:p w14:paraId="36EEC80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1</w:t>
            </w:r>
          </w:p>
        </w:tc>
        <w:tc>
          <w:tcPr>
            <w:tcW w:w="4312" w:type="dxa"/>
          </w:tcPr>
          <w:p w14:paraId="017D8A85"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Monto del crédito / de la emisión:</w:t>
            </w:r>
          </w:p>
        </w:tc>
        <w:tc>
          <w:tcPr>
            <w:tcW w:w="2563" w:type="dxa"/>
          </w:tcPr>
          <w:p w14:paraId="4837C417"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USD o Soles</w:t>
            </w:r>
          </w:p>
        </w:tc>
      </w:tr>
      <w:tr w:rsidR="0046458D" w:rsidRPr="00285D58" w14:paraId="65F72675" w14:textId="77777777" w:rsidTr="006C5E05">
        <w:trPr>
          <w:trHeight w:val="290"/>
        </w:trPr>
        <w:tc>
          <w:tcPr>
            <w:tcW w:w="1063" w:type="dxa"/>
          </w:tcPr>
          <w:p w14:paraId="79B8D94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2</w:t>
            </w:r>
          </w:p>
        </w:tc>
        <w:tc>
          <w:tcPr>
            <w:tcW w:w="4312" w:type="dxa"/>
          </w:tcPr>
          <w:p w14:paraId="4374B397"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aplicable:</w:t>
            </w:r>
          </w:p>
        </w:tc>
        <w:tc>
          <w:tcPr>
            <w:tcW w:w="2563" w:type="dxa"/>
          </w:tcPr>
          <w:p w14:paraId="6F1A7B40"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6C644D7" w14:textId="77777777" w:rsidTr="006C5E05">
        <w:trPr>
          <w:trHeight w:val="690"/>
        </w:trPr>
        <w:tc>
          <w:tcPr>
            <w:tcW w:w="1063" w:type="dxa"/>
          </w:tcPr>
          <w:p w14:paraId="558B390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3</w:t>
            </w:r>
          </w:p>
        </w:tc>
        <w:tc>
          <w:tcPr>
            <w:tcW w:w="4312" w:type="dxa"/>
          </w:tcPr>
          <w:p w14:paraId="5917E2A3" w14:textId="77777777" w:rsidR="0046458D" w:rsidRPr="00285D58" w:rsidRDefault="0046458D" w:rsidP="008D1FFF">
            <w:pPr>
              <w:pBdr>
                <w:between w:val="nil"/>
              </w:pBdr>
              <w:spacing w:line="276" w:lineRule="auto"/>
              <w:ind w:left="108" w:right="318"/>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garantías a ser otorgadas por [</w:t>
            </w:r>
            <w:r w:rsidRPr="00285D58">
              <w:rPr>
                <w:rFonts w:asciiTheme="minorHAnsi" w:eastAsia="Calibri" w:hAnsiTheme="minorHAnsi" w:cstheme="minorHAnsi"/>
                <w:i/>
                <w:color w:val="000000"/>
              </w:rPr>
              <w:t>Concesionario</w:t>
            </w:r>
            <w:r w:rsidRPr="00285D58">
              <w:rPr>
                <w:rFonts w:asciiTheme="minorHAnsi" w:eastAsia="Calibri" w:hAnsiTheme="minorHAnsi" w:cstheme="minorHAnsi"/>
                <w:color w:val="000000"/>
              </w:rPr>
              <w:t>]</w:t>
            </w:r>
            <w:r w:rsidRPr="00285D58">
              <w:rPr>
                <w:rFonts w:asciiTheme="minorHAnsi" w:eastAsia="Calibri" w:hAnsiTheme="minorHAnsi" w:cstheme="minorHAnsi"/>
                <w:color w:val="000000"/>
                <w:vertAlign w:val="superscript"/>
              </w:rPr>
              <w:footnoteReference w:id="3"/>
            </w:r>
            <w:r w:rsidRPr="00285D58">
              <w:rPr>
                <w:rFonts w:asciiTheme="minorHAnsi" w:eastAsia="Calibri" w:hAnsiTheme="minorHAnsi" w:cstheme="minorHAnsi"/>
                <w:color w:val="000000"/>
              </w:rPr>
              <w:t>:</w:t>
            </w:r>
          </w:p>
        </w:tc>
        <w:tc>
          <w:tcPr>
            <w:tcW w:w="2563" w:type="dxa"/>
          </w:tcPr>
          <w:p w14:paraId="045E754A"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19666773" w14:textId="77777777" w:rsidTr="006C5E05">
        <w:trPr>
          <w:trHeight w:val="873"/>
        </w:trPr>
        <w:tc>
          <w:tcPr>
            <w:tcW w:w="1063" w:type="dxa"/>
          </w:tcPr>
          <w:p w14:paraId="6F4BC558"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4</w:t>
            </w:r>
          </w:p>
        </w:tc>
        <w:tc>
          <w:tcPr>
            <w:tcW w:w="4312" w:type="dxa"/>
          </w:tcPr>
          <w:p w14:paraId="48DEA79F"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Período de gracia y plazo de amortización del crédito / plazo para el pago:</w:t>
            </w:r>
          </w:p>
        </w:tc>
        <w:tc>
          <w:tcPr>
            <w:tcW w:w="2563" w:type="dxa"/>
          </w:tcPr>
          <w:p w14:paraId="20D152E9"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 ([▪]) años/meses</w:t>
            </w:r>
          </w:p>
        </w:tc>
      </w:tr>
      <w:tr w:rsidR="0046458D" w:rsidRPr="00285D58" w14:paraId="508C36AF" w14:textId="77777777" w:rsidTr="006C5E05">
        <w:trPr>
          <w:trHeight w:val="873"/>
        </w:trPr>
        <w:tc>
          <w:tcPr>
            <w:tcW w:w="1063" w:type="dxa"/>
          </w:tcPr>
          <w:p w14:paraId="089B601A"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5</w:t>
            </w:r>
          </w:p>
        </w:tc>
        <w:tc>
          <w:tcPr>
            <w:tcW w:w="4312" w:type="dxa"/>
          </w:tcPr>
          <w:p w14:paraId="4BC27733" w14:textId="77777777" w:rsidR="0046458D" w:rsidRPr="00285D58" w:rsidRDefault="0046458D" w:rsidP="008D1FFF">
            <w:pPr>
              <w:pBdr>
                <w:between w:val="nil"/>
              </w:pBdr>
              <w:spacing w:line="276" w:lineRule="auto"/>
              <w:ind w:left="108" w:right="710"/>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amortización del crédito [</w:t>
            </w:r>
            <w:r w:rsidRPr="00285D58">
              <w:rPr>
                <w:rFonts w:asciiTheme="minorHAnsi" w:eastAsia="Calibri" w:hAnsiTheme="minorHAnsi" w:cstheme="minorHAnsi"/>
                <w:i/>
                <w:color w:val="000000"/>
              </w:rPr>
              <w:t>En caso de contratos de créditos</w:t>
            </w:r>
            <w:r w:rsidRPr="00285D58">
              <w:rPr>
                <w:rFonts w:asciiTheme="minorHAnsi" w:eastAsia="Calibri" w:hAnsiTheme="minorHAnsi" w:cstheme="minorHAnsi"/>
                <w:color w:val="000000"/>
              </w:rPr>
              <w:t>]</w:t>
            </w:r>
          </w:p>
        </w:tc>
        <w:tc>
          <w:tcPr>
            <w:tcW w:w="2563" w:type="dxa"/>
          </w:tcPr>
          <w:p w14:paraId="7E63AA61"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Se adjunta como Anexo</w:t>
            </w:r>
          </w:p>
        </w:tc>
      </w:tr>
      <w:tr w:rsidR="0046458D" w:rsidRPr="00285D58" w14:paraId="250E1246" w14:textId="77777777" w:rsidTr="006C5E05">
        <w:trPr>
          <w:trHeight w:val="873"/>
        </w:trPr>
        <w:tc>
          <w:tcPr>
            <w:tcW w:w="1063" w:type="dxa"/>
          </w:tcPr>
          <w:p w14:paraId="2E1AC3B2"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6</w:t>
            </w:r>
          </w:p>
        </w:tc>
        <w:tc>
          <w:tcPr>
            <w:tcW w:w="4312" w:type="dxa"/>
          </w:tcPr>
          <w:p w14:paraId="53D261A0" w14:textId="77777777" w:rsidR="0046458D" w:rsidRPr="00285D58" w:rsidRDefault="0046458D" w:rsidP="008D1FFF">
            <w:pPr>
              <w:pBdr>
                <w:between w:val="nil"/>
              </w:pBdr>
              <w:spacing w:line="276" w:lineRule="auto"/>
              <w:ind w:left="108" w:right="184"/>
              <w:jc w:val="both"/>
              <w:rPr>
                <w:rFonts w:asciiTheme="minorHAnsi" w:eastAsia="Calibri" w:hAnsiTheme="minorHAnsi" w:cstheme="minorHAnsi"/>
                <w:color w:val="000000"/>
              </w:rPr>
            </w:pPr>
            <w:r w:rsidRPr="00285D58">
              <w:rPr>
                <w:rFonts w:asciiTheme="minorHAnsi" w:eastAsia="Calibri" w:hAnsiTheme="minorHAnsi" w:cstheme="minorHAnsi"/>
                <w:color w:val="000000"/>
              </w:rPr>
              <w:t>Condiciones y términos de los documentos de financiamiento para el primer desembolso [</w:t>
            </w:r>
            <w:r w:rsidRPr="00285D58">
              <w:rPr>
                <w:rFonts w:asciiTheme="minorHAnsi" w:eastAsia="Calibri" w:hAnsiTheme="minorHAnsi" w:cstheme="minorHAnsi"/>
                <w:i/>
                <w:color w:val="000000"/>
              </w:rPr>
              <w:t>En caso de contratos de créditos</w:t>
            </w:r>
            <w:r w:rsidRPr="00285D58">
              <w:rPr>
                <w:rFonts w:asciiTheme="minorHAnsi" w:eastAsia="Calibri" w:hAnsiTheme="minorHAnsi" w:cstheme="minorHAnsi"/>
                <w:color w:val="000000"/>
              </w:rPr>
              <w:t>] y periodo de</w:t>
            </w:r>
          </w:p>
          <w:p w14:paraId="48F8086C"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disposición</w:t>
            </w:r>
          </w:p>
        </w:tc>
        <w:tc>
          <w:tcPr>
            <w:tcW w:w="2563" w:type="dxa"/>
          </w:tcPr>
          <w:p w14:paraId="6E67F425"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2371EF6" w14:textId="77777777" w:rsidTr="006C5E05">
        <w:trPr>
          <w:trHeight w:val="873"/>
        </w:trPr>
        <w:tc>
          <w:tcPr>
            <w:tcW w:w="1063" w:type="dxa"/>
          </w:tcPr>
          <w:p w14:paraId="27DFD163"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7</w:t>
            </w:r>
          </w:p>
        </w:tc>
        <w:tc>
          <w:tcPr>
            <w:tcW w:w="4312" w:type="dxa"/>
          </w:tcPr>
          <w:p w14:paraId="50708128"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i/>
                <w:color w:val="000000"/>
              </w:rPr>
              <w:t>Covenants</w:t>
            </w:r>
          </w:p>
        </w:tc>
        <w:tc>
          <w:tcPr>
            <w:tcW w:w="2563" w:type="dxa"/>
          </w:tcPr>
          <w:p w14:paraId="0717AC3C"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r w:rsidR="0046458D" w:rsidRPr="00285D58" w14:paraId="3C56BF5E" w14:textId="77777777" w:rsidTr="006C5E05">
        <w:trPr>
          <w:trHeight w:val="873"/>
        </w:trPr>
        <w:tc>
          <w:tcPr>
            <w:tcW w:w="1063" w:type="dxa"/>
          </w:tcPr>
          <w:p w14:paraId="07ABA0C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8</w:t>
            </w:r>
          </w:p>
        </w:tc>
        <w:tc>
          <w:tcPr>
            <w:tcW w:w="4312" w:type="dxa"/>
          </w:tcPr>
          <w:p w14:paraId="5E44C5B7" w14:textId="77777777" w:rsidR="0046458D" w:rsidRPr="00285D58" w:rsidRDefault="0046458D" w:rsidP="008D1FFF">
            <w:pPr>
              <w:pBdr>
                <w:between w:val="nil"/>
              </w:pBdr>
              <w:spacing w:line="276" w:lineRule="auto"/>
              <w:ind w:left="108"/>
              <w:jc w:val="both"/>
              <w:rPr>
                <w:rFonts w:asciiTheme="minorHAnsi" w:eastAsia="Calibri" w:hAnsiTheme="minorHAnsi" w:cstheme="minorHAnsi"/>
                <w:color w:val="000000"/>
              </w:rPr>
            </w:pPr>
            <w:r w:rsidRPr="00285D58">
              <w:rPr>
                <w:rFonts w:asciiTheme="minorHAnsi" w:eastAsia="Calibri" w:hAnsiTheme="minorHAnsi" w:cstheme="minorHAnsi"/>
                <w:color w:val="000000"/>
              </w:rPr>
              <w:t>Ley aplicable</w:t>
            </w:r>
          </w:p>
        </w:tc>
        <w:tc>
          <w:tcPr>
            <w:tcW w:w="2563" w:type="dxa"/>
          </w:tcPr>
          <w:p w14:paraId="0F61F73E" w14:textId="77777777" w:rsidR="0046458D" w:rsidRPr="00285D58" w:rsidRDefault="0046458D" w:rsidP="008D1FFF">
            <w:pPr>
              <w:pBdr>
                <w:between w:val="nil"/>
              </w:pBdr>
              <w:spacing w:line="276" w:lineRule="auto"/>
              <w:ind w:left="105"/>
              <w:jc w:val="both"/>
              <w:rPr>
                <w:rFonts w:asciiTheme="minorHAnsi" w:eastAsia="Calibri" w:hAnsiTheme="minorHAnsi" w:cstheme="minorHAnsi"/>
                <w:color w:val="000000"/>
              </w:rPr>
            </w:pPr>
            <w:r w:rsidRPr="00285D58">
              <w:rPr>
                <w:rFonts w:asciiTheme="minorHAnsi" w:eastAsia="Calibri" w:hAnsiTheme="minorHAnsi" w:cstheme="minorHAnsi"/>
                <w:color w:val="000000"/>
              </w:rPr>
              <w:t>[▪]</w:t>
            </w:r>
          </w:p>
        </w:tc>
      </w:tr>
    </w:tbl>
    <w:p w14:paraId="66F85BAD" w14:textId="77777777" w:rsidR="0046458D" w:rsidRPr="00285D58" w:rsidRDefault="0046458D" w:rsidP="008D1FFF">
      <w:pPr>
        <w:spacing w:line="276" w:lineRule="auto"/>
        <w:jc w:val="both"/>
        <w:rPr>
          <w:rFonts w:asciiTheme="minorHAnsi" w:eastAsia="Calibri" w:hAnsiTheme="minorHAnsi" w:cstheme="minorHAnsi"/>
          <w:b/>
          <w:color w:val="4BACC6"/>
        </w:rPr>
      </w:pPr>
      <w:r w:rsidRPr="00285D58">
        <w:rPr>
          <w:rFonts w:asciiTheme="minorHAnsi" w:hAnsiTheme="minorHAnsi" w:cstheme="minorHAnsi"/>
        </w:rPr>
        <w:br w:type="page"/>
      </w:r>
    </w:p>
    <w:p w14:paraId="60E1F694" w14:textId="4FA9C6F9"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4" w:name="_Toc193979267"/>
      <w:r w:rsidRPr="00285D58">
        <w:rPr>
          <w:rFonts w:asciiTheme="minorHAnsi" w:eastAsia="Calibri" w:hAnsiTheme="minorHAnsi" w:cstheme="minorHAnsi"/>
          <w:b/>
          <w:color w:val="1F4E79"/>
          <w:sz w:val="22"/>
          <w:szCs w:val="22"/>
        </w:rPr>
        <w:lastRenderedPageBreak/>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2 - DOCUMENTACIÓN PARA LA ACREDITACIÓN DEL CIERRE FINANCIERO</w:t>
      </w:r>
      <w:bookmarkEnd w:id="14"/>
    </w:p>
    <w:p w14:paraId="57BD79D6" w14:textId="77777777" w:rsidR="0046458D" w:rsidRPr="00285D58" w:rsidRDefault="0046458D" w:rsidP="008D1FFF">
      <w:pPr>
        <w:spacing w:line="276" w:lineRule="auto"/>
        <w:jc w:val="both"/>
        <w:rPr>
          <w:rFonts w:asciiTheme="minorHAnsi" w:eastAsia="Calibri" w:hAnsiTheme="minorHAnsi" w:cstheme="minorHAnsi"/>
        </w:rPr>
      </w:pPr>
    </w:p>
    <w:p w14:paraId="1AF7DA11" w14:textId="77777777" w:rsidR="0046458D" w:rsidRPr="00285D58" w:rsidRDefault="0046458D" w:rsidP="008D1FFF">
      <w:pPr>
        <w:pBdr>
          <w:between w:val="nil"/>
        </w:pBdr>
        <w:spacing w:before="94"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Lima, [▪] de [▪] de 20[▪]</w:t>
      </w:r>
    </w:p>
    <w:p w14:paraId="3175710E" w14:textId="77777777" w:rsidR="0046458D" w:rsidRPr="00285D58" w:rsidRDefault="0046458D" w:rsidP="008D1FFF">
      <w:pPr>
        <w:pBdr>
          <w:between w:val="nil"/>
        </w:pBdr>
        <w:spacing w:before="8" w:line="276" w:lineRule="auto"/>
        <w:jc w:val="both"/>
        <w:rPr>
          <w:rFonts w:asciiTheme="minorHAnsi" w:eastAsia="Calibri" w:hAnsiTheme="minorHAnsi" w:cstheme="minorHAnsi"/>
          <w:color w:val="000000"/>
        </w:rPr>
      </w:pPr>
    </w:p>
    <w:p w14:paraId="017EE661"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7C58C4DE"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b/>
          <w:color w:val="000000"/>
        </w:rPr>
        <w:t>Agencia de Promoción de la Inversión Privada - PROINVERSIÓN</w:t>
      </w:r>
    </w:p>
    <w:p w14:paraId="74856A3D" w14:textId="77777777" w:rsidR="0046458D" w:rsidRPr="00285D58" w:rsidRDefault="0046458D" w:rsidP="008D1FFF">
      <w:pPr>
        <w:pBdr>
          <w:between w:val="nil"/>
        </w:pBdr>
        <w:spacing w:before="37"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u w:val="single"/>
        </w:rPr>
        <w:t>Presente</w:t>
      </w:r>
      <w:r w:rsidRPr="00285D58">
        <w:rPr>
          <w:rFonts w:asciiTheme="minorHAnsi" w:eastAsia="Calibri" w:hAnsiTheme="minorHAnsi" w:cstheme="minorHAnsi"/>
          <w:color w:val="000000"/>
        </w:rPr>
        <w:t>. –</w:t>
      </w:r>
    </w:p>
    <w:p w14:paraId="3D4999A0" w14:textId="77777777" w:rsidR="0046458D" w:rsidRPr="00285D58" w:rsidRDefault="0046458D" w:rsidP="008D1FFF">
      <w:pPr>
        <w:pBdr>
          <w:between w:val="nil"/>
        </w:pBdr>
        <w:spacing w:before="7" w:line="276" w:lineRule="auto"/>
        <w:jc w:val="both"/>
        <w:rPr>
          <w:rFonts w:asciiTheme="minorHAnsi" w:eastAsia="Calibri" w:hAnsiTheme="minorHAnsi" w:cstheme="minorHAnsi"/>
          <w:color w:val="000000"/>
        </w:rPr>
      </w:pPr>
    </w:p>
    <w:p w14:paraId="4B976584" w14:textId="77777777" w:rsidR="0046458D" w:rsidRPr="00285D58" w:rsidRDefault="0046458D" w:rsidP="008D1FFF">
      <w:pPr>
        <w:pBdr>
          <w:between w:val="nil"/>
        </w:pBdr>
        <w:spacing w:before="93" w:line="276" w:lineRule="auto"/>
        <w:ind w:left="1553" w:right="139" w:hanging="1412"/>
        <w:jc w:val="both"/>
        <w:rPr>
          <w:rFonts w:asciiTheme="minorHAnsi" w:eastAsia="Calibri" w:hAnsiTheme="minorHAnsi" w:cstheme="minorHAnsi"/>
          <w:color w:val="000000"/>
        </w:rPr>
      </w:pPr>
      <w:r w:rsidRPr="00285D58">
        <w:rPr>
          <w:rFonts w:asciiTheme="minorHAnsi" w:eastAsia="Calibri" w:hAnsiTheme="minorHAnsi" w:cstheme="minorHAnsi"/>
          <w:b/>
          <w:color w:val="000000"/>
        </w:rPr>
        <w:t xml:space="preserve">Referencia: </w:t>
      </w:r>
      <w:r w:rsidRPr="00285D58">
        <w:rPr>
          <w:rFonts w:asciiTheme="minorHAnsi" w:eastAsia="Calibri" w:hAnsiTheme="minorHAnsi" w:cstheme="minorHAnsi"/>
          <w:color w:val="000000"/>
        </w:rPr>
        <w:t>Solicitud de Conformidad al Cierre Financiero del Proyecto “Mejoramiento de los servicios turísticos públicos del Parque Arqueológico Choquequirao”.</w:t>
      </w:r>
    </w:p>
    <w:p w14:paraId="0A1E635B" w14:textId="77777777" w:rsidR="0046458D" w:rsidRPr="00285D58" w:rsidRDefault="0046458D" w:rsidP="008D1FFF">
      <w:pPr>
        <w:pBdr>
          <w:between w:val="nil"/>
        </w:pBdr>
        <w:spacing w:before="3" w:line="276" w:lineRule="auto"/>
        <w:jc w:val="both"/>
        <w:rPr>
          <w:rFonts w:asciiTheme="minorHAnsi" w:eastAsia="Calibri" w:hAnsiTheme="minorHAnsi" w:cstheme="minorHAnsi"/>
          <w:color w:val="000000"/>
        </w:rPr>
      </w:pPr>
    </w:p>
    <w:p w14:paraId="4AD64AD6" w14:textId="77777777" w:rsidR="0046458D" w:rsidRPr="00285D58" w:rsidRDefault="0046458D" w:rsidP="008D1FFF">
      <w:pPr>
        <w:pBdr>
          <w:between w:val="nil"/>
        </w:pBdr>
        <w:spacing w:before="94" w:line="276" w:lineRule="auto"/>
        <w:ind w:left="142" w:right="134"/>
        <w:jc w:val="both"/>
        <w:rPr>
          <w:rFonts w:asciiTheme="minorHAnsi" w:eastAsia="Calibri" w:hAnsiTheme="minorHAnsi" w:cstheme="minorHAnsi"/>
          <w:color w:val="000000"/>
        </w:rPr>
      </w:pPr>
      <w:r w:rsidRPr="00285D58">
        <w:rPr>
          <w:rFonts w:asciiTheme="minorHAnsi" w:eastAsia="Calibri" w:hAnsiTheme="minorHAnsi" w:cstheme="minorHAnsi"/>
          <w:color w:val="000000"/>
        </w:rPr>
        <w:t>De acuerdo con lo previsto en la Cláusula 8.9 del proyecto “Mejoramiento de los Servicios Turísticos Públicos del Parque Arqueológico Choquequirao”, adjuntamos como anexo el listado de la documentación necesaria para acreditar el Cierre Financiero, así como los documentos de sustento correspondientes.</w:t>
      </w:r>
    </w:p>
    <w:p w14:paraId="1A01D71A" w14:textId="77777777" w:rsidR="0046458D" w:rsidRPr="00285D58" w:rsidRDefault="0046458D" w:rsidP="008D1FFF">
      <w:pPr>
        <w:pBdr>
          <w:between w:val="nil"/>
        </w:pBdr>
        <w:spacing w:before="3" w:line="276" w:lineRule="auto"/>
        <w:jc w:val="both"/>
        <w:rPr>
          <w:rFonts w:asciiTheme="minorHAnsi" w:eastAsia="Calibri" w:hAnsiTheme="minorHAnsi" w:cstheme="minorHAnsi"/>
          <w:color w:val="000000"/>
        </w:rPr>
      </w:pPr>
    </w:p>
    <w:p w14:paraId="53A5AE60" w14:textId="77777777" w:rsidR="0046458D" w:rsidRPr="00285D58" w:rsidRDefault="0046458D" w:rsidP="008D1FFF">
      <w:pPr>
        <w:pBdr>
          <w:between w:val="nil"/>
        </w:pBdr>
        <w:spacing w:line="276" w:lineRule="auto"/>
        <w:ind w:left="142"/>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61F7FFB"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517D7143"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546EF034"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3F01E510" w14:textId="77777777" w:rsidR="0046458D" w:rsidRPr="00285D58" w:rsidRDefault="0046458D" w:rsidP="008D1FFF">
      <w:pPr>
        <w:pBdr>
          <w:between w:val="nil"/>
        </w:pBdr>
        <w:spacing w:line="276" w:lineRule="auto"/>
        <w:jc w:val="both"/>
        <w:rPr>
          <w:rFonts w:asciiTheme="minorHAnsi" w:eastAsia="Calibri" w:hAnsiTheme="minorHAnsi" w:cstheme="minorHAnsi"/>
          <w:color w:val="000000"/>
        </w:rPr>
      </w:pPr>
    </w:p>
    <w:p w14:paraId="46BD7F6A" w14:textId="77777777" w:rsidR="0046458D" w:rsidRPr="00285D58" w:rsidRDefault="0046458D" w:rsidP="008D1FFF">
      <w:pPr>
        <w:pBdr>
          <w:between w:val="nil"/>
        </w:pBdr>
        <w:spacing w:before="4" w:line="276" w:lineRule="auto"/>
        <w:jc w:val="both"/>
        <w:rPr>
          <w:rFonts w:asciiTheme="minorHAnsi" w:eastAsia="Calibri" w:hAnsiTheme="minorHAnsi" w:cstheme="minorHAnsi"/>
          <w:color w:val="000000"/>
        </w:rPr>
      </w:pPr>
    </w:p>
    <w:p w14:paraId="6ECDCEDC" w14:textId="77777777" w:rsidR="0046458D" w:rsidRPr="00285D58" w:rsidRDefault="0046458D" w:rsidP="008D1FFF">
      <w:pPr>
        <w:spacing w:before="11" w:line="276" w:lineRule="auto"/>
        <w:ind w:left="142" w:right="3668"/>
        <w:jc w:val="both"/>
        <w:rPr>
          <w:rFonts w:asciiTheme="minorHAnsi" w:eastAsia="Calibri" w:hAnsiTheme="minorHAnsi" w:cstheme="minorHAnsi"/>
          <w:i/>
        </w:rPr>
      </w:pPr>
      <w:r w:rsidRPr="00285D58">
        <w:rPr>
          <w:rFonts w:asciiTheme="minorHAnsi" w:eastAsia="Calibri" w:hAnsiTheme="minorHAnsi" w:cstheme="minorHAnsi"/>
        </w:rPr>
        <w:t>Firma del Representante Legal del Concesionario [</w:t>
      </w:r>
      <w:r w:rsidRPr="00285D58">
        <w:rPr>
          <w:rFonts w:asciiTheme="minorHAnsi" w:eastAsia="Calibri" w:hAnsiTheme="minorHAnsi" w:cstheme="minorHAnsi"/>
          <w:i/>
        </w:rPr>
        <w:t>Nombre del Concesionario]</w:t>
      </w:r>
    </w:p>
    <w:p w14:paraId="6885C774" w14:textId="77777777" w:rsidR="0046458D" w:rsidRPr="00285D58" w:rsidRDefault="0046458D" w:rsidP="008D1FFF">
      <w:pPr>
        <w:spacing w:before="11" w:line="276" w:lineRule="auto"/>
        <w:ind w:left="142" w:right="3668"/>
        <w:jc w:val="both"/>
        <w:rPr>
          <w:rFonts w:asciiTheme="minorHAnsi" w:eastAsia="Calibri" w:hAnsiTheme="minorHAnsi" w:cstheme="minorHAnsi"/>
          <w:i/>
        </w:rPr>
      </w:pPr>
    </w:p>
    <w:p w14:paraId="6F419EF4"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37BF37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0538341D"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833F721"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C9C887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7C2C81D7"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527E06EC"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7DC6247"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6CB30FC3"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2C70A11B"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77E1469F"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185F3C59"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189ADC1B"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p>
    <w:p w14:paraId="4AE471AD" w14:textId="77777777" w:rsidR="0046458D" w:rsidRPr="00285D58" w:rsidRDefault="0046458D" w:rsidP="008D1FFF">
      <w:pPr>
        <w:spacing w:line="276" w:lineRule="auto"/>
        <w:jc w:val="both"/>
        <w:rPr>
          <w:rFonts w:asciiTheme="minorHAnsi" w:eastAsia="Calibri" w:hAnsiTheme="minorHAnsi" w:cstheme="minorHAnsi"/>
          <w:b/>
        </w:rPr>
      </w:pPr>
      <w:r w:rsidRPr="00285D58">
        <w:rPr>
          <w:rFonts w:asciiTheme="minorHAnsi" w:hAnsiTheme="minorHAnsi" w:cstheme="minorHAnsi"/>
        </w:rPr>
        <w:br w:type="page"/>
      </w:r>
    </w:p>
    <w:p w14:paraId="38E9D0B1" w14:textId="77777777" w:rsidR="0046458D" w:rsidRPr="00285D58" w:rsidRDefault="0046458D" w:rsidP="008D1FFF">
      <w:pPr>
        <w:spacing w:before="40" w:line="276" w:lineRule="auto"/>
        <w:ind w:left="1165" w:right="1165"/>
        <w:jc w:val="both"/>
        <w:rPr>
          <w:rFonts w:asciiTheme="minorHAnsi" w:eastAsia="Calibri" w:hAnsiTheme="minorHAnsi" w:cstheme="minorHAnsi"/>
          <w:b/>
        </w:rPr>
      </w:pPr>
      <w:r w:rsidRPr="00285D58">
        <w:rPr>
          <w:rFonts w:asciiTheme="minorHAnsi" w:eastAsia="Calibri" w:hAnsiTheme="minorHAnsi" w:cstheme="minorHAnsi"/>
          <w:b/>
        </w:rPr>
        <w:lastRenderedPageBreak/>
        <w:t>Documentos para la acreditación del Cierre Financiero</w:t>
      </w:r>
    </w:p>
    <w:p w14:paraId="7CF7DDC7" w14:textId="77777777" w:rsidR="0046458D" w:rsidRPr="00285D58" w:rsidRDefault="0046458D" w:rsidP="008D1FFF">
      <w:pPr>
        <w:pBdr>
          <w:between w:val="nil"/>
        </w:pBdr>
        <w:spacing w:before="6" w:line="276" w:lineRule="auto"/>
        <w:ind w:firstLine="567"/>
        <w:jc w:val="both"/>
        <w:rPr>
          <w:rFonts w:asciiTheme="minorHAnsi" w:eastAsia="Calibri" w:hAnsiTheme="minorHAnsi" w:cstheme="minorHAnsi"/>
          <w:b/>
          <w:color w:val="000000"/>
        </w:rPr>
      </w:pPr>
    </w:p>
    <w:p w14:paraId="4C04266F" w14:textId="77777777" w:rsidR="0046458D" w:rsidRPr="00285D58" w:rsidRDefault="0046458D" w:rsidP="008D1FFF">
      <w:pPr>
        <w:spacing w:line="276" w:lineRule="auto"/>
        <w:ind w:left="142" w:right="72"/>
        <w:jc w:val="both"/>
        <w:rPr>
          <w:rFonts w:asciiTheme="minorHAnsi" w:eastAsia="Calibri" w:hAnsiTheme="minorHAnsi" w:cstheme="minorHAnsi"/>
          <w:i/>
        </w:rPr>
      </w:pPr>
      <w:r w:rsidRPr="00285D58">
        <w:rPr>
          <w:rFonts w:asciiTheme="minorHAnsi" w:eastAsia="Calibri" w:hAnsiTheme="minorHAnsi" w:cstheme="minorHAnsi"/>
        </w:rPr>
        <w:t>[</w:t>
      </w:r>
      <w:r w:rsidRPr="00285D58">
        <w:rPr>
          <w:rFonts w:asciiTheme="minorHAnsi" w:eastAsia="Calibri" w:hAnsiTheme="minorHAnsi" w:cstheme="minorHAnsi"/>
          <w:i/>
        </w:rPr>
        <w:t>Como parte de este anexo, el Concesionario deberá remitir a PROINVERSION única y exclusivamente copia legalizada de las versiones firmadas de los siguientes documentos:</w:t>
      </w:r>
    </w:p>
    <w:p w14:paraId="56435600" w14:textId="77777777" w:rsidR="0046458D" w:rsidRPr="00285D58" w:rsidRDefault="0046458D" w:rsidP="008D1FFF">
      <w:pPr>
        <w:pBdr>
          <w:between w:val="nil"/>
        </w:pBdr>
        <w:spacing w:before="4" w:line="276" w:lineRule="auto"/>
        <w:ind w:firstLine="567"/>
        <w:jc w:val="both"/>
        <w:rPr>
          <w:rFonts w:asciiTheme="minorHAnsi" w:eastAsia="Calibri" w:hAnsiTheme="minorHAnsi" w:cstheme="minorHAnsi"/>
          <w:i/>
          <w:color w:val="000000"/>
        </w:rPr>
      </w:pPr>
    </w:p>
    <w:p w14:paraId="70472A7E" w14:textId="77777777" w:rsidR="0046458D" w:rsidRPr="00285D58" w:rsidRDefault="0046458D" w:rsidP="00A3732C">
      <w:pPr>
        <w:numPr>
          <w:ilvl w:val="1"/>
          <w:numId w:val="88"/>
        </w:numPr>
        <w:pBdr>
          <w:between w:val="nil"/>
        </w:pBdr>
        <w:tabs>
          <w:tab w:val="left" w:pos="1221"/>
          <w:tab w:val="left" w:pos="1222"/>
        </w:tabs>
        <w:spacing w:line="276" w:lineRule="auto"/>
        <w:ind w:left="1221" w:right="135" w:hanging="831"/>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Contratos de crédito o contrato de emisión de obligaciones (indenture agreement), según corresponda;</w:t>
      </w:r>
    </w:p>
    <w:p w14:paraId="75362492" w14:textId="77777777" w:rsidR="0046458D" w:rsidRPr="00285D58" w:rsidRDefault="0046458D" w:rsidP="00A3732C">
      <w:pPr>
        <w:numPr>
          <w:ilvl w:val="1"/>
          <w:numId w:val="88"/>
        </w:numPr>
        <w:pBdr>
          <w:between w:val="nil"/>
        </w:pBdr>
        <w:tabs>
          <w:tab w:val="left" w:pos="1221"/>
          <w:tab w:val="left" w:pos="1222"/>
        </w:tabs>
        <w:spacing w:line="276" w:lineRule="auto"/>
        <w:ind w:hanging="879"/>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 de hipoteca sobre el derecho de concesión del Proyecto; y</w:t>
      </w:r>
    </w:p>
    <w:p w14:paraId="3925FE89" w14:textId="77777777" w:rsidR="0046458D" w:rsidRPr="00285D58" w:rsidRDefault="0046458D" w:rsidP="00A3732C">
      <w:pPr>
        <w:numPr>
          <w:ilvl w:val="1"/>
          <w:numId w:val="88"/>
        </w:numPr>
        <w:pBdr>
          <w:between w:val="nil"/>
        </w:pBdr>
        <w:tabs>
          <w:tab w:val="left" w:pos="1221"/>
          <w:tab w:val="left" w:pos="1222"/>
        </w:tabs>
        <w:spacing w:before="38" w:line="276" w:lineRule="auto"/>
        <w:ind w:hanging="929"/>
        <w:jc w:val="both"/>
        <w:rPr>
          <w:rFonts w:asciiTheme="minorHAnsi" w:eastAsia="Calibri" w:hAnsiTheme="minorHAnsi" w:cstheme="minorHAnsi"/>
          <w:i/>
          <w:color w:val="000000"/>
        </w:rPr>
      </w:pPr>
      <w:r w:rsidRPr="00285D58">
        <w:rPr>
          <w:rFonts w:asciiTheme="minorHAnsi" w:eastAsia="Calibri" w:hAnsiTheme="minorHAnsi" w:cstheme="minorHAnsi"/>
          <w:i/>
          <w:color w:val="000000"/>
        </w:rPr>
        <w:t>Contrato de garantía mobiliaria sobre las acciones del Inversionista.</w:t>
      </w:r>
    </w:p>
    <w:p w14:paraId="01A28D3D" w14:textId="77777777" w:rsidR="0046458D" w:rsidRPr="00285D58" w:rsidRDefault="0046458D" w:rsidP="008D1FFF">
      <w:pPr>
        <w:pBdr>
          <w:between w:val="nil"/>
        </w:pBdr>
        <w:spacing w:before="8" w:line="276" w:lineRule="auto"/>
        <w:ind w:firstLine="567"/>
        <w:jc w:val="both"/>
        <w:rPr>
          <w:rFonts w:asciiTheme="minorHAnsi" w:eastAsia="Calibri" w:hAnsiTheme="minorHAnsi" w:cstheme="minorHAnsi"/>
          <w:i/>
          <w:color w:val="000000"/>
        </w:rPr>
      </w:pPr>
    </w:p>
    <w:p w14:paraId="54110ADE" w14:textId="3FF47277" w:rsidR="0046458D" w:rsidRPr="00285D58" w:rsidRDefault="0046458D" w:rsidP="008D1FFF">
      <w:pPr>
        <w:pBdr>
          <w:top w:val="nil"/>
          <w:left w:val="nil"/>
          <w:bottom w:val="nil"/>
          <w:right w:val="nil"/>
          <w:between w:val="nil"/>
        </w:pBdr>
        <w:spacing w:before="6" w:line="276" w:lineRule="auto"/>
        <w:jc w:val="both"/>
        <w:rPr>
          <w:rFonts w:asciiTheme="minorHAnsi" w:eastAsia="Calibri" w:hAnsiTheme="minorHAnsi" w:cstheme="minorHAnsi"/>
          <w:b/>
          <w:color w:val="000000"/>
        </w:rPr>
      </w:pPr>
      <w:r w:rsidRPr="00285D58">
        <w:rPr>
          <w:rFonts w:asciiTheme="minorHAnsi" w:eastAsia="Calibri" w:hAnsiTheme="minorHAnsi" w:cstheme="minorHAnsi"/>
          <w:i/>
        </w:rPr>
        <w:t xml:space="preserve">En caso de que la documentación se presente en un idioma distinto al </w:t>
      </w:r>
      <w:sdt>
        <w:sdtPr>
          <w:rPr>
            <w:rFonts w:asciiTheme="minorHAnsi" w:hAnsiTheme="minorHAnsi" w:cstheme="minorHAnsi"/>
          </w:rPr>
          <w:tag w:val="goog_rdk_139"/>
          <w:id w:val="2127502532"/>
        </w:sdtPr>
        <w:sdtContent/>
      </w:sdt>
      <w:sdt>
        <w:sdtPr>
          <w:rPr>
            <w:rFonts w:asciiTheme="minorHAnsi" w:hAnsiTheme="minorHAnsi" w:cstheme="minorHAnsi"/>
          </w:rPr>
          <w:tag w:val="goog_rdk_140"/>
          <w:id w:val="-807002656"/>
        </w:sdtPr>
        <w:sdtContent>
          <w:r w:rsidRPr="00285D58">
            <w:rPr>
              <w:rFonts w:asciiTheme="minorHAnsi" w:eastAsia="Calibri" w:hAnsiTheme="minorHAnsi" w:cstheme="minorHAnsi"/>
              <w:i/>
            </w:rPr>
            <w:t>Castellano</w:t>
          </w:r>
        </w:sdtContent>
      </w:sdt>
      <w:r w:rsidRPr="00285D58">
        <w:rPr>
          <w:rFonts w:asciiTheme="minorHAnsi" w:eastAsia="Calibri" w:hAnsiTheme="minorHAnsi" w:cstheme="minorHAnsi"/>
          <w:i/>
        </w:rPr>
        <w:t xml:space="preserve">, esta deberá estar acompañada de una traducción oficial al </w:t>
      </w:r>
      <w:sdt>
        <w:sdtPr>
          <w:rPr>
            <w:rFonts w:asciiTheme="minorHAnsi" w:hAnsiTheme="minorHAnsi" w:cstheme="minorHAnsi"/>
          </w:rPr>
          <w:tag w:val="goog_rdk_141"/>
          <w:id w:val="1931235482"/>
        </w:sdtPr>
        <w:sdtContent/>
      </w:sdt>
      <w:sdt>
        <w:sdtPr>
          <w:rPr>
            <w:rFonts w:asciiTheme="minorHAnsi" w:hAnsiTheme="minorHAnsi" w:cstheme="minorHAnsi"/>
          </w:rPr>
          <w:tag w:val="goog_rdk_142"/>
          <w:id w:val="-1946526388"/>
        </w:sdtPr>
        <w:sdtContent>
          <w:r w:rsidRPr="00285D58">
            <w:rPr>
              <w:rFonts w:asciiTheme="minorHAnsi" w:eastAsia="Calibri" w:hAnsiTheme="minorHAnsi" w:cstheme="minorHAnsi"/>
              <w:i/>
            </w:rPr>
            <w:t>Castellano</w:t>
          </w:r>
        </w:sdtContent>
      </w:sdt>
      <w:r w:rsidRPr="00285D58">
        <w:rPr>
          <w:rFonts w:asciiTheme="minorHAnsi" w:eastAsia="Calibri" w:hAnsiTheme="minorHAnsi" w:cstheme="minorHAnsi"/>
          <w:i/>
        </w:rPr>
        <w:t>.</w:t>
      </w:r>
      <w:r w:rsidRPr="00285D58">
        <w:rPr>
          <w:rFonts w:asciiTheme="minorHAnsi" w:eastAsia="Calibri" w:hAnsiTheme="minorHAnsi" w:cstheme="minorHAnsi"/>
        </w:rPr>
        <w:t>]</w:t>
      </w:r>
    </w:p>
    <w:p w14:paraId="2CDAB8D9" w14:textId="77777777" w:rsidR="0046458D" w:rsidRPr="00285D58" w:rsidRDefault="0046458D" w:rsidP="008D1FFF">
      <w:pPr>
        <w:spacing w:line="276" w:lineRule="auto"/>
        <w:jc w:val="both"/>
        <w:rPr>
          <w:rFonts w:asciiTheme="minorHAnsi" w:eastAsia="Calibri" w:hAnsiTheme="minorHAnsi" w:cstheme="minorHAnsi"/>
          <w:b/>
          <w:color w:val="000000"/>
        </w:rPr>
        <w:sectPr w:rsidR="0046458D" w:rsidRPr="00285D58" w:rsidSect="0046458D">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17" w:right="1701" w:bottom="1417" w:left="1701" w:header="720" w:footer="720" w:gutter="0"/>
          <w:cols w:space="720"/>
        </w:sectPr>
      </w:pPr>
      <w:r w:rsidRPr="00285D58">
        <w:rPr>
          <w:rFonts w:asciiTheme="minorHAnsi" w:hAnsiTheme="minorHAnsi" w:cstheme="minorHAnsi"/>
        </w:rPr>
        <w:br w:type="page"/>
      </w:r>
    </w:p>
    <w:p w14:paraId="5DF225BC" w14:textId="090B897F" w:rsidR="0046458D" w:rsidRPr="00285D58" w:rsidRDefault="0046458D" w:rsidP="008D1FFF">
      <w:pPr>
        <w:pStyle w:val="Ttulo2"/>
        <w:spacing w:before="1" w:line="276" w:lineRule="auto"/>
        <w:jc w:val="both"/>
        <w:rPr>
          <w:rFonts w:asciiTheme="minorHAnsi" w:eastAsia="Calibri" w:hAnsiTheme="minorHAnsi" w:cstheme="minorHAnsi"/>
          <w:b/>
          <w:color w:val="1F4E79"/>
          <w:sz w:val="22"/>
          <w:szCs w:val="22"/>
        </w:rPr>
      </w:pPr>
      <w:bookmarkStart w:id="15" w:name="_Toc193979268"/>
      <w:r w:rsidRPr="00285D58">
        <w:rPr>
          <w:rFonts w:asciiTheme="minorHAnsi" w:eastAsia="Calibri" w:hAnsiTheme="minorHAnsi" w:cstheme="minorHAnsi"/>
          <w:b/>
          <w:color w:val="1F4E79"/>
          <w:sz w:val="22"/>
          <w:szCs w:val="22"/>
        </w:rPr>
        <w:lastRenderedPageBreak/>
        <w:t>ANEXO 0</w:t>
      </w:r>
      <w:r w:rsidR="00BE3DD1" w:rsidRPr="00285D58">
        <w:rPr>
          <w:rFonts w:asciiTheme="minorHAnsi" w:eastAsia="Calibri" w:hAnsiTheme="minorHAnsi" w:cstheme="minorHAnsi"/>
          <w:b/>
          <w:color w:val="1F4E79"/>
          <w:sz w:val="22"/>
          <w:szCs w:val="22"/>
        </w:rPr>
        <w:t>3</w:t>
      </w:r>
      <w:r w:rsidRPr="00285D58">
        <w:rPr>
          <w:rFonts w:asciiTheme="minorHAnsi" w:eastAsia="Calibri" w:hAnsiTheme="minorHAnsi" w:cstheme="minorHAnsi"/>
          <w:b/>
          <w:color w:val="1F4E79"/>
          <w:sz w:val="22"/>
          <w:szCs w:val="22"/>
        </w:rPr>
        <w:t>- APÉNDICE 3 - CONTENIDO MÍNIMO DE LA DECLARACIÓN JURADA DEL CONCESIONARIO</w:t>
      </w:r>
      <w:bookmarkEnd w:id="15"/>
    </w:p>
    <w:p w14:paraId="2D9E9363" w14:textId="77777777" w:rsidR="0046458D" w:rsidRPr="00285D58" w:rsidRDefault="0046458D" w:rsidP="008D1FFF">
      <w:pPr>
        <w:spacing w:line="276" w:lineRule="auto"/>
        <w:jc w:val="both"/>
        <w:rPr>
          <w:rFonts w:asciiTheme="minorHAnsi" w:eastAsia="Calibri" w:hAnsiTheme="minorHAnsi" w:cstheme="minorHAnsi"/>
        </w:rPr>
      </w:pPr>
    </w:p>
    <w:p w14:paraId="3788FAA2"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 El CONCESIONARIO deberá presentar una declaración jurada en la que se indique lo siguiente en relación con los contratos de crédito:</w:t>
      </w:r>
    </w:p>
    <w:p w14:paraId="1D03DF23" w14:textId="710419D1"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partes de los contratos de crédito;</w:t>
      </w:r>
    </w:p>
    <w:p w14:paraId="389403BA" w14:textId="0E620700"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valor del crédito;</w:t>
      </w:r>
    </w:p>
    <w:p w14:paraId="215FD163" w14:textId="41C91AA6"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la tasa de interés aplicable al crédito;</w:t>
      </w:r>
    </w:p>
    <w:p w14:paraId="73F07C22" w14:textId="7CC276D4"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listado de las garantías a ser otorgadas por el CONCESIONARIO en el marco de los contratos de crédito;</w:t>
      </w:r>
    </w:p>
    <w:p w14:paraId="6BD714E4" w14:textId="4B455EB8"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cronograma de amortización del crédito;</w:t>
      </w:r>
    </w:p>
    <w:p w14:paraId="35496870" w14:textId="73C4AE1D"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condiciones precedentes para el primer desembolso;</w:t>
      </w:r>
    </w:p>
    <w:p w14:paraId="5C386308" w14:textId="09D672C0"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 xml:space="preserve">una declaración expresa en el sentido que el contrato de emisión de obligaciones (i) no contraviene el Contrato de Concesión y establece que, en caso de discrepancia entre dicho contrato y el Contrato de Concesión, prevalecerá lo dispuesto en el Contrato de Concesión, (ii) no modifica la matriz de riesgos del Contrato de Concesión, y (iii) establece que los derechos previstos a favor del CONCESIONARIO en el indenture y las garantías no exceden los otorgados por el Contrato de Concesión y que cualquier pacto en contrario será inoponible al CONCEDENTE; y </w:t>
      </w:r>
    </w:p>
    <w:p w14:paraId="7A3C1BA5" w14:textId="7D17E985" w:rsidR="0046458D" w:rsidRPr="00285D58" w:rsidRDefault="0046458D" w:rsidP="00A3732C">
      <w:pPr>
        <w:pStyle w:val="Prrafodelista"/>
        <w:numPr>
          <w:ilvl w:val="0"/>
          <w:numId w:val="234"/>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Toda vez que el riesgo de la gestión y obtención del financiamiento se encuentra en cabeza del CONCESIONARIO, se entenderá que el requisito mínimo se ha cumplido si la declaración jurada del CONCESIONARIO contiene toda la información aquí listada.</w:t>
      </w:r>
    </w:p>
    <w:p w14:paraId="6EFD7ECD" w14:textId="77777777" w:rsidR="0046458D" w:rsidRPr="00285D58" w:rsidRDefault="0046458D" w:rsidP="008D1FFF">
      <w:pPr>
        <w:spacing w:line="276" w:lineRule="auto"/>
        <w:jc w:val="both"/>
        <w:rPr>
          <w:rFonts w:asciiTheme="minorHAnsi" w:eastAsia="Calibri" w:hAnsiTheme="minorHAnsi" w:cstheme="minorHAnsi"/>
        </w:rPr>
      </w:pPr>
    </w:p>
    <w:p w14:paraId="0DF6740A"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 En el caso de emisiones en el mercado de capitales, el CONCESIONARIO deberá aportar únicamente una declaración jurada en la que se indique:</w:t>
      </w:r>
    </w:p>
    <w:p w14:paraId="42CE56F5" w14:textId="08D971BC"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valor de la emisión;</w:t>
      </w:r>
    </w:p>
    <w:p w14:paraId="00EADF1B" w14:textId="0DCD9EE1"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la tasa de interés aplicable;</w:t>
      </w:r>
    </w:p>
    <w:p w14:paraId="4D7DCA14" w14:textId="0607CDC2"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listado de las garantías a ser otorgadas por el CONCESIONARIO;</w:t>
      </w:r>
    </w:p>
    <w:p w14:paraId="6DBE2EBD" w14:textId="256559EA"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el plazo para el pago;</w:t>
      </w:r>
    </w:p>
    <w:p w14:paraId="34140D49" w14:textId="2A5B2EFA" w:rsidR="0046458D" w:rsidRPr="00285D58" w:rsidRDefault="0046458D" w:rsidP="00A3732C">
      <w:pPr>
        <w:pStyle w:val="Prrafodelista"/>
        <w:numPr>
          <w:ilvl w:val="0"/>
          <w:numId w:val="235"/>
        </w:numPr>
        <w:spacing w:before="120" w:line="276" w:lineRule="auto"/>
        <w:contextualSpacing w:val="0"/>
        <w:jc w:val="both"/>
        <w:rPr>
          <w:rFonts w:asciiTheme="minorHAnsi" w:eastAsia="Calibri" w:hAnsiTheme="minorHAnsi" w:cstheme="minorHAnsi"/>
        </w:rPr>
      </w:pPr>
      <w:r w:rsidRPr="00285D58">
        <w:rPr>
          <w:rFonts w:asciiTheme="minorHAnsi" w:eastAsia="Calibri" w:hAnsiTheme="minorHAnsi" w:cstheme="minorHAnsi"/>
        </w:rPr>
        <w:t xml:space="preserve">una declaración expresa en el sentido que el contrato de emisión de obligaciones (indenture agreement) (i) no contraviene el Contrato de Concesión y establece que, en caso de discrepancia entre dicho contrato y el Contrato de Concesión, prevalecerá lo dispuesto en el Contrato de Concesión, (ii) no modifica la matriz de riesgos del Contrato de Concesión, y (iii) establece que los derechos previstos a favor del CONCESIONARIO en el indenture y las garantías no exceden los otorgados por el Contrato de Concesión y que cualquier pacto en contrario será inoponible al </w:t>
      </w:r>
      <w:r w:rsidRPr="00285D58">
        <w:rPr>
          <w:rFonts w:asciiTheme="minorHAnsi" w:eastAsia="Calibri" w:hAnsiTheme="minorHAnsi" w:cstheme="minorHAnsi"/>
        </w:rPr>
        <w:lastRenderedPageBreak/>
        <w:t>CONCEDENTE.</w:t>
      </w:r>
    </w:p>
    <w:p w14:paraId="004E707B" w14:textId="77777777" w:rsidR="0046458D" w:rsidRPr="00285D58" w:rsidRDefault="0046458D" w:rsidP="008D1FFF">
      <w:pPr>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rPr>
        <w:t>Toda vez que el riesgo de la gestión y obtención del financiamiento se encuentra en cabeza del CONCESIONARIO, se entenderá que el requisito mínimo se ha cumplido si la declaración jurada del CONCESIONARIO contiene toda la información aquí listada.</w:t>
      </w:r>
    </w:p>
    <w:p w14:paraId="5C3DD2AF" w14:textId="77777777" w:rsidR="0046458D" w:rsidRPr="00285D58" w:rsidRDefault="0046458D"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5EF87362" w14:textId="4BA88803" w:rsidR="009807E0" w:rsidRPr="00285D58" w:rsidRDefault="009807E0" w:rsidP="008D1FFF">
      <w:pPr>
        <w:pStyle w:val="Ttulo1"/>
        <w:spacing w:before="1" w:line="276" w:lineRule="auto"/>
        <w:jc w:val="both"/>
        <w:rPr>
          <w:rFonts w:asciiTheme="minorHAnsi" w:eastAsia="Calibri" w:hAnsiTheme="minorHAnsi" w:cstheme="minorHAnsi"/>
          <w:b/>
          <w:color w:val="1F4E79"/>
          <w:sz w:val="24"/>
          <w:szCs w:val="24"/>
          <w:u w:val="single"/>
        </w:rPr>
      </w:pPr>
      <w:bookmarkStart w:id="16" w:name="_Toc193979269"/>
      <w:r w:rsidRPr="00285D58">
        <w:rPr>
          <w:rFonts w:asciiTheme="minorHAnsi" w:eastAsia="Calibri" w:hAnsiTheme="minorHAnsi" w:cstheme="minorHAnsi"/>
          <w:b/>
          <w:color w:val="1F4E79"/>
          <w:sz w:val="24"/>
          <w:szCs w:val="24"/>
          <w:u w:val="single"/>
        </w:rPr>
        <w:lastRenderedPageBreak/>
        <w:t>ANEXO 04: ENTIDADES FINANCIERAS AUTORIZADAS PARA EMITIR LAS GARANTÍAS DE FIEL CUMPLIMIENTO DEL CONTRATO</w:t>
      </w:r>
      <w:bookmarkEnd w:id="16"/>
      <w:r w:rsidRPr="00285D58">
        <w:rPr>
          <w:rFonts w:asciiTheme="minorHAnsi" w:eastAsia="Calibri" w:hAnsiTheme="minorHAnsi" w:cstheme="minorHAnsi"/>
          <w:b/>
          <w:color w:val="1F4E79"/>
          <w:sz w:val="24"/>
          <w:szCs w:val="24"/>
          <w:u w:val="single"/>
        </w:rPr>
        <w:t xml:space="preserve"> </w:t>
      </w:r>
    </w:p>
    <w:p w14:paraId="7C6F6019" w14:textId="77777777" w:rsidR="009807E0" w:rsidRPr="00285D58" w:rsidRDefault="009807E0" w:rsidP="008D1FFF">
      <w:pPr>
        <w:spacing w:line="276" w:lineRule="auto"/>
        <w:jc w:val="both"/>
        <w:rPr>
          <w:rFonts w:asciiTheme="minorHAnsi" w:eastAsia="Calibri" w:hAnsiTheme="minorHAnsi" w:cstheme="minorHAnsi"/>
          <w:b/>
        </w:rPr>
      </w:pPr>
    </w:p>
    <w:p w14:paraId="57C695B1" w14:textId="77777777" w:rsidR="009807E0" w:rsidRPr="00285D58" w:rsidRDefault="009807E0" w:rsidP="008D1FFF">
      <w:pPr>
        <w:spacing w:line="276" w:lineRule="auto"/>
        <w:jc w:val="both"/>
        <w:rPr>
          <w:rFonts w:asciiTheme="minorHAnsi" w:eastAsia="Calibri" w:hAnsiTheme="minorHAnsi" w:cstheme="minorHAnsi"/>
          <w:b/>
        </w:rPr>
      </w:pPr>
    </w:p>
    <w:p w14:paraId="786995D1"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Empresas Bancarias</w:t>
      </w:r>
    </w:p>
    <w:p w14:paraId="05A5700F"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Son aquellas empresas así definidas conforme a la Ley Nro. 26702, Ley General del Sistema Financiero y del Sistema de Seguros y Orgánica de la Superintendencia de Banca, Seguros y AFP (SBS), </w:t>
      </w:r>
      <w:r w:rsidRPr="00285D58">
        <w:rPr>
          <w:rFonts w:asciiTheme="minorHAnsi" w:eastAsia="Calibri" w:hAnsiTheme="minorHAnsi" w:cstheme="minorHAnsi"/>
          <w:color w:val="000000"/>
        </w:rPr>
        <w:t>o norma que la modifique o sustituya,</w:t>
      </w:r>
      <w:r w:rsidRPr="00285D58">
        <w:rPr>
          <w:rFonts w:asciiTheme="minorHAnsi" w:eastAsia="Calibri" w:hAnsiTheme="minorHAnsi" w:cstheme="minorHAnsi"/>
        </w:rPr>
        <w:t xml:space="preserve"> y que ostentan la clasificación local mínima de CP-1, categoría 1, CLA-1 o EQL-1 para obligaciones de corto plazo; A para fortaleza financiera; y, AA para obligaciones a largo plazo conforme Leyes y Disposiciones Aplicables. Estas clasificaciones deberán estar vigentes al momento de presentar las Garantías de Fiel Cumplimiento del Contrato de Concesión y ser otorgadas por al menos dos (2) clasificadoras de riesgos reconocidas y acreditadas en el Perú.</w:t>
      </w:r>
    </w:p>
    <w:p w14:paraId="36C8B01D"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4C191902"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Empresas de Seguros</w:t>
      </w:r>
    </w:p>
    <w:p w14:paraId="79E13EB6"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Son aquellas empresas así definidas conforme a la Ley Nro. 26702, Ley General del Sistema Financiero y del Sistema de Seguros y Orgánica de la Superintendencia de Banca, Seguros y AFP (SBS) y que a la fecha de emisión de las Garantías de Fiel Cumplimiento del Contrato de Concesión cuenten con una calificación mínima de A, en cuanto a su fortaleza financiera emitida por lo menos por dos (2) clasificadoras de riesgo autorizadas por la Superintendencia del Mercado de Valores.</w:t>
      </w:r>
    </w:p>
    <w:p w14:paraId="512FB5EA"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2E62BE21"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Bancos Extranjeros de Primera Categoría</w:t>
      </w:r>
    </w:p>
    <w:p w14:paraId="1D24D5F3" w14:textId="77777777" w:rsidR="009807E0" w:rsidRPr="00285D58"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tomarán en cuenta los bancos extranjeros de primera categoría, incluidos en la relación aprobada por el Banco Central de Reserva del Perú mediante Circular Nro. 012-2024-BCRP publicada por el Banco Central de Reserva del Perú el 22 de abril de 2024 o la norma que la modifique o sustituya. </w:t>
      </w:r>
    </w:p>
    <w:p w14:paraId="29309C94" w14:textId="77777777" w:rsidR="009807E0" w:rsidRPr="00285D58" w:rsidRDefault="009807E0" w:rsidP="008D1FFF">
      <w:pPr>
        <w:widowControl/>
        <w:spacing w:after="160" w:line="276" w:lineRule="auto"/>
        <w:jc w:val="both"/>
        <w:rPr>
          <w:rFonts w:asciiTheme="minorHAnsi" w:eastAsia="Calibri" w:hAnsiTheme="minorHAnsi" w:cstheme="minorHAnsi"/>
        </w:rPr>
      </w:pPr>
    </w:p>
    <w:p w14:paraId="48F39050" w14:textId="77777777" w:rsidR="009807E0" w:rsidRPr="00285D58" w:rsidRDefault="009807E0" w:rsidP="008D1FFF">
      <w:pPr>
        <w:widowControl/>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Entidades Financieras Internacionales</w:t>
      </w:r>
    </w:p>
    <w:p w14:paraId="42F42FE5" w14:textId="77777777" w:rsidR="009807E0" w:rsidRPr="00285D58" w:rsidRDefault="009807E0" w:rsidP="008D1FFF">
      <w:pPr>
        <w:widowControl/>
        <w:spacing w:after="160" w:line="276" w:lineRule="auto"/>
        <w:ind w:left="567" w:hanging="283"/>
        <w:jc w:val="both"/>
        <w:rPr>
          <w:rFonts w:asciiTheme="minorHAnsi" w:eastAsia="Calibri" w:hAnsiTheme="minorHAnsi" w:cstheme="minorHAnsi"/>
        </w:rPr>
      </w:pPr>
      <w:r w:rsidRPr="00285D58">
        <w:rPr>
          <w:rFonts w:asciiTheme="minorHAnsi" w:eastAsia="Calibri" w:hAnsiTheme="minorHAnsi" w:cstheme="minorHAnsi"/>
        </w:rPr>
        <w:t>•</w:t>
      </w:r>
      <w:r w:rsidRPr="00285D58">
        <w:rPr>
          <w:rFonts w:asciiTheme="minorHAnsi" w:eastAsia="Calibri" w:hAnsiTheme="minorHAnsi" w:cstheme="minorHAnsi"/>
        </w:rPr>
        <w:tab/>
        <w:t>Cualquier entidad financiera internacional, que tenga una clasificación de riesgo no menor que la clasificación de la deuda soberana peruana correspondiente a moneda extranjera y de largo plazo, asignada por una de las entidades clasificadoras de riesgo internacional que clasifican al Estado de la República del Perú.</w:t>
      </w:r>
    </w:p>
    <w:p w14:paraId="2CDE2E12" w14:textId="77777777" w:rsidR="009807E0" w:rsidRPr="00285D58" w:rsidRDefault="009807E0" w:rsidP="008D1FFF">
      <w:pPr>
        <w:widowControl/>
        <w:spacing w:after="160" w:line="276" w:lineRule="auto"/>
        <w:ind w:left="567" w:hanging="283"/>
        <w:jc w:val="both"/>
        <w:rPr>
          <w:rFonts w:asciiTheme="minorHAnsi" w:eastAsia="Calibri" w:hAnsiTheme="minorHAnsi" w:cstheme="minorHAnsi"/>
        </w:rPr>
      </w:pPr>
      <w:r w:rsidRPr="00285D58">
        <w:rPr>
          <w:rFonts w:asciiTheme="minorHAnsi" w:eastAsia="Calibri" w:hAnsiTheme="minorHAnsi" w:cstheme="minorHAnsi"/>
        </w:rPr>
        <w:t>•</w:t>
      </w:r>
      <w:r w:rsidRPr="00285D58">
        <w:rPr>
          <w:rFonts w:asciiTheme="minorHAnsi" w:eastAsia="Calibri" w:hAnsiTheme="minorHAnsi" w:cstheme="minorHAnsi"/>
        </w:rPr>
        <w:tab/>
        <w:t>Cualquier institución multilateral de crédito de la cual el Estado de la República del Perú sea miembro.</w:t>
      </w:r>
    </w:p>
    <w:p w14:paraId="629A461F" w14:textId="77777777" w:rsidR="009807E0" w:rsidRPr="00285D58" w:rsidRDefault="009807E0" w:rsidP="008D1FFF">
      <w:pPr>
        <w:widowControl/>
        <w:spacing w:after="160" w:line="276" w:lineRule="auto"/>
        <w:ind w:left="993" w:hanging="705"/>
        <w:jc w:val="both"/>
        <w:rPr>
          <w:rFonts w:asciiTheme="minorHAnsi" w:eastAsia="Calibri" w:hAnsiTheme="minorHAnsi" w:cstheme="minorHAnsi"/>
        </w:rPr>
      </w:pPr>
    </w:p>
    <w:p w14:paraId="53810E71" w14:textId="1E757565" w:rsidR="003423DB" w:rsidRDefault="009807E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Cabe señalar que las garantías provenientes de Bancos Extranjeros de Primera Categoría y Entidades Financieras Internacionales deberán estar confirmadas por alguna de las Empresas Bancarias señaladas en el presente Anexo.</w:t>
      </w:r>
    </w:p>
    <w:p w14:paraId="1B255DEA" w14:textId="77777777" w:rsidR="003423DB" w:rsidRDefault="003423DB">
      <w:pPr>
        <w:rPr>
          <w:rFonts w:asciiTheme="minorHAnsi" w:eastAsia="Calibri" w:hAnsiTheme="minorHAnsi" w:cstheme="minorHAnsi"/>
        </w:rPr>
      </w:pPr>
      <w:r>
        <w:rPr>
          <w:rFonts w:asciiTheme="minorHAnsi" w:eastAsia="Calibri" w:hAnsiTheme="minorHAnsi" w:cstheme="minorHAnsi"/>
        </w:rPr>
        <w:br w:type="page"/>
      </w:r>
    </w:p>
    <w:p w14:paraId="2C623135" w14:textId="6CA2FACF" w:rsidR="00A25922" w:rsidRPr="00285D58" w:rsidRDefault="00A25922" w:rsidP="008D1FFF">
      <w:pPr>
        <w:pStyle w:val="Ttulo1"/>
        <w:spacing w:before="1" w:line="276" w:lineRule="auto"/>
        <w:jc w:val="both"/>
        <w:rPr>
          <w:rFonts w:asciiTheme="minorHAnsi" w:hAnsiTheme="minorHAnsi" w:cstheme="minorHAnsi"/>
          <w:b/>
          <w:bCs/>
          <w:color w:val="1F4E79" w:themeColor="accent5" w:themeShade="80"/>
          <w:sz w:val="24"/>
          <w:szCs w:val="24"/>
          <w:u w:val="double"/>
          <w:lang w:val="es-PE"/>
        </w:rPr>
      </w:pPr>
      <w:bookmarkStart w:id="17" w:name="_Toc193979270"/>
      <w:r w:rsidRPr="00285D58">
        <w:rPr>
          <w:rFonts w:asciiTheme="minorHAnsi" w:eastAsia="Calibri" w:hAnsiTheme="minorHAnsi" w:cstheme="minorHAnsi"/>
          <w:b/>
          <w:color w:val="1F4E79"/>
          <w:sz w:val="24"/>
          <w:szCs w:val="24"/>
          <w:u w:val="single"/>
        </w:rPr>
        <w:lastRenderedPageBreak/>
        <w:t xml:space="preserve">ANEXO 05: MODELO DE GARANTÍA </w:t>
      </w:r>
      <w:r w:rsidRPr="00285D58">
        <w:rPr>
          <w:rFonts w:asciiTheme="minorHAnsi" w:hAnsiTheme="minorHAnsi" w:cstheme="minorHAnsi"/>
          <w:b/>
          <w:bCs/>
          <w:color w:val="1F4E79" w:themeColor="accent5" w:themeShade="80"/>
          <w:sz w:val="24"/>
          <w:szCs w:val="24"/>
          <w:u w:val="double"/>
          <w:lang w:val="es-PE"/>
        </w:rPr>
        <w:t>DEL PERIODO PRE OPERATIVO Y DEL PERIODO OPERATIVO</w:t>
      </w:r>
      <w:bookmarkEnd w:id="17"/>
    </w:p>
    <w:p w14:paraId="4E06867C" w14:textId="77777777" w:rsidR="00A25922" w:rsidRPr="00285D58" w:rsidRDefault="00A25922" w:rsidP="008D1FFF">
      <w:pPr>
        <w:pStyle w:val="Ttulo2"/>
        <w:spacing w:before="1" w:line="276" w:lineRule="auto"/>
        <w:jc w:val="both"/>
        <w:rPr>
          <w:rFonts w:asciiTheme="minorHAnsi" w:eastAsia="Calibri" w:hAnsiTheme="minorHAnsi" w:cstheme="minorHAnsi"/>
          <w:b/>
          <w:color w:val="1F4E79"/>
          <w:sz w:val="22"/>
          <w:szCs w:val="22"/>
        </w:rPr>
      </w:pPr>
      <w:bookmarkStart w:id="18" w:name="_Toc193979271"/>
      <w:r w:rsidRPr="00285D58">
        <w:rPr>
          <w:rFonts w:asciiTheme="minorHAnsi" w:eastAsia="Calibri" w:hAnsiTheme="minorHAnsi" w:cstheme="minorHAnsi"/>
          <w:b/>
          <w:color w:val="1F4E79"/>
          <w:sz w:val="22"/>
          <w:szCs w:val="22"/>
        </w:rPr>
        <w:t>ANEXO 05 - APÉNDICE 1 – GARANTÍA DEL PERIODO PRE OPERATIVO</w:t>
      </w:r>
      <w:bookmarkEnd w:id="18"/>
      <w:r w:rsidRPr="00285D58">
        <w:rPr>
          <w:rFonts w:asciiTheme="minorHAnsi" w:eastAsia="Calibri" w:hAnsiTheme="minorHAnsi" w:cstheme="minorHAnsi"/>
          <w:b/>
          <w:color w:val="1F4E79"/>
          <w:sz w:val="22"/>
          <w:szCs w:val="22"/>
        </w:rPr>
        <w:t xml:space="preserve"> </w:t>
      </w:r>
    </w:p>
    <w:p w14:paraId="6B6220C8" w14:textId="77777777" w:rsidR="00A25922" w:rsidRPr="00285D58" w:rsidRDefault="00A25922" w:rsidP="008D1FFF">
      <w:pPr>
        <w:spacing w:line="276" w:lineRule="auto"/>
        <w:rPr>
          <w:rFonts w:asciiTheme="minorHAnsi" w:hAnsiTheme="minorHAnsi" w:cstheme="minorHAnsi"/>
          <w:lang w:val="es-PE"/>
        </w:rPr>
      </w:pPr>
    </w:p>
    <w:p w14:paraId="2E907B6A" w14:textId="01D56346"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Lima, </w:t>
      </w:r>
      <w:r w:rsidR="0097318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 ............ de 20....</w:t>
      </w:r>
    </w:p>
    <w:p w14:paraId="77DB549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34482E5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5025CC2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55155E7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2FD4D4F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12FADF4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3D5353B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40BF9FE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lang w:val="it-IT"/>
        </w:rPr>
        <w:t xml:space="preserve">              </w:t>
      </w:r>
      <w:r w:rsidRPr="00285D58">
        <w:rPr>
          <w:rFonts w:asciiTheme="minorHAnsi" w:eastAsia="Calibri" w:hAnsiTheme="minorHAnsi" w:cstheme="minorHAnsi"/>
          <w:color w:val="000000"/>
        </w:rPr>
        <w:t>Vencimiento: ......................</w:t>
      </w:r>
    </w:p>
    <w:p w14:paraId="1265FD2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6DAE207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Concurso de Proyectos Integrales para la entrega en Concesión del Proyecto: “Mejoramiento de los servicios turísticos públicos del Parque Arqueológico Choquequirao”.</w:t>
      </w:r>
    </w:p>
    <w:p w14:paraId="4C1FE71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EF06AC9" w14:textId="566DC563"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 (en letras con xx/100 Soles)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3"/>
          <w:id w:val="-144823116"/>
        </w:sdtPr>
        <w:sdtContent>
          <w:sdt>
            <w:sdtPr>
              <w:rPr>
                <w:rFonts w:asciiTheme="minorHAnsi" w:hAnsiTheme="minorHAnsi" w:cstheme="minorHAnsi"/>
              </w:rPr>
              <w:tag w:val="goog_rdk_124"/>
              <w:id w:val="-773163161"/>
            </w:sdtPr>
            <w:sdtContent/>
          </w:sdt>
          <w:r w:rsidRPr="00285D58">
            <w:rPr>
              <w:rFonts w:asciiTheme="minorHAnsi" w:eastAsia="Calibri" w:hAnsiTheme="minorHAnsi" w:cstheme="minorHAnsi"/>
              <w:color w:val="000000"/>
            </w:rPr>
            <w:t>Concesionario</w:t>
          </w:r>
        </w:sdtContent>
      </w:sdt>
      <w:sdt>
        <w:sdtPr>
          <w:rPr>
            <w:rFonts w:asciiTheme="minorHAnsi" w:hAnsiTheme="minorHAnsi" w:cstheme="minorHAnsi"/>
          </w:rPr>
          <w:tag w:val="goog_rdk_125"/>
          <w:id w:val="-9838601"/>
        </w:sdtPr>
        <w:sdtContent/>
      </w:sdt>
      <w:r w:rsidRPr="00285D58">
        <w:rPr>
          <w:rFonts w:asciiTheme="minorHAnsi" w:eastAsia="Calibri" w:hAnsiTheme="minorHAnsi" w:cstheme="minorHAnsi"/>
          <w:color w:val="000000"/>
        </w:rPr>
        <w:t xml:space="preserve">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 de la Cláusula 10.3; incluyendo pero sin limitar:</w:t>
      </w:r>
    </w:p>
    <w:p w14:paraId="683DABA2"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 lugar;</w:t>
      </w:r>
    </w:p>
    <w:p w14:paraId="20EE678E"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bookmarkStart w:id="19" w:name="_heading=h.3i9d1rh" w:colFirst="0" w:colLast="0"/>
      <w:bookmarkEnd w:id="19"/>
      <w:r w:rsidRPr="00285D58">
        <w:rPr>
          <w:rFonts w:asciiTheme="minorHAnsi" w:eastAsia="Calibri" w:hAnsiTheme="minorHAnsi" w:cstheme="minorHAnsi"/>
          <w:color w:val="000000"/>
        </w:rPr>
        <w:t>Las obligaciones derivadas de la Etapa Preoperativa.</w:t>
      </w:r>
    </w:p>
    <w:p w14:paraId="7507762B"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sumas ordenadas a pagar a favor del CONCEDENTE, mediante sentencia definitiva firme o laudo arbitral exigible.</w:t>
      </w:r>
    </w:p>
    <w:p w14:paraId="3A4D49AE" w14:textId="7777777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42106E0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0B58F56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w:t>
      </w:r>
      <w:r w:rsidRPr="00285D58">
        <w:rPr>
          <w:rFonts w:asciiTheme="minorHAnsi" w:eastAsia="Calibri" w:hAnsiTheme="minorHAnsi" w:cstheme="minorHAnsi"/>
          <w:color w:val="000000"/>
        </w:rPr>
        <w:lastRenderedPageBreak/>
        <w:t xml:space="preserve">organismo, indicando que nuestros clientes ……………………….…….….(nombre del Concesionario) no han cumplido con las obligaciones que están garantizadas por este documento.  </w:t>
      </w:r>
    </w:p>
    <w:p w14:paraId="6ECA5BF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Toda demora de nuestra parte para honrar la fianza antes referida, devengará un interés equivalente a la Tasa de Interés Legal, más un margen (spread) de 3% anual. </w:t>
      </w:r>
    </w:p>
    <w:p w14:paraId="6437B2E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47D7388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Decreto Legislativo Nro. 1362, su Reglamento aprobado por Decreto Supremo Nro. 240-2018-EF y las Leyes y Disposiciones Aplicables que los modifiquen o sustituyan.</w:t>
      </w:r>
    </w:p>
    <w:p w14:paraId="26A0B9D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7F0606F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2545B20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7DCBAC4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099C212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5B1234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37A3E8A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262265C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10A6715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C56AA0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03C510A8" w14:textId="77777777" w:rsidR="00A25922" w:rsidRPr="00285D58" w:rsidRDefault="00A25922"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p>
    <w:p w14:paraId="3A1CAF29" w14:textId="77777777" w:rsidR="00A25922" w:rsidRPr="00285D58" w:rsidRDefault="00A25922"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p>
    <w:p w14:paraId="79787F39" w14:textId="77777777" w:rsidR="00A25922" w:rsidRPr="00285D58" w:rsidRDefault="00A25922" w:rsidP="008D1FFF">
      <w:pPr>
        <w:spacing w:line="276" w:lineRule="auto"/>
        <w:jc w:val="both"/>
        <w:rPr>
          <w:rFonts w:asciiTheme="minorHAnsi" w:eastAsia="Calibri" w:hAnsiTheme="minorHAnsi" w:cstheme="minorHAnsi"/>
          <w:b/>
        </w:rPr>
      </w:pPr>
      <w:bookmarkStart w:id="20" w:name="_heading=h.18ewhd8" w:colFirst="0" w:colLast="0"/>
      <w:bookmarkEnd w:id="20"/>
      <w:r w:rsidRPr="00285D58">
        <w:rPr>
          <w:rFonts w:asciiTheme="minorHAnsi" w:hAnsiTheme="minorHAnsi" w:cstheme="minorHAnsi"/>
        </w:rPr>
        <w:br w:type="page"/>
      </w:r>
    </w:p>
    <w:p w14:paraId="1EB5AAEA" w14:textId="18678F09" w:rsidR="00A25922" w:rsidRPr="00285D58" w:rsidRDefault="00A25922" w:rsidP="008D1FFF">
      <w:pPr>
        <w:pStyle w:val="Ttulo2"/>
        <w:spacing w:before="1" w:line="276" w:lineRule="auto"/>
        <w:jc w:val="both"/>
        <w:rPr>
          <w:rFonts w:asciiTheme="minorHAnsi" w:eastAsia="Calibri" w:hAnsiTheme="minorHAnsi" w:cstheme="minorHAnsi"/>
          <w:b/>
          <w:color w:val="1F4E79"/>
          <w:sz w:val="22"/>
          <w:szCs w:val="22"/>
        </w:rPr>
      </w:pPr>
      <w:bookmarkStart w:id="21" w:name="_Toc193979272"/>
      <w:r w:rsidRPr="00285D58">
        <w:rPr>
          <w:rFonts w:asciiTheme="minorHAnsi" w:eastAsia="Calibri" w:hAnsiTheme="minorHAnsi" w:cstheme="minorHAnsi"/>
          <w:b/>
          <w:color w:val="1F4E79"/>
          <w:sz w:val="22"/>
          <w:szCs w:val="22"/>
        </w:rPr>
        <w:lastRenderedPageBreak/>
        <w:t xml:space="preserve">ANEXO 05 - APÉNDICE </w:t>
      </w:r>
      <w:r w:rsidR="00D30BE7" w:rsidRPr="00285D58">
        <w:rPr>
          <w:rFonts w:asciiTheme="minorHAnsi" w:eastAsia="Calibri" w:hAnsiTheme="minorHAnsi" w:cstheme="minorHAnsi"/>
          <w:b/>
          <w:color w:val="1F4E79"/>
          <w:sz w:val="22"/>
          <w:szCs w:val="22"/>
        </w:rPr>
        <w:t xml:space="preserve">2 </w:t>
      </w:r>
      <w:r w:rsidRPr="00285D58">
        <w:rPr>
          <w:rFonts w:asciiTheme="minorHAnsi" w:eastAsia="Calibri" w:hAnsiTheme="minorHAnsi" w:cstheme="minorHAnsi"/>
          <w:b/>
          <w:color w:val="1F4E79"/>
          <w:sz w:val="22"/>
          <w:szCs w:val="22"/>
        </w:rPr>
        <w:t>– GARANTÍA DEL PERIODO OPERATIVO</w:t>
      </w:r>
      <w:bookmarkEnd w:id="21"/>
      <w:r w:rsidRPr="00285D58">
        <w:rPr>
          <w:rFonts w:asciiTheme="minorHAnsi" w:eastAsia="Calibri" w:hAnsiTheme="minorHAnsi" w:cstheme="minorHAnsi"/>
          <w:b/>
          <w:color w:val="1F4E79"/>
          <w:sz w:val="22"/>
          <w:szCs w:val="22"/>
        </w:rPr>
        <w:t xml:space="preserve"> </w:t>
      </w:r>
    </w:p>
    <w:p w14:paraId="3A6A9A91" w14:textId="77777777" w:rsidR="00A25922" w:rsidRPr="00285D58" w:rsidRDefault="00A25922" w:rsidP="008D1FFF">
      <w:pPr>
        <w:spacing w:line="276" w:lineRule="auto"/>
        <w:rPr>
          <w:rFonts w:asciiTheme="minorHAnsi" w:hAnsiTheme="minorHAnsi" w:cstheme="minorHAnsi"/>
          <w:lang w:val="es-PE"/>
        </w:rPr>
      </w:pPr>
    </w:p>
    <w:p w14:paraId="26B87210" w14:textId="77777777" w:rsidR="00A25922" w:rsidRPr="00285D58" w:rsidRDefault="00A25922" w:rsidP="008D1FFF">
      <w:pPr>
        <w:spacing w:line="276" w:lineRule="auto"/>
        <w:jc w:val="both"/>
        <w:rPr>
          <w:rFonts w:asciiTheme="minorHAnsi" w:eastAsia="Calibri" w:hAnsiTheme="minorHAnsi" w:cstheme="minorHAnsi"/>
        </w:rPr>
      </w:pPr>
    </w:p>
    <w:p w14:paraId="0CFC8AE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4F6AB25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B4974D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5C1390B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75A413B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329680F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52DE8A3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3E69AEA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775D5557" w14:textId="77777777" w:rsidR="00A25922" w:rsidRPr="00285D58" w:rsidRDefault="00A25922" w:rsidP="008D1FFF">
      <w:pPr>
        <w:widowControl/>
        <w:pBdr>
          <w:top w:val="nil"/>
          <w:left w:val="nil"/>
          <w:bottom w:val="nil"/>
          <w:right w:val="nil"/>
          <w:between w:val="nil"/>
        </w:pBdr>
        <w:spacing w:after="160" w:line="276" w:lineRule="auto"/>
        <w:ind w:firstLine="708"/>
        <w:jc w:val="both"/>
        <w:rPr>
          <w:rFonts w:asciiTheme="minorHAnsi" w:eastAsia="Calibri" w:hAnsiTheme="minorHAnsi" w:cstheme="minorHAnsi"/>
          <w:color w:val="000000"/>
        </w:rPr>
      </w:pPr>
      <w:r w:rsidRPr="00285D58">
        <w:rPr>
          <w:rFonts w:asciiTheme="minorHAnsi" w:eastAsia="Calibri" w:hAnsiTheme="minorHAnsi" w:cstheme="minorHAnsi"/>
          <w:color w:val="000000"/>
        </w:rPr>
        <w:t>Vencimiento: ......................</w:t>
      </w:r>
    </w:p>
    <w:p w14:paraId="529FD84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939D8D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Concurso de Proyectos Integrales para la entrega en Concesión del Proyecto: “Mejoramiento de los servicios turísticos públicos del Parque Arqueológico Choquequirao”. </w:t>
      </w:r>
    </w:p>
    <w:p w14:paraId="1B3F916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0BA278F" w14:textId="362040E3"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 (en letras con xx/100 Soles)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6"/>
          <w:id w:val="2031376263"/>
        </w:sdtPr>
        <w:sdtContent/>
      </w:sdt>
      <w:sdt>
        <w:sdtPr>
          <w:rPr>
            <w:rFonts w:asciiTheme="minorHAnsi" w:hAnsiTheme="minorHAnsi" w:cstheme="minorHAnsi"/>
          </w:rPr>
          <w:tag w:val="goog_rdk_127"/>
          <w:id w:val="634144318"/>
        </w:sdtPr>
        <w:sdtContent/>
      </w:sdt>
      <w:sdt>
        <w:sdtPr>
          <w:rPr>
            <w:rFonts w:asciiTheme="minorHAnsi" w:hAnsiTheme="minorHAnsi" w:cstheme="minorHAnsi"/>
          </w:rPr>
          <w:tag w:val="goog_rdk_128"/>
          <w:id w:val="209311993"/>
        </w:sdtPr>
        <w:sdtContent/>
      </w:sdt>
      <w:r w:rsidRPr="00285D58">
        <w:rPr>
          <w:rFonts w:asciiTheme="minorHAnsi" w:eastAsia="Calibri" w:hAnsiTheme="minorHAnsi" w:cstheme="minorHAnsi"/>
          <w:color w:val="000000"/>
        </w:rPr>
        <w:t xml:space="preserve">Concesionario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(iii) de la Cláusula 10.3; incluyendo pero sin limitar:</w:t>
      </w:r>
    </w:p>
    <w:p w14:paraId="308C7E8E" w14:textId="530673F4"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w:t>
      </w:r>
      <w:r w:rsidR="002C2A94" w:rsidRPr="00285D58">
        <w:rPr>
          <w:rFonts w:asciiTheme="minorHAnsi" w:eastAsia="Calibri" w:hAnsiTheme="minorHAnsi" w:cstheme="minorHAnsi"/>
          <w:color w:val="000000"/>
        </w:rPr>
        <w:t xml:space="preserve"> lugar</w:t>
      </w:r>
    </w:p>
    <w:p w14:paraId="18DFCCC1" w14:textId="399B3BF8" w:rsidR="00A25922" w:rsidRPr="00285D58" w:rsidRDefault="00000000"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hAnsiTheme="minorHAnsi" w:cstheme="minorHAnsi"/>
          </w:rPr>
          <w:tag w:val="goog_rdk_133"/>
          <w:id w:val="-2030639378"/>
        </w:sdtPr>
        <w:sdtContent/>
      </w:sdt>
      <w:sdt>
        <w:sdtPr>
          <w:rPr>
            <w:rFonts w:asciiTheme="minorHAnsi" w:hAnsiTheme="minorHAnsi" w:cstheme="minorHAnsi"/>
          </w:rPr>
          <w:tag w:val="goog_rdk_134"/>
          <w:id w:val="-1665079982"/>
        </w:sdtPr>
        <w:sdtContent/>
      </w:sdt>
      <w:sdt>
        <w:sdtPr>
          <w:rPr>
            <w:rFonts w:asciiTheme="minorHAnsi" w:hAnsiTheme="minorHAnsi" w:cstheme="minorHAnsi"/>
          </w:rPr>
          <w:tag w:val="goog_rdk_135"/>
          <w:id w:val="-495727008"/>
        </w:sdtPr>
        <w:sdtContent/>
      </w:sdt>
      <w:r w:rsidR="00A25922" w:rsidRPr="00285D58">
        <w:rPr>
          <w:rFonts w:asciiTheme="minorHAnsi" w:eastAsia="Calibri" w:hAnsiTheme="minorHAnsi" w:cstheme="minorHAnsi"/>
          <w:color w:val="000000"/>
        </w:rPr>
        <w:t>Las sumas ordenadas a pagar</w:t>
      </w:r>
      <w:sdt>
        <w:sdtPr>
          <w:rPr>
            <w:rFonts w:asciiTheme="minorHAnsi" w:hAnsiTheme="minorHAnsi" w:cstheme="minorHAnsi"/>
          </w:rPr>
          <w:tag w:val="goog_rdk_136"/>
          <w:id w:val="-1285960143"/>
        </w:sdtPr>
        <w:sdtContent>
          <w:r w:rsidR="00A25922" w:rsidRPr="00285D58">
            <w:rPr>
              <w:rFonts w:asciiTheme="minorHAnsi" w:eastAsia="Calibri" w:hAnsiTheme="minorHAnsi" w:cstheme="minorHAnsi"/>
              <w:color w:val="000000"/>
            </w:rPr>
            <w:t xml:space="preserve"> a favor del Concedente</w:t>
          </w:r>
        </w:sdtContent>
      </w:sdt>
      <w:r w:rsidR="00A25922" w:rsidRPr="00285D58">
        <w:rPr>
          <w:rFonts w:asciiTheme="minorHAnsi" w:eastAsia="Calibri" w:hAnsiTheme="minorHAnsi" w:cstheme="minorHAnsi"/>
          <w:color w:val="000000"/>
        </w:rPr>
        <w:t>, mediante cosa decidida, sentencia definitiva firme o laudo arbitral exigible</w:t>
      </w:r>
    </w:p>
    <w:p w14:paraId="5CBEC04F" w14:textId="447D1E24"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obligaciones derivadas del Período</w:t>
      </w:r>
      <w:sdt>
        <w:sdtPr>
          <w:rPr>
            <w:rFonts w:asciiTheme="minorHAnsi" w:hAnsiTheme="minorHAnsi" w:cstheme="minorHAnsi"/>
          </w:rPr>
          <w:tag w:val="goog_rdk_137"/>
          <w:id w:val="310383800"/>
        </w:sdtPr>
        <w:sdtContent>
          <w:r w:rsidRPr="00285D58">
            <w:rPr>
              <w:rFonts w:asciiTheme="minorHAnsi" w:eastAsia="Calibri" w:hAnsiTheme="minorHAnsi" w:cstheme="minorHAnsi"/>
              <w:color w:val="000000"/>
            </w:rPr>
            <w:t xml:space="preserve"> Operativo</w:t>
          </w:r>
        </w:sdtContent>
      </w:sdt>
      <w:sdt>
        <w:sdtPr>
          <w:rPr>
            <w:rFonts w:asciiTheme="minorHAnsi" w:hAnsiTheme="minorHAnsi" w:cstheme="minorHAnsi"/>
          </w:rPr>
          <w:tag w:val="goog_rdk_138"/>
          <w:id w:val="491300146"/>
          <w:showingPlcHdr/>
        </w:sdtPr>
        <w:sdtContent>
          <w:r w:rsidR="002C2A94" w:rsidRPr="00285D58">
            <w:rPr>
              <w:rFonts w:asciiTheme="minorHAnsi" w:hAnsiTheme="minorHAnsi" w:cstheme="minorHAnsi"/>
            </w:rPr>
            <w:t xml:space="preserve">     </w:t>
          </w:r>
        </w:sdtContent>
      </w:sdt>
    </w:p>
    <w:p w14:paraId="1CE47962" w14:textId="0EFA2765" w:rsidR="00A25922" w:rsidRPr="00285D58" w:rsidRDefault="00A25922" w:rsidP="00A3732C">
      <w:pPr>
        <w:widowControl/>
        <w:numPr>
          <w:ilvl w:val="0"/>
          <w:numId w:val="1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0411608C" w14:textId="77777777" w:rsidR="00A25922" w:rsidRPr="00285D58" w:rsidRDefault="00A25922" w:rsidP="008D1FFF">
      <w:pPr>
        <w:widowControl/>
        <w:pBdr>
          <w:top w:val="nil"/>
          <w:left w:val="nil"/>
          <w:bottom w:val="nil"/>
          <w:right w:val="nil"/>
          <w:between w:val="nil"/>
        </w:pBdr>
        <w:spacing w:line="276" w:lineRule="auto"/>
        <w:ind w:left="1213"/>
        <w:jc w:val="both"/>
        <w:rPr>
          <w:rFonts w:asciiTheme="minorHAnsi" w:eastAsia="Calibri" w:hAnsiTheme="minorHAnsi" w:cstheme="minorHAnsi"/>
          <w:color w:val="000000"/>
        </w:rPr>
      </w:pPr>
    </w:p>
    <w:p w14:paraId="29B19A5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organismo, indicando que nuestros clientes ……………………….…….….(nombre del Concesionario) no han cumplido con las obligaciones que están garantizadas por este documento..  </w:t>
      </w:r>
    </w:p>
    <w:p w14:paraId="1D7A363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Toda demora de nuestra parte para honrar la fianza antes referida, devengará un interés equivalente a la Tasa de Interés Legal, más un margen (spread) de 3% anual. </w:t>
      </w:r>
    </w:p>
    <w:p w14:paraId="747EFAE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466C53B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Texto Único Ordenado del Decreto Legislativo nro. 1362, su Reglamento aprobado por Decreto Supremo Nro. 240-2018-EF y las Leyes y Disposiciones Aplicables que los modifiquen o sustituyan.</w:t>
      </w:r>
    </w:p>
    <w:p w14:paraId="44D4B7F3"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2FA1B3A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6975E75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6B39782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6C3782A"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63E5B0C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7DBCCEF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4F5CA46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301D13E9" w14:textId="77777777" w:rsidR="00A25922" w:rsidRPr="00285D58" w:rsidRDefault="00A25922" w:rsidP="008D1FFF">
      <w:pPr>
        <w:spacing w:line="276" w:lineRule="auto"/>
        <w:jc w:val="both"/>
        <w:rPr>
          <w:rFonts w:asciiTheme="minorHAnsi" w:eastAsia="Calibri" w:hAnsiTheme="minorHAnsi" w:cstheme="minorHAnsi"/>
        </w:rPr>
      </w:pPr>
    </w:p>
    <w:p w14:paraId="6691A676" w14:textId="77777777" w:rsidR="00A25922" w:rsidRPr="00285D58" w:rsidRDefault="00A25922" w:rsidP="008D1FFF">
      <w:pPr>
        <w:spacing w:line="276" w:lineRule="auto"/>
        <w:jc w:val="both"/>
        <w:rPr>
          <w:rFonts w:asciiTheme="minorHAnsi" w:eastAsia="Calibri" w:hAnsiTheme="minorHAnsi" w:cstheme="minorHAnsi"/>
        </w:rPr>
      </w:pPr>
    </w:p>
    <w:p w14:paraId="7CABEE61" w14:textId="77777777" w:rsidR="00A25922" w:rsidRPr="00285D58" w:rsidRDefault="00A25922" w:rsidP="008D1FFF">
      <w:pPr>
        <w:spacing w:line="276" w:lineRule="auto"/>
        <w:jc w:val="both"/>
        <w:rPr>
          <w:rFonts w:asciiTheme="minorHAnsi" w:eastAsia="Calibri" w:hAnsiTheme="minorHAnsi" w:cstheme="minorHAnsi"/>
        </w:rPr>
      </w:pPr>
    </w:p>
    <w:p w14:paraId="6AE5068E" w14:textId="77777777" w:rsidR="00A25922" w:rsidRPr="00285D58" w:rsidRDefault="00A25922" w:rsidP="008D1FFF">
      <w:pPr>
        <w:spacing w:line="276" w:lineRule="auto"/>
        <w:jc w:val="both"/>
        <w:rPr>
          <w:rFonts w:asciiTheme="minorHAnsi" w:eastAsia="Calibri" w:hAnsiTheme="minorHAnsi" w:cstheme="minorHAnsi"/>
        </w:rPr>
      </w:pPr>
    </w:p>
    <w:p w14:paraId="6F397795" w14:textId="77777777" w:rsidR="00A25922" w:rsidRPr="00285D58" w:rsidRDefault="00A25922" w:rsidP="008D1FFF">
      <w:pPr>
        <w:spacing w:line="276" w:lineRule="auto"/>
        <w:jc w:val="both"/>
        <w:rPr>
          <w:rFonts w:asciiTheme="minorHAnsi" w:eastAsia="Calibri" w:hAnsiTheme="minorHAnsi" w:cstheme="minorHAnsi"/>
        </w:rPr>
      </w:pPr>
    </w:p>
    <w:p w14:paraId="0AAD9508" w14:textId="77777777" w:rsidR="00A25922" w:rsidRPr="00285D58" w:rsidRDefault="00A25922" w:rsidP="008D1FFF">
      <w:pPr>
        <w:spacing w:line="276" w:lineRule="auto"/>
        <w:jc w:val="both"/>
        <w:rPr>
          <w:rFonts w:asciiTheme="minorHAnsi" w:eastAsia="Calibri" w:hAnsiTheme="minorHAnsi" w:cstheme="minorHAnsi"/>
        </w:rPr>
      </w:pPr>
    </w:p>
    <w:p w14:paraId="403AF7CC" w14:textId="77777777" w:rsidR="00A25922" w:rsidRPr="00285D58" w:rsidRDefault="00A25922" w:rsidP="008D1FFF">
      <w:pPr>
        <w:spacing w:line="276" w:lineRule="auto"/>
        <w:jc w:val="both"/>
        <w:rPr>
          <w:rFonts w:asciiTheme="minorHAnsi" w:eastAsia="Calibri" w:hAnsiTheme="minorHAnsi" w:cstheme="minorHAnsi"/>
        </w:rPr>
      </w:pPr>
    </w:p>
    <w:p w14:paraId="3141272D" w14:textId="77777777" w:rsidR="00A25922" w:rsidRPr="00285D58" w:rsidRDefault="00A25922" w:rsidP="008D1FFF">
      <w:pPr>
        <w:spacing w:line="276" w:lineRule="auto"/>
        <w:jc w:val="both"/>
        <w:rPr>
          <w:rFonts w:asciiTheme="minorHAnsi" w:eastAsia="Calibri" w:hAnsiTheme="minorHAnsi" w:cstheme="minorHAnsi"/>
        </w:rPr>
      </w:pPr>
    </w:p>
    <w:p w14:paraId="2B88A990" w14:textId="77777777" w:rsidR="00A25922" w:rsidRPr="00285D58" w:rsidRDefault="00A25922" w:rsidP="008D1FFF">
      <w:pPr>
        <w:spacing w:line="276" w:lineRule="auto"/>
        <w:jc w:val="both"/>
        <w:rPr>
          <w:rFonts w:asciiTheme="minorHAnsi" w:eastAsia="Calibri" w:hAnsiTheme="minorHAnsi" w:cstheme="minorHAnsi"/>
        </w:rPr>
      </w:pPr>
    </w:p>
    <w:p w14:paraId="34DDC657" w14:textId="77777777" w:rsidR="00A25922" w:rsidRPr="00285D58" w:rsidRDefault="00A25922" w:rsidP="008D1FFF">
      <w:pPr>
        <w:spacing w:line="276" w:lineRule="auto"/>
        <w:jc w:val="both"/>
        <w:rPr>
          <w:rFonts w:asciiTheme="minorHAnsi" w:eastAsia="Calibri" w:hAnsiTheme="minorHAnsi" w:cstheme="minorHAnsi"/>
        </w:rPr>
      </w:pPr>
    </w:p>
    <w:p w14:paraId="3B0EC6F5" w14:textId="77777777" w:rsidR="00A25922" w:rsidRPr="00285D58" w:rsidRDefault="00A25922"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ype="page"/>
      </w:r>
    </w:p>
    <w:p w14:paraId="40F36631" w14:textId="686F5AA2" w:rsidR="00A25922" w:rsidRPr="00285D58" w:rsidRDefault="00A25922" w:rsidP="008D1FFF">
      <w:pPr>
        <w:pStyle w:val="Ttulo1"/>
        <w:spacing w:before="1" w:line="276" w:lineRule="auto"/>
        <w:jc w:val="both"/>
        <w:rPr>
          <w:rFonts w:asciiTheme="minorHAnsi" w:eastAsia="Calibri" w:hAnsiTheme="minorHAnsi" w:cstheme="minorHAnsi"/>
          <w:b/>
          <w:color w:val="1F4E79"/>
          <w:sz w:val="24"/>
          <w:szCs w:val="24"/>
          <w:u w:val="single"/>
        </w:rPr>
      </w:pPr>
      <w:bookmarkStart w:id="22" w:name="_Toc193979273"/>
      <w:r w:rsidRPr="00285D58">
        <w:rPr>
          <w:rFonts w:asciiTheme="minorHAnsi" w:eastAsia="Calibri" w:hAnsiTheme="minorHAnsi" w:cstheme="minorHAnsi"/>
          <w:b/>
          <w:color w:val="1F4E79"/>
          <w:sz w:val="24"/>
          <w:szCs w:val="24"/>
          <w:u w:val="single"/>
        </w:rPr>
        <w:lastRenderedPageBreak/>
        <w:t>ANEXO 06: MODELO DE GARANTÍA DE FIEL CUMPLIMIENTO DEL PPO</w:t>
      </w:r>
      <w:bookmarkEnd w:id="22"/>
    </w:p>
    <w:p w14:paraId="54A440B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Lima, …….de ............ de 20....</w:t>
      </w:r>
    </w:p>
    <w:p w14:paraId="3C52867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4FC631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Señores</w:t>
      </w:r>
    </w:p>
    <w:p w14:paraId="2172FCA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MINISTERIO DE COMERCIO EXTERIOR Y TURISMO</w:t>
      </w:r>
    </w:p>
    <w:p w14:paraId="535306C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Calle Uno Oeste 050 - San Isidro – Lima, Perú </w:t>
      </w:r>
    </w:p>
    <w:p w14:paraId="3336F88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Presente.-</w:t>
      </w:r>
    </w:p>
    <w:p w14:paraId="5EE9016C"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p>
    <w:p w14:paraId="2BE876C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lang w:val="it-IT"/>
        </w:rPr>
      </w:pPr>
      <w:r w:rsidRPr="00285D58">
        <w:rPr>
          <w:rFonts w:asciiTheme="minorHAnsi" w:eastAsia="Calibri" w:hAnsiTheme="minorHAnsi" w:cstheme="minorHAnsi"/>
          <w:color w:val="000000"/>
          <w:lang w:val="it-IT"/>
        </w:rPr>
        <w:t>Ref.:</w:t>
      </w:r>
      <w:r w:rsidRPr="00285D58">
        <w:rPr>
          <w:rFonts w:asciiTheme="minorHAnsi" w:eastAsia="Calibri" w:hAnsiTheme="minorHAnsi" w:cstheme="minorHAnsi"/>
          <w:color w:val="000000"/>
          <w:lang w:val="it-IT"/>
        </w:rPr>
        <w:tab/>
        <w:t>Carta Fianza Nro.…………..</w:t>
      </w:r>
    </w:p>
    <w:p w14:paraId="1021BBBD"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lang w:val="it-IT"/>
        </w:rPr>
        <w:t xml:space="preserve">              </w:t>
      </w:r>
      <w:r w:rsidRPr="00285D58">
        <w:rPr>
          <w:rFonts w:asciiTheme="minorHAnsi" w:eastAsia="Calibri" w:hAnsiTheme="minorHAnsi" w:cstheme="minorHAnsi"/>
          <w:color w:val="000000"/>
        </w:rPr>
        <w:t>Vencimiento: ......................</w:t>
      </w:r>
    </w:p>
    <w:p w14:paraId="792BF668"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2698EF3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Concurso de Proyectos Integrales para la entrega en Concesión del Proyecto: “Mejoramiento de los servicios turísticos públicos del Parque Arqueológico Choquequirao”.</w:t>
      </w:r>
    </w:p>
    <w:p w14:paraId="541CE49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 nuestra consideración:</w:t>
      </w:r>
    </w:p>
    <w:p w14:paraId="73799099" w14:textId="0CF7F831"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Por la presente y a la solicitud de nuestros clientes, señores ……………….……. [nombre de la persona jurídica] (en adelante “el CONCESIONARIO”) constituimos esta fianza solidaria, irrevocable, incondicional y de realización automática, sin beneficio de excusión, ni división, hasta por la suma de (S/ o USD) ………………………………………….…… (en letras con xx/100 Soles o USD) a favor del Ministerio de Comercio Exterior y Turismo (en adelante, “MINCETUR”) para garantizar el correcto y oportuno cumplimiento de todas y cada una de las obligaciones a cargo del </w:t>
      </w:r>
      <w:sdt>
        <w:sdtPr>
          <w:rPr>
            <w:rFonts w:asciiTheme="minorHAnsi" w:hAnsiTheme="minorHAnsi" w:cstheme="minorHAnsi"/>
          </w:rPr>
          <w:tag w:val="goog_rdk_123"/>
          <w:id w:val="-1860731131"/>
        </w:sdtPr>
        <w:sdtContent>
          <w:sdt>
            <w:sdtPr>
              <w:rPr>
                <w:rFonts w:asciiTheme="minorHAnsi" w:hAnsiTheme="minorHAnsi" w:cstheme="minorHAnsi"/>
              </w:rPr>
              <w:tag w:val="goog_rdk_124"/>
              <w:id w:val="1081417591"/>
            </w:sdtPr>
            <w:sdtContent/>
          </w:sdt>
          <w:r w:rsidRPr="00285D58">
            <w:rPr>
              <w:rFonts w:asciiTheme="minorHAnsi" w:eastAsia="Calibri" w:hAnsiTheme="minorHAnsi" w:cstheme="minorHAnsi"/>
              <w:color w:val="000000"/>
            </w:rPr>
            <w:t>Concesionario</w:t>
          </w:r>
        </w:sdtContent>
      </w:sdt>
      <w:sdt>
        <w:sdtPr>
          <w:rPr>
            <w:rFonts w:asciiTheme="minorHAnsi" w:hAnsiTheme="minorHAnsi" w:cstheme="minorHAnsi"/>
          </w:rPr>
          <w:tag w:val="goog_rdk_125"/>
          <w:id w:val="1618414451"/>
        </w:sdtPr>
        <w:sdtContent/>
      </w:sdt>
      <w:r w:rsidRPr="00285D58">
        <w:rPr>
          <w:rFonts w:asciiTheme="minorHAnsi" w:eastAsia="Calibri" w:hAnsiTheme="minorHAnsi" w:cstheme="minorHAnsi"/>
          <w:color w:val="000000"/>
        </w:rPr>
        <w:t xml:space="preserve"> derivadas del Contrato de Concesión del Proyecto </w:t>
      </w:r>
      <w:r w:rsidR="002C2A94" w:rsidRPr="00285D58">
        <w:rPr>
          <w:rFonts w:asciiTheme="minorHAnsi" w:eastAsia="Calibri" w:hAnsiTheme="minorHAnsi" w:cstheme="minorHAnsi"/>
          <w:color w:val="000000"/>
        </w:rPr>
        <w:t>“Mejoramiento de los servicios turísticos públicos del Parque Arqueológico Choquequirao” (en adelante, Contrato de Concesión), según lo establecido en el numeral (ii) de la Cláusula 10.3; incluyendo pero sin limitar:</w:t>
      </w:r>
    </w:p>
    <w:p w14:paraId="19AD3C70" w14:textId="70383DFC"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pago de las penalidades a que hubiere lugar</w:t>
      </w:r>
    </w:p>
    <w:p w14:paraId="25F45C19" w14:textId="38AEE987"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obligaciones derivadas de la compra y nacionalización del Equipamiento Electromecánico</w:t>
      </w:r>
    </w:p>
    <w:p w14:paraId="2A7DE288" w14:textId="2941B8FC"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sumas ordenadas a pagar a favor del CONCEDENTE, mediante sentencia definitiva firme o laudo arbitral exigible</w:t>
      </w:r>
    </w:p>
    <w:p w14:paraId="3A683EC4" w14:textId="59626653" w:rsidR="00A25922" w:rsidRPr="00285D58" w:rsidRDefault="00A25922" w:rsidP="00A3732C">
      <w:pPr>
        <w:widowControl/>
        <w:numPr>
          <w:ilvl w:val="0"/>
          <w:numId w:val="1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declaraciones y estipulaciones previstas en el Contrato de Concesión</w:t>
      </w:r>
    </w:p>
    <w:p w14:paraId="4C3CCA5B"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532BE724"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honrar la presente fianza a su favor, bastará requerimiento por conducto notarial del MINCETUR, el cual deberá estar firmado por la persona debidamente autorizada por este organismo, indicando que nuestros clientes ……………………….…….….(nombre del Concesionario) no han cumplido con las obligaciones que están garantizadas por este documento.  </w:t>
      </w:r>
    </w:p>
    <w:p w14:paraId="564F2100"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Toda demora de nuestra parte para honrar la fianza antes referida, devengará un interés equivalente a la Tasa de Interés Legal, más un margen (spread) de 3% anual. </w:t>
      </w:r>
    </w:p>
    <w:p w14:paraId="34B1DD6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Tasa de Interés Legal será la publicada por la Superintendencia de Banca, Seguros y AFP, de la fecha en la que se recibió el requerimiento de pago por conducto notarial. Debiendo devengarse los intereses a partir de la fecha en que se ha exigido su cumplimiento hasta la fecha efectiva de pago.</w:t>
      </w:r>
    </w:p>
    <w:p w14:paraId="2688BC6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presente fianza también garantizará el correcto y oportuno cumplimiento de las obligaciones a cargo del Concesionario establecidas en virtud de las disposiciones contenidas en el Decreto Legislativo Nro. 1362, su Reglamento aprobado por Decreto Supremo Nro. 240-2018-EF y las Leyes y Disposiciones Aplicables que los modifiquen o sustituyan.</w:t>
      </w:r>
    </w:p>
    <w:p w14:paraId="66B05D0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Nuestras obligaciones bajo la presente fianza, no se verán afectadas por cualquier disputa entre el MINCETUR o cualquier entidad de la República del Perú y nuestros clientes.</w:t>
      </w:r>
    </w:p>
    <w:p w14:paraId="16EEF7A5"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 fianza estará vigente desde el .....de ............... de 20...., hasta el ..... de ....... del 20....., inclusive.</w:t>
      </w:r>
    </w:p>
    <w:p w14:paraId="689F3DB2"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b/>
          <w:color w:val="000000"/>
        </w:rPr>
      </w:pPr>
    </w:p>
    <w:p w14:paraId="400EBDD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Atentamente,</w:t>
      </w:r>
    </w:p>
    <w:p w14:paraId="1094C0D6"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35B69747"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Firma</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38D647D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Nombre</w:t>
      </w:r>
      <w:r w:rsidRPr="00285D58">
        <w:rPr>
          <w:rFonts w:asciiTheme="minorHAnsi" w:eastAsia="Calibri" w:hAnsiTheme="minorHAnsi" w:cstheme="minorHAnsi"/>
          <w:color w:val="000000"/>
        </w:rPr>
        <w:tab/>
      </w:r>
      <w:r w:rsidRPr="00285D58">
        <w:rPr>
          <w:rFonts w:asciiTheme="minorHAnsi" w:eastAsia="Calibri" w:hAnsiTheme="minorHAnsi" w:cstheme="minorHAnsi"/>
          <w:color w:val="000000"/>
        </w:rPr>
        <w:tab/>
        <w:t>……………………….</w:t>
      </w:r>
    </w:p>
    <w:p w14:paraId="0F8F2D7F"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Entidad Financiera</w:t>
      </w:r>
      <w:r w:rsidRPr="00285D58">
        <w:rPr>
          <w:rFonts w:asciiTheme="minorHAnsi" w:eastAsia="Calibri" w:hAnsiTheme="minorHAnsi" w:cstheme="minorHAnsi"/>
          <w:color w:val="000000"/>
        </w:rPr>
        <w:tab/>
        <w:t>……………………….</w:t>
      </w:r>
    </w:p>
    <w:p w14:paraId="02D11691"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2A5B5959" w14:textId="77777777" w:rsidR="00A25922" w:rsidRPr="00285D58" w:rsidRDefault="00A25922" w:rsidP="008D1FFF">
      <w:pPr>
        <w:widowControl/>
        <w:pBdr>
          <w:top w:val="nil"/>
          <w:left w:val="nil"/>
          <w:bottom w:val="nil"/>
          <w:right w:val="nil"/>
          <w:between w:val="nil"/>
        </w:pBdr>
        <w:spacing w:after="160" w:line="276" w:lineRule="auto"/>
        <w:jc w:val="both"/>
        <w:rPr>
          <w:rFonts w:asciiTheme="minorHAnsi" w:eastAsia="Calibri" w:hAnsiTheme="minorHAnsi" w:cstheme="minorHAnsi"/>
          <w:color w:val="000000"/>
        </w:rPr>
      </w:pPr>
    </w:p>
    <w:p w14:paraId="45084448" w14:textId="77777777" w:rsidR="009807E0" w:rsidRPr="00285D58" w:rsidRDefault="009807E0" w:rsidP="008D1FFF">
      <w:pPr>
        <w:spacing w:line="276" w:lineRule="auto"/>
        <w:jc w:val="both"/>
        <w:rPr>
          <w:rFonts w:asciiTheme="minorHAnsi" w:eastAsia="Calibri" w:hAnsiTheme="minorHAnsi" w:cstheme="minorHAnsi"/>
        </w:rPr>
      </w:pPr>
    </w:p>
    <w:p w14:paraId="69306614" w14:textId="77777777" w:rsidR="009807E0" w:rsidRPr="00285D58" w:rsidRDefault="009807E0" w:rsidP="008D1FFF">
      <w:pPr>
        <w:spacing w:line="276" w:lineRule="auto"/>
        <w:jc w:val="both"/>
        <w:rPr>
          <w:rFonts w:asciiTheme="minorHAnsi" w:eastAsia="Calibri" w:hAnsiTheme="minorHAnsi" w:cstheme="minorHAnsi"/>
        </w:rPr>
      </w:pPr>
    </w:p>
    <w:p w14:paraId="00C90B00" w14:textId="77777777" w:rsidR="009807E0" w:rsidRPr="00285D58" w:rsidRDefault="009807E0" w:rsidP="008D1FFF">
      <w:pPr>
        <w:spacing w:line="276" w:lineRule="auto"/>
        <w:jc w:val="both"/>
        <w:rPr>
          <w:rFonts w:asciiTheme="minorHAnsi" w:eastAsia="Calibri" w:hAnsiTheme="minorHAnsi" w:cstheme="minorHAnsi"/>
        </w:rPr>
      </w:pPr>
    </w:p>
    <w:p w14:paraId="0E389BD6" w14:textId="77777777" w:rsidR="00B60898" w:rsidRPr="00285D58" w:rsidRDefault="00B60898" w:rsidP="008D1FFF">
      <w:pPr>
        <w:spacing w:line="276" w:lineRule="auto"/>
        <w:jc w:val="both"/>
        <w:rPr>
          <w:rFonts w:asciiTheme="minorHAnsi" w:eastAsia="Calibri" w:hAnsiTheme="minorHAnsi" w:cstheme="minorHAnsi"/>
        </w:rPr>
      </w:pPr>
    </w:p>
    <w:p w14:paraId="7FD72A21" w14:textId="77777777" w:rsidR="009807E0" w:rsidRPr="00285D58" w:rsidRDefault="009807E0" w:rsidP="008D1FFF">
      <w:pPr>
        <w:spacing w:line="276" w:lineRule="auto"/>
        <w:jc w:val="both"/>
        <w:rPr>
          <w:rFonts w:asciiTheme="minorHAnsi" w:eastAsia="Calibri" w:hAnsiTheme="minorHAnsi" w:cstheme="minorHAnsi"/>
        </w:rPr>
      </w:pPr>
    </w:p>
    <w:p w14:paraId="372714BD" w14:textId="77777777" w:rsidR="009807E0" w:rsidRPr="00285D58" w:rsidRDefault="009807E0" w:rsidP="008D1FFF">
      <w:pPr>
        <w:spacing w:line="276" w:lineRule="auto"/>
        <w:jc w:val="both"/>
        <w:rPr>
          <w:rFonts w:asciiTheme="minorHAnsi" w:eastAsia="Calibri" w:hAnsiTheme="minorHAnsi" w:cstheme="minorHAnsi"/>
        </w:rPr>
      </w:pPr>
    </w:p>
    <w:p w14:paraId="0AB9F258" w14:textId="77777777" w:rsidR="009807E0" w:rsidRPr="00285D58" w:rsidRDefault="009807E0" w:rsidP="008D1FFF">
      <w:pPr>
        <w:spacing w:line="276" w:lineRule="auto"/>
        <w:jc w:val="both"/>
        <w:rPr>
          <w:rFonts w:asciiTheme="minorHAnsi" w:eastAsia="Calibri" w:hAnsiTheme="minorHAnsi" w:cstheme="minorHAnsi"/>
        </w:rPr>
      </w:pPr>
    </w:p>
    <w:p w14:paraId="2714ED92" w14:textId="77777777" w:rsidR="009807E0" w:rsidRPr="00285D58" w:rsidRDefault="009807E0" w:rsidP="008D1FFF">
      <w:pPr>
        <w:spacing w:line="276" w:lineRule="auto"/>
        <w:jc w:val="both"/>
        <w:rPr>
          <w:rFonts w:asciiTheme="minorHAnsi" w:eastAsia="Calibri" w:hAnsiTheme="minorHAnsi" w:cstheme="minorHAnsi"/>
        </w:rPr>
      </w:pPr>
    </w:p>
    <w:p w14:paraId="0A5BDA71" w14:textId="13F34656" w:rsidR="00336C2A" w:rsidRPr="00285D58" w:rsidRDefault="00336C2A"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ype="page"/>
      </w:r>
    </w:p>
    <w:p w14:paraId="1D7DC2D7" w14:textId="1AC96A35" w:rsidR="001F600C" w:rsidRPr="00285D58" w:rsidRDefault="001F600C" w:rsidP="008D1FFF">
      <w:pPr>
        <w:pStyle w:val="Ttulo1"/>
        <w:spacing w:before="1" w:line="276" w:lineRule="auto"/>
        <w:jc w:val="both"/>
        <w:rPr>
          <w:rFonts w:asciiTheme="minorHAnsi" w:eastAsia="Calibri" w:hAnsiTheme="minorHAnsi" w:cstheme="minorHAnsi"/>
          <w:b/>
          <w:color w:val="1F4E79"/>
          <w:sz w:val="24"/>
          <w:szCs w:val="24"/>
          <w:u w:val="single"/>
        </w:rPr>
      </w:pPr>
      <w:bookmarkStart w:id="23" w:name="_heading=h.2rb4i01" w:colFirst="0" w:colLast="0"/>
      <w:bookmarkStart w:id="24" w:name="_heading=h.3sek011" w:colFirst="0" w:colLast="0"/>
      <w:bookmarkStart w:id="25" w:name="_heading=h.tyjcwt" w:colFirst="0" w:colLast="0"/>
      <w:bookmarkStart w:id="26" w:name="_heading=h.3dy6vkm" w:colFirst="0" w:colLast="0"/>
      <w:bookmarkStart w:id="27" w:name="_heading=h.1t3h5sf" w:colFirst="0" w:colLast="0"/>
      <w:bookmarkStart w:id="28" w:name="_heading=h.kqmvb9" w:colFirst="0" w:colLast="0"/>
      <w:bookmarkStart w:id="29" w:name="_heading=h.34qadz2" w:colFirst="0" w:colLast="0"/>
      <w:bookmarkStart w:id="30" w:name="_heading=h.1jvko6v" w:colFirst="0" w:colLast="0"/>
      <w:bookmarkStart w:id="31" w:name="_heading=h.43v86uo" w:colFirst="0" w:colLast="0"/>
      <w:bookmarkStart w:id="32" w:name="_heading=h.2j0ih2h" w:colFirst="0" w:colLast="0"/>
      <w:bookmarkStart w:id="33" w:name="_heading=h.y5sraa" w:colFirst="0" w:colLast="0"/>
      <w:bookmarkStart w:id="34" w:name="_heading=h.3i5g9y3" w:colFirst="0" w:colLast="0"/>
      <w:bookmarkStart w:id="35" w:name="_heading=h.1xaqk5w" w:colFirst="0" w:colLast="0"/>
      <w:bookmarkStart w:id="36" w:name="_heading=h.4hae2tp" w:colFirst="0" w:colLast="0"/>
      <w:bookmarkStart w:id="37" w:name="_heading=h.2wfod1i" w:colFirst="0" w:colLast="0"/>
      <w:bookmarkStart w:id="38" w:name="_heading=h.1bkyn9b" w:colFirst="0" w:colLast="0"/>
      <w:bookmarkStart w:id="39" w:name="_heading=h.3vkm5x4" w:colFirst="0" w:colLast="0"/>
      <w:bookmarkStart w:id="40" w:name="_heading=h.2apwg4x" w:colFirst="0" w:colLast="0"/>
      <w:bookmarkStart w:id="41" w:name="_heading=h.pv6qcq" w:colFirst="0" w:colLast="0"/>
      <w:bookmarkStart w:id="42" w:name="_heading=h.39uu90j" w:colFirst="0" w:colLast="0"/>
      <w:bookmarkStart w:id="43" w:name="_heading=h.1p04j8c" w:colFirst="0" w:colLast="0"/>
      <w:bookmarkStart w:id="44" w:name="_heading=h.1ljsd9k" w:colFirst="0" w:colLast="0"/>
      <w:bookmarkStart w:id="45" w:name="_heading=h.45jfvxd" w:colFirst="0" w:colLast="0"/>
      <w:bookmarkStart w:id="46" w:name="_heading=h.2koq656" w:colFirst="0" w:colLast="0"/>
      <w:bookmarkStart w:id="47" w:name="_heading=h.zu0gcz" w:colFirst="0" w:colLast="0"/>
      <w:bookmarkStart w:id="48" w:name="_heading=h.3jtnz0s" w:colFirst="0" w:colLast="0"/>
      <w:bookmarkStart w:id="49" w:name="_heading=h.1yyy98l" w:colFirst="0" w:colLast="0"/>
      <w:bookmarkStart w:id="50" w:name="_heading=h.4d34og8" w:colFirst="0" w:colLast="0"/>
      <w:bookmarkStart w:id="51" w:name="_heading=h.4iylrwe" w:colFirst="0" w:colLast="0"/>
      <w:bookmarkStart w:id="52" w:name="_heading=h.2y3w247" w:colFirst="0" w:colLast="0"/>
      <w:bookmarkStart w:id="53" w:name="_heading=h.1d96cc0" w:colFirst="0" w:colLast="0"/>
      <w:bookmarkStart w:id="54" w:name="_heading=h.3x8tuzt" w:colFirst="0" w:colLast="0"/>
      <w:bookmarkStart w:id="55" w:name="_heading=h.2ce457m" w:colFirst="0" w:colLast="0"/>
      <w:bookmarkStart w:id="56" w:name="_heading=h.rjefff" w:colFirst="0" w:colLast="0"/>
      <w:bookmarkStart w:id="57" w:name="_heading=h.3bj1y38" w:colFirst="0" w:colLast="0"/>
      <w:bookmarkStart w:id="58" w:name="_heading=h.1qoc8b1" w:colFirst="0" w:colLast="0"/>
      <w:bookmarkStart w:id="59" w:name="_heading=h.4anzqyu" w:colFirst="0" w:colLast="0"/>
      <w:bookmarkStart w:id="60" w:name="_heading=h.2pta16n" w:colFirst="0" w:colLast="0"/>
      <w:bookmarkStart w:id="61" w:name="_heading=h.14ykbeg" w:colFirst="0" w:colLast="0"/>
      <w:bookmarkStart w:id="62" w:name="_heading=h.3oy7u29" w:colFirst="0" w:colLast="0"/>
      <w:bookmarkStart w:id="63" w:name="_heading=h.243i4a2" w:colFirst="0" w:colLast="0"/>
      <w:bookmarkStart w:id="64" w:name="_heading=h.j8sehv" w:colFirst="0" w:colLast="0"/>
      <w:bookmarkStart w:id="65" w:name="_heading=h.338fx5o" w:colFirst="0" w:colLast="0"/>
      <w:bookmarkStart w:id="66" w:name="_heading=h.2hio093" w:colFirst="0" w:colLast="0"/>
      <w:bookmarkStart w:id="67" w:name="_heading=h.48zs1w5" w:colFirst="0" w:colLast="0"/>
      <w:bookmarkStart w:id="68" w:name="_heading=h.2o52c3y" w:colFirst="0" w:colLast="0"/>
      <w:bookmarkStart w:id="69" w:name="_heading=h.13acmbr" w:colFirst="0" w:colLast="0"/>
      <w:bookmarkStart w:id="70" w:name="_heading=h.3na04zk" w:colFirst="0" w:colLast="0"/>
      <w:bookmarkStart w:id="71" w:name="_heading=h.22faf7d" w:colFirst="0" w:colLast="0"/>
      <w:bookmarkStart w:id="72" w:name="_heading=h.hkkpf6" w:colFirst="0" w:colLast="0"/>
      <w:bookmarkStart w:id="73" w:name="_heading=h.31k882z" w:colFirst="0" w:colLast="0"/>
      <w:bookmarkStart w:id="74" w:name="_heading=h.1gpiias" w:colFirst="0" w:colLast="0"/>
      <w:bookmarkStart w:id="75" w:name="_heading=h.40p60yl" w:colFirst="0" w:colLast="0"/>
      <w:bookmarkStart w:id="76" w:name="_heading=h.2fugb6e" w:colFirst="0" w:colLast="0"/>
      <w:bookmarkStart w:id="77" w:name="_heading=h.uzqle7" w:colFirst="0" w:colLast="0"/>
      <w:bookmarkStart w:id="78" w:name="_heading=h.3eze420" w:colFirst="0" w:colLast="0"/>
      <w:bookmarkStart w:id="79" w:name="_heading=h.1ksv4uv" w:colFirst="0" w:colLast="0"/>
      <w:bookmarkStart w:id="80" w:name="_Toc193979274"/>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285D58">
        <w:rPr>
          <w:rFonts w:asciiTheme="minorHAnsi" w:eastAsia="Calibri" w:hAnsiTheme="minorHAnsi" w:cstheme="minorHAnsi"/>
          <w:b/>
          <w:color w:val="1F4E79"/>
          <w:sz w:val="24"/>
          <w:szCs w:val="24"/>
          <w:u w:val="single"/>
        </w:rPr>
        <w:lastRenderedPageBreak/>
        <w:t>ANEXO 07: ESPECIFICACIONES TÉCNICAS BÁSICAS</w:t>
      </w:r>
      <w:bookmarkEnd w:id="80"/>
    </w:p>
    <w:p w14:paraId="7CA8844C" w14:textId="77777777" w:rsidR="001F600C" w:rsidRPr="00285D58" w:rsidRDefault="001F600C" w:rsidP="008D1FFF">
      <w:pPr>
        <w:spacing w:line="276" w:lineRule="auto"/>
        <w:rPr>
          <w:rFonts w:asciiTheme="minorHAnsi" w:eastAsia="Calibri" w:hAnsiTheme="minorHAnsi" w:cstheme="minorHAnsi"/>
        </w:rPr>
      </w:pPr>
    </w:p>
    <w:p w14:paraId="67E861C6"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t>SECCIÓN 1: PARA LOS TELEFÉRICOS</w:t>
      </w:r>
    </w:p>
    <w:p w14:paraId="797DF0AF" w14:textId="77777777" w:rsidR="00A24E4B" w:rsidRPr="00285D58" w:rsidRDefault="00A24E4B" w:rsidP="008D1FFF">
      <w:pPr>
        <w:spacing w:line="276" w:lineRule="auto"/>
        <w:rPr>
          <w:rFonts w:asciiTheme="minorHAnsi" w:hAnsiTheme="minorHAnsi" w:cstheme="minorHAnsi"/>
          <w:b/>
          <w:bCs/>
          <w:color w:val="1F3864" w:themeColor="accent1" w:themeShade="80"/>
        </w:rPr>
      </w:pPr>
    </w:p>
    <w:p w14:paraId="58FBE708" w14:textId="2C27CBF5"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NORMATIVA TÉCNICA DE TRANSPORTE POR CABLE A APLICAR</w:t>
      </w:r>
    </w:p>
    <w:p w14:paraId="52DB12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fabricación, construcción de obras civiles, montaje, operación y mantenimiento de los teleféricos, se deberá seguir la normativa técnica Europea:</w:t>
      </w:r>
    </w:p>
    <w:p w14:paraId="39671DA2" w14:textId="77777777" w:rsidR="001F600C" w:rsidRPr="00285D58" w:rsidRDefault="001F600C" w:rsidP="008D1FFF">
      <w:pPr>
        <w:spacing w:line="276" w:lineRule="auto"/>
        <w:jc w:val="both"/>
        <w:rPr>
          <w:rFonts w:asciiTheme="minorHAnsi" w:eastAsia="Calibri" w:hAnsiTheme="minorHAnsi" w:cstheme="minorHAnsi"/>
        </w:rPr>
      </w:pPr>
    </w:p>
    <w:p w14:paraId="43E8939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europeo (UE) 2016/424 del 9 de marzo de 2016, que regula los requisitos que deben cumplirse para la proyección, construcción, puesta en servicio y explotación de las instalaciones de transporte de personas por cable. </w:t>
      </w:r>
    </w:p>
    <w:p w14:paraId="4C72C320" w14:textId="77777777" w:rsidR="001F600C" w:rsidRPr="00285D58" w:rsidRDefault="001F600C" w:rsidP="008D1FFF">
      <w:pPr>
        <w:widowControl/>
        <w:pBdr>
          <w:top w:val="nil"/>
          <w:left w:val="nil"/>
          <w:bottom w:val="nil"/>
          <w:right w:val="nil"/>
          <w:between w:val="nil"/>
        </w:pBdr>
        <w:spacing w:line="276" w:lineRule="auto"/>
        <w:ind w:left="1440"/>
        <w:jc w:val="both"/>
        <w:rPr>
          <w:rFonts w:asciiTheme="minorHAnsi" w:eastAsia="Calibri" w:hAnsiTheme="minorHAnsi" w:cstheme="minorHAnsi"/>
        </w:rPr>
      </w:pPr>
    </w:p>
    <w:p w14:paraId="69B47019"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Así como las normas europeas armonizadas:</w:t>
      </w:r>
    </w:p>
    <w:p w14:paraId="4A3D683E" w14:textId="77777777" w:rsidR="001F600C" w:rsidRPr="00285D58" w:rsidRDefault="001F600C" w:rsidP="008D1FFF">
      <w:pPr>
        <w:widowControl/>
        <w:pBdr>
          <w:top w:val="nil"/>
          <w:left w:val="nil"/>
          <w:bottom w:val="nil"/>
          <w:right w:val="nil"/>
          <w:between w:val="nil"/>
        </w:pBdr>
        <w:spacing w:line="276" w:lineRule="auto"/>
        <w:ind w:left="1440"/>
        <w:jc w:val="both"/>
        <w:rPr>
          <w:rFonts w:asciiTheme="minorHAnsi" w:eastAsia="Calibri" w:hAnsiTheme="minorHAnsi" w:cstheme="minorHAnsi"/>
        </w:rPr>
      </w:pPr>
    </w:p>
    <w:p w14:paraId="30D4E15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1709 Requisitos de seguridad de las instalaciones de transporte por cable destinadas a personas. Examen previo a la puesta en servicio, mantenimiento y controles en explotación.</w:t>
      </w:r>
    </w:p>
    <w:p w14:paraId="71D5F07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1908 Requisitos de seguridad de las instalaciones de transporte por cable destinadas a personas. Dispositivos de puesta en tensión.</w:t>
      </w:r>
    </w:p>
    <w:p w14:paraId="3776FC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1909 Requisitos de seguridad de las instalaciones de transporte por cable destinadas a personas. Recuperación y evacuación.</w:t>
      </w:r>
    </w:p>
    <w:p w14:paraId="6AD373C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12397 Requisitos de seguridad de las instalaciones de transporte por cable destinadas a personas. Explotación. </w:t>
      </w:r>
    </w:p>
    <w:p w14:paraId="4D0CC61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12929-1 Requisitos de seguridad de las instalaciones de transporte por cable destinadas a personas. Requisitos generales. Parte 1: Requisitos aplicables a todas las instalaciones.</w:t>
      </w:r>
    </w:p>
    <w:p w14:paraId="7E197BC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12929-2 Requisitos de seguridad de las instalaciones de transporte por cable destinadas a personas. Requisitos generales. Parte 2: Requisitos adicionales para teleféricos bicable de vaivén sin freno de carro</w:t>
      </w:r>
    </w:p>
    <w:p w14:paraId="32AEB6C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12930 Requisitos de seguridad de las instalaciones de transporte por cable destinadas a personas. Cálculos.</w:t>
      </w:r>
    </w:p>
    <w:p w14:paraId="73A67B0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13107 Requisitos de seguridad de las instalaciones de transporte de personas por cable. Obra Civil.</w:t>
      </w:r>
    </w:p>
    <w:p w14:paraId="54C9D49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13223 Requisitos de seguridad de las instalaciones de transporte por cable destinadas a personas. Accionamientos y otros dispositivos mecánicos. </w:t>
      </w:r>
    </w:p>
    <w:p w14:paraId="5DED8F2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13243 Requisitos de seguridad de las instalaciones de transporte por cable destinadas a personas. Dispositivos eléctricos distintos del accionamiento.</w:t>
      </w:r>
    </w:p>
    <w:p w14:paraId="7D9AA7E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13796-1 Requisitos de seguridad de las instalaciones de transporte de personas por cable. Vehículos. Parte 1: Pinzas, carros, frenos de a bordo, cabinas, sillas, coches, vehículos de mantenimiento, arrastres.</w:t>
      </w:r>
    </w:p>
    <w:p w14:paraId="3127709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13796-2 Requisitos de seguridad de las instalaciones de transporte de personas por cable. Vehículos. Parte 2: Ensayo de resistencia al deslizamiento de las pinzas.</w:t>
      </w:r>
    </w:p>
    <w:p w14:paraId="5116B1C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EN 13796-3 Requisitos de seguridad de las instalaciones de transporte de personas por cable. Vehículos. Parte 3: Ensayos de fatiga.</w:t>
      </w:r>
    </w:p>
    <w:p w14:paraId="6EAE5111" w14:textId="77777777" w:rsidR="001F600C" w:rsidRPr="00285D58" w:rsidRDefault="001F600C" w:rsidP="008D1FFF">
      <w:pPr>
        <w:spacing w:line="276" w:lineRule="auto"/>
        <w:ind w:firstLine="567"/>
        <w:jc w:val="both"/>
        <w:rPr>
          <w:rFonts w:asciiTheme="minorHAnsi" w:eastAsia="Calibri" w:hAnsiTheme="minorHAnsi" w:cstheme="minorHAnsi"/>
        </w:rPr>
      </w:pPr>
    </w:p>
    <w:p w14:paraId="3068E1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manera complementaria, podrá aplicarse la normativa técnica Estadounidense:</w:t>
      </w:r>
    </w:p>
    <w:p w14:paraId="429079E3" w14:textId="77777777" w:rsidR="001F600C" w:rsidRPr="00285D58" w:rsidRDefault="001F600C" w:rsidP="008D1FFF">
      <w:pPr>
        <w:spacing w:line="276" w:lineRule="auto"/>
        <w:ind w:firstLine="567"/>
        <w:jc w:val="both"/>
        <w:rPr>
          <w:rFonts w:asciiTheme="minorHAnsi" w:eastAsia="Calibri" w:hAnsiTheme="minorHAnsi" w:cstheme="minorHAnsi"/>
        </w:rPr>
      </w:pPr>
    </w:p>
    <w:p w14:paraId="3BA0D25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 xml:space="preserve">ANSI B77.1 – 2011, ANSI B77.1A-2012: Passenger Ropeways – Aerial Tramways, Aerial Lifts, Surface Lifts, Tows And Conveyors – Safety Requirements. </w:t>
      </w:r>
    </w:p>
    <w:p w14:paraId="23B1CAB1"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76B9AA89"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4BD0397D"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0E3A43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 A continuación, se indican las características técnicas de los trazos de los teleféricos:</w:t>
      </w:r>
    </w:p>
    <w:p w14:paraId="6C42564D" w14:textId="77777777" w:rsidR="001F600C" w:rsidRPr="00285D58" w:rsidRDefault="001F600C" w:rsidP="008D1FFF">
      <w:pPr>
        <w:spacing w:line="276" w:lineRule="auto"/>
        <w:jc w:val="both"/>
        <w:rPr>
          <w:rFonts w:asciiTheme="minorHAnsi" w:eastAsia="Calibri" w:hAnsiTheme="minorHAnsi" w:cstheme="minorHAnsi"/>
        </w:rPr>
      </w:pPr>
    </w:p>
    <w:p w14:paraId="47F5B2BF" w14:textId="77777777" w:rsidR="001F600C" w:rsidRPr="00285D58" w:rsidRDefault="001F600C" w:rsidP="008D1FFF">
      <w:pPr>
        <w:spacing w:line="276" w:lineRule="auto"/>
        <w:jc w:val="both"/>
        <w:rPr>
          <w:rFonts w:asciiTheme="minorHAnsi" w:eastAsia="Calibri" w:hAnsiTheme="minorHAnsi" w:cstheme="minorHAnsi"/>
        </w:rPr>
      </w:pPr>
    </w:p>
    <w:p w14:paraId="37D71D15" w14:textId="611EB5E2"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9</w:t>
      </w:r>
      <w:r w:rsidR="00F20B19" w:rsidRPr="00285D58">
        <w:rPr>
          <w:rFonts w:asciiTheme="minorHAnsi" w:hAnsiTheme="minorHAnsi" w:cstheme="minorHAnsi"/>
          <w:noProof/>
        </w:rPr>
        <w:fldChar w:fldCharType="end"/>
      </w:r>
      <w:r w:rsidRPr="00285D58">
        <w:rPr>
          <w:rFonts w:asciiTheme="minorHAnsi" w:hAnsiTheme="minorHAnsi" w:cstheme="minorHAnsi"/>
        </w:rPr>
        <w:t>. pLANTEAMIENTO TÉCNICO DE LOS TELEFÉRICOS.</w:t>
      </w:r>
    </w:p>
    <w:p w14:paraId="52838459" w14:textId="77777777" w:rsidR="001F600C" w:rsidRPr="00285D58" w:rsidRDefault="001F600C" w:rsidP="008D1FFF">
      <w:pPr>
        <w:spacing w:line="276" w:lineRule="auto"/>
        <w:jc w:val="both"/>
        <w:rPr>
          <w:rFonts w:asciiTheme="minorHAnsi" w:eastAsia="Calibri" w:hAnsiTheme="minorHAnsi" w:cstheme="minorHAnsi"/>
        </w:rPr>
      </w:pPr>
    </w:p>
    <w:tbl>
      <w:tblPr>
        <w:tblW w:w="906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2374"/>
        <w:gridCol w:w="2230"/>
        <w:gridCol w:w="2231"/>
        <w:gridCol w:w="2231"/>
      </w:tblGrid>
      <w:tr w:rsidR="001F600C" w:rsidRPr="00285D58" w14:paraId="2E6F9378" w14:textId="77777777" w:rsidTr="00242093">
        <w:trPr>
          <w:trHeight w:val="308"/>
          <w:jc w:val="center"/>
        </w:trPr>
        <w:tc>
          <w:tcPr>
            <w:tcW w:w="2374" w:type="dxa"/>
            <w:shd w:val="clear" w:color="auto" w:fill="E7E6E6" w:themeFill="background2"/>
          </w:tcPr>
          <w:p w14:paraId="1A791C62"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2230" w:type="dxa"/>
            <w:shd w:val="clear" w:color="auto" w:fill="E7E6E6" w:themeFill="background2"/>
          </w:tcPr>
          <w:p w14:paraId="33428B1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p w14:paraId="1ADF6AC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(Kiuñalla → Choquequirao “Unión”)</w:t>
            </w:r>
          </w:p>
        </w:tc>
        <w:tc>
          <w:tcPr>
            <w:tcW w:w="2231" w:type="dxa"/>
            <w:shd w:val="clear" w:color="auto" w:fill="E7E6E6" w:themeFill="background2"/>
          </w:tcPr>
          <w:p w14:paraId="0810BB60"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1 (Abra San Juan → Maizal)</w:t>
            </w:r>
          </w:p>
        </w:tc>
        <w:tc>
          <w:tcPr>
            <w:tcW w:w="2231" w:type="dxa"/>
            <w:shd w:val="clear" w:color="auto" w:fill="E7E6E6" w:themeFill="background2"/>
          </w:tcPr>
          <w:p w14:paraId="04F10C40"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2 (Maizal → Choquequirao “cumbre”)</w:t>
            </w:r>
          </w:p>
        </w:tc>
      </w:tr>
      <w:tr w:rsidR="001F600C" w:rsidRPr="00285D58" w14:paraId="36ECBC3F" w14:textId="77777777" w:rsidTr="00242093">
        <w:trPr>
          <w:trHeight w:val="308"/>
          <w:jc w:val="center"/>
        </w:trPr>
        <w:tc>
          <w:tcPr>
            <w:tcW w:w="2374" w:type="dxa"/>
          </w:tcPr>
          <w:p w14:paraId="097940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horizontal (entre apoyos del cable)</w:t>
            </w:r>
          </w:p>
        </w:tc>
        <w:tc>
          <w:tcPr>
            <w:tcW w:w="2230" w:type="dxa"/>
          </w:tcPr>
          <w:p w14:paraId="0BAB79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4C4E491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2.565,0 m</w:t>
            </w:r>
          </w:p>
        </w:tc>
        <w:tc>
          <w:tcPr>
            <w:tcW w:w="2231" w:type="dxa"/>
          </w:tcPr>
          <w:p w14:paraId="72580CB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3.883,0 m</w:t>
            </w:r>
          </w:p>
        </w:tc>
      </w:tr>
      <w:tr w:rsidR="001F600C" w:rsidRPr="00285D58" w14:paraId="0435B7EC" w14:textId="77777777" w:rsidTr="00242093">
        <w:trPr>
          <w:trHeight w:val="308"/>
          <w:jc w:val="center"/>
        </w:trPr>
        <w:tc>
          <w:tcPr>
            <w:tcW w:w="2374" w:type="dxa"/>
          </w:tcPr>
          <w:p w14:paraId="32FE88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salida (andén)</w:t>
            </w:r>
          </w:p>
        </w:tc>
        <w:tc>
          <w:tcPr>
            <w:tcW w:w="2230" w:type="dxa"/>
          </w:tcPr>
          <w:p w14:paraId="69D2874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2.921,5 m</w:t>
            </w:r>
          </w:p>
        </w:tc>
        <w:tc>
          <w:tcPr>
            <w:tcW w:w="2231" w:type="dxa"/>
          </w:tcPr>
          <w:p w14:paraId="4C9D474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4.075,0 m</w:t>
            </w:r>
          </w:p>
        </w:tc>
        <w:tc>
          <w:tcPr>
            <w:tcW w:w="2231" w:type="dxa"/>
          </w:tcPr>
          <w:p w14:paraId="48C3378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2.901,0 m</w:t>
            </w:r>
          </w:p>
        </w:tc>
      </w:tr>
      <w:tr w:rsidR="001F600C" w:rsidRPr="00285D58" w14:paraId="1FB7CD12" w14:textId="77777777" w:rsidTr="00242093">
        <w:trPr>
          <w:trHeight w:val="308"/>
          <w:jc w:val="center"/>
        </w:trPr>
        <w:tc>
          <w:tcPr>
            <w:tcW w:w="2374" w:type="dxa"/>
          </w:tcPr>
          <w:p w14:paraId="1BDD7A9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llegada (andén)</w:t>
            </w:r>
          </w:p>
        </w:tc>
        <w:tc>
          <w:tcPr>
            <w:tcW w:w="2230" w:type="dxa"/>
          </w:tcPr>
          <w:p w14:paraId="1AB543A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3.005,0 m</w:t>
            </w:r>
          </w:p>
        </w:tc>
        <w:tc>
          <w:tcPr>
            <w:tcW w:w="2231" w:type="dxa"/>
          </w:tcPr>
          <w:p w14:paraId="36F24CF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c>
          <w:tcPr>
            <w:tcW w:w="2231" w:type="dxa"/>
          </w:tcPr>
          <w:p w14:paraId="087F890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3.517,0 m</w:t>
            </w:r>
          </w:p>
        </w:tc>
      </w:tr>
      <w:tr w:rsidR="001F600C" w:rsidRPr="00285D58" w14:paraId="1E992753" w14:textId="77777777" w:rsidTr="00242093">
        <w:trPr>
          <w:trHeight w:val="308"/>
          <w:jc w:val="center"/>
        </w:trPr>
        <w:tc>
          <w:tcPr>
            <w:tcW w:w="2374" w:type="dxa"/>
          </w:tcPr>
          <w:p w14:paraId="6942FF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Desnivel</w:t>
            </w:r>
          </w:p>
        </w:tc>
        <w:tc>
          <w:tcPr>
            <w:tcW w:w="2230" w:type="dxa"/>
          </w:tcPr>
          <w:p w14:paraId="4A63353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83,5 m</w:t>
            </w:r>
          </w:p>
        </w:tc>
        <w:tc>
          <w:tcPr>
            <w:tcW w:w="2231" w:type="dxa"/>
          </w:tcPr>
          <w:p w14:paraId="5AFD9AE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1.174,0 m</w:t>
            </w:r>
          </w:p>
        </w:tc>
        <w:tc>
          <w:tcPr>
            <w:tcW w:w="2231" w:type="dxa"/>
          </w:tcPr>
          <w:p w14:paraId="4E2C8FE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616,0 m</w:t>
            </w:r>
          </w:p>
        </w:tc>
      </w:tr>
      <w:tr w:rsidR="001F600C" w:rsidRPr="00285D58" w14:paraId="146974B4" w14:textId="77777777" w:rsidTr="00242093">
        <w:trPr>
          <w:trHeight w:val="308"/>
          <w:jc w:val="center"/>
        </w:trPr>
        <w:tc>
          <w:tcPr>
            <w:tcW w:w="2374" w:type="dxa"/>
          </w:tcPr>
          <w:p w14:paraId="74865A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media</w:t>
            </w:r>
          </w:p>
        </w:tc>
        <w:tc>
          <w:tcPr>
            <w:tcW w:w="2230" w:type="dxa"/>
          </w:tcPr>
          <w:p w14:paraId="614C539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2231" w:type="dxa"/>
          </w:tcPr>
          <w:p w14:paraId="482FEA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45,8%</w:t>
            </w:r>
          </w:p>
        </w:tc>
        <w:tc>
          <w:tcPr>
            <w:tcW w:w="2231" w:type="dxa"/>
          </w:tcPr>
          <w:p w14:paraId="71563CD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15,8 %</w:t>
            </w:r>
          </w:p>
        </w:tc>
      </w:tr>
      <w:tr w:rsidR="001F600C" w:rsidRPr="00285D58" w14:paraId="1C41D52D" w14:textId="77777777" w:rsidTr="00242093">
        <w:trPr>
          <w:trHeight w:val="308"/>
          <w:jc w:val="center"/>
        </w:trPr>
        <w:tc>
          <w:tcPr>
            <w:tcW w:w="2374" w:type="dxa"/>
          </w:tcPr>
          <w:p w14:paraId="2CAEDA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aproximada de cable (en la colocación)</w:t>
            </w:r>
          </w:p>
        </w:tc>
        <w:tc>
          <w:tcPr>
            <w:tcW w:w="2230" w:type="dxa"/>
          </w:tcPr>
          <w:p w14:paraId="4AFF95C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4.336,9 m</w:t>
            </w:r>
          </w:p>
        </w:tc>
        <w:tc>
          <w:tcPr>
            <w:tcW w:w="2231" w:type="dxa"/>
          </w:tcPr>
          <w:p w14:paraId="4A2163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2.851,4 m</w:t>
            </w:r>
          </w:p>
        </w:tc>
        <w:tc>
          <w:tcPr>
            <w:tcW w:w="2231" w:type="dxa"/>
          </w:tcPr>
          <w:p w14:paraId="7DE6D9E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4.053,4 m</w:t>
            </w:r>
          </w:p>
        </w:tc>
      </w:tr>
      <w:tr w:rsidR="001F600C" w:rsidRPr="00285D58" w14:paraId="4E0F354C" w14:textId="77777777" w:rsidTr="00242093">
        <w:trPr>
          <w:trHeight w:val="308"/>
          <w:jc w:val="center"/>
        </w:trPr>
        <w:tc>
          <w:tcPr>
            <w:tcW w:w="2374" w:type="dxa"/>
          </w:tcPr>
          <w:p w14:paraId="249BCEA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torres</w:t>
            </w:r>
          </w:p>
        </w:tc>
        <w:tc>
          <w:tcPr>
            <w:tcW w:w="2230" w:type="dxa"/>
          </w:tcPr>
          <w:p w14:paraId="0852C19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2231" w:type="dxa"/>
          </w:tcPr>
          <w:p w14:paraId="69D8B1A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w:t>
            </w:r>
          </w:p>
        </w:tc>
        <w:tc>
          <w:tcPr>
            <w:tcW w:w="2231" w:type="dxa"/>
          </w:tcPr>
          <w:p w14:paraId="3924A65E"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1</w:t>
            </w:r>
          </w:p>
        </w:tc>
      </w:tr>
      <w:tr w:rsidR="001F600C" w:rsidRPr="00285D58" w14:paraId="639DD314" w14:textId="77777777" w:rsidTr="00242093">
        <w:trPr>
          <w:trHeight w:val="308"/>
          <w:jc w:val="center"/>
        </w:trPr>
        <w:tc>
          <w:tcPr>
            <w:tcW w:w="2374" w:type="dxa"/>
          </w:tcPr>
          <w:p w14:paraId="387C739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Luz (horizontal) máxima</w:t>
            </w:r>
          </w:p>
        </w:tc>
        <w:tc>
          <w:tcPr>
            <w:tcW w:w="2230" w:type="dxa"/>
          </w:tcPr>
          <w:p w14:paraId="196B06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39D9C20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1.687,0 m</w:t>
            </w:r>
          </w:p>
        </w:tc>
        <w:tc>
          <w:tcPr>
            <w:tcW w:w="2231" w:type="dxa"/>
          </w:tcPr>
          <w:p w14:paraId="71F51E7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2.800,0 m</w:t>
            </w:r>
          </w:p>
        </w:tc>
      </w:tr>
      <w:tr w:rsidR="001F600C" w:rsidRPr="00285D58" w14:paraId="47FFD6D1" w14:textId="77777777" w:rsidTr="00242093">
        <w:trPr>
          <w:trHeight w:val="308"/>
          <w:jc w:val="center"/>
        </w:trPr>
        <w:tc>
          <w:tcPr>
            <w:tcW w:w="2374" w:type="dxa"/>
          </w:tcPr>
          <w:p w14:paraId="38B79430" w14:textId="77777777" w:rsidR="001F600C" w:rsidRPr="00285D58" w:rsidRDefault="001F600C" w:rsidP="008D1FFF">
            <w:pPr>
              <w:spacing w:line="276" w:lineRule="auto"/>
              <w:ind w:firstLine="567"/>
              <w:jc w:val="both"/>
              <w:rPr>
                <w:rFonts w:asciiTheme="minorHAnsi" w:eastAsia="Calibri" w:hAnsiTheme="minorHAnsi" w:cstheme="minorHAnsi"/>
              </w:rPr>
            </w:pPr>
          </w:p>
        </w:tc>
        <w:tc>
          <w:tcPr>
            <w:tcW w:w="2230" w:type="dxa"/>
          </w:tcPr>
          <w:p w14:paraId="75BCBAD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“sur”</w:t>
            </w:r>
          </w:p>
          <w:p w14:paraId="6457EBC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(Kiuñalla → Choquequirao “Unión”)</w:t>
            </w:r>
          </w:p>
        </w:tc>
        <w:tc>
          <w:tcPr>
            <w:tcW w:w="2231" w:type="dxa"/>
          </w:tcPr>
          <w:p w14:paraId="1BFCCA8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“norte”, sección 1 (Abra San Juan → Maizal)</w:t>
            </w:r>
          </w:p>
        </w:tc>
        <w:tc>
          <w:tcPr>
            <w:tcW w:w="2231" w:type="dxa"/>
          </w:tcPr>
          <w:p w14:paraId="4BF3188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“norte”, sección 2 (Maizal → Choquequirao “cumbre”)</w:t>
            </w:r>
          </w:p>
        </w:tc>
      </w:tr>
      <w:tr w:rsidR="001F600C" w:rsidRPr="00285D58" w14:paraId="0059517C" w14:textId="77777777" w:rsidTr="00242093">
        <w:trPr>
          <w:trHeight w:val="308"/>
          <w:jc w:val="center"/>
        </w:trPr>
        <w:tc>
          <w:tcPr>
            <w:tcW w:w="2374" w:type="dxa"/>
          </w:tcPr>
          <w:p w14:paraId="3CE0F4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horizontal (entre apoyos del cable)</w:t>
            </w:r>
          </w:p>
        </w:tc>
        <w:tc>
          <w:tcPr>
            <w:tcW w:w="2230" w:type="dxa"/>
          </w:tcPr>
          <w:p w14:paraId="1D0FE3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0592F22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2.565,0 m</w:t>
            </w:r>
          </w:p>
        </w:tc>
        <w:tc>
          <w:tcPr>
            <w:tcW w:w="2231" w:type="dxa"/>
          </w:tcPr>
          <w:p w14:paraId="715FB96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3.883,0 m</w:t>
            </w:r>
          </w:p>
        </w:tc>
      </w:tr>
      <w:tr w:rsidR="001F600C" w:rsidRPr="00285D58" w14:paraId="3F012B1C" w14:textId="77777777" w:rsidTr="00242093">
        <w:trPr>
          <w:trHeight w:val="308"/>
          <w:jc w:val="center"/>
        </w:trPr>
        <w:tc>
          <w:tcPr>
            <w:tcW w:w="2374" w:type="dxa"/>
          </w:tcPr>
          <w:p w14:paraId="7D97AF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salida (andén)</w:t>
            </w:r>
          </w:p>
        </w:tc>
        <w:tc>
          <w:tcPr>
            <w:tcW w:w="2230" w:type="dxa"/>
          </w:tcPr>
          <w:p w14:paraId="3F2A323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2.921,5 m</w:t>
            </w:r>
          </w:p>
        </w:tc>
        <w:tc>
          <w:tcPr>
            <w:tcW w:w="2231" w:type="dxa"/>
          </w:tcPr>
          <w:p w14:paraId="50D550A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4.075,0 m</w:t>
            </w:r>
          </w:p>
        </w:tc>
        <w:tc>
          <w:tcPr>
            <w:tcW w:w="2231" w:type="dxa"/>
          </w:tcPr>
          <w:p w14:paraId="22840D5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r>
      <w:tr w:rsidR="001F600C" w:rsidRPr="00285D58" w14:paraId="63DE2068" w14:textId="77777777" w:rsidTr="00242093">
        <w:trPr>
          <w:trHeight w:val="308"/>
          <w:jc w:val="center"/>
        </w:trPr>
        <w:tc>
          <w:tcPr>
            <w:tcW w:w="2374" w:type="dxa"/>
          </w:tcPr>
          <w:p w14:paraId="2ADF9C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Cota llegada (andén)</w:t>
            </w:r>
          </w:p>
        </w:tc>
        <w:tc>
          <w:tcPr>
            <w:tcW w:w="2230" w:type="dxa"/>
          </w:tcPr>
          <w:p w14:paraId="5F911C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3.005,0 m</w:t>
            </w:r>
          </w:p>
        </w:tc>
        <w:tc>
          <w:tcPr>
            <w:tcW w:w="2231" w:type="dxa"/>
          </w:tcPr>
          <w:p w14:paraId="5CF3DB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2.901,0 m</w:t>
            </w:r>
          </w:p>
        </w:tc>
        <w:tc>
          <w:tcPr>
            <w:tcW w:w="2231" w:type="dxa"/>
          </w:tcPr>
          <w:p w14:paraId="1247B45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3.517,0 m</w:t>
            </w:r>
          </w:p>
        </w:tc>
      </w:tr>
      <w:tr w:rsidR="001F600C" w:rsidRPr="00285D58" w14:paraId="37FC873C" w14:textId="77777777" w:rsidTr="00242093">
        <w:trPr>
          <w:trHeight w:val="308"/>
          <w:jc w:val="center"/>
        </w:trPr>
        <w:tc>
          <w:tcPr>
            <w:tcW w:w="2374" w:type="dxa"/>
          </w:tcPr>
          <w:p w14:paraId="5B8E15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Desnivel</w:t>
            </w:r>
          </w:p>
        </w:tc>
        <w:tc>
          <w:tcPr>
            <w:tcW w:w="2230" w:type="dxa"/>
          </w:tcPr>
          <w:p w14:paraId="74DA4E5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83,5 m</w:t>
            </w:r>
          </w:p>
        </w:tc>
        <w:tc>
          <w:tcPr>
            <w:tcW w:w="2231" w:type="dxa"/>
          </w:tcPr>
          <w:p w14:paraId="75FC77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1.174,0 m</w:t>
            </w:r>
          </w:p>
        </w:tc>
        <w:tc>
          <w:tcPr>
            <w:tcW w:w="2231" w:type="dxa"/>
          </w:tcPr>
          <w:p w14:paraId="7175319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616,0 m</w:t>
            </w:r>
          </w:p>
        </w:tc>
      </w:tr>
      <w:tr w:rsidR="001F600C" w:rsidRPr="00285D58" w14:paraId="1978589C" w14:textId="77777777" w:rsidTr="00242093">
        <w:trPr>
          <w:trHeight w:val="308"/>
          <w:jc w:val="center"/>
        </w:trPr>
        <w:tc>
          <w:tcPr>
            <w:tcW w:w="2374" w:type="dxa"/>
          </w:tcPr>
          <w:p w14:paraId="6DDCDBB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media</w:t>
            </w:r>
          </w:p>
        </w:tc>
        <w:tc>
          <w:tcPr>
            <w:tcW w:w="2230" w:type="dxa"/>
          </w:tcPr>
          <w:p w14:paraId="4CE6E4C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2231" w:type="dxa"/>
          </w:tcPr>
          <w:p w14:paraId="50E3C81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45,8%</w:t>
            </w:r>
          </w:p>
        </w:tc>
        <w:tc>
          <w:tcPr>
            <w:tcW w:w="2231" w:type="dxa"/>
          </w:tcPr>
          <w:p w14:paraId="4D7EED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15,8 %</w:t>
            </w:r>
          </w:p>
        </w:tc>
      </w:tr>
      <w:tr w:rsidR="001F600C" w:rsidRPr="00285D58" w14:paraId="2EECA460" w14:textId="77777777" w:rsidTr="00242093">
        <w:trPr>
          <w:trHeight w:val="308"/>
          <w:jc w:val="center"/>
        </w:trPr>
        <w:tc>
          <w:tcPr>
            <w:tcW w:w="2374" w:type="dxa"/>
          </w:tcPr>
          <w:p w14:paraId="38EC0E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aproximada de cable (en la colocación)</w:t>
            </w:r>
          </w:p>
        </w:tc>
        <w:tc>
          <w:tcPr>
            <w:tcW w:w="2230" w:type="dxa"/>
          </w:tcPr>
          <w:p w14:paraId="53053A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4.336,9 m</w:t>
            </w:r>
          </w:p>
        </w:tc>
        <w:tc>
          <w:tcPr>
            <w:tcW w:w="2231" w:type="dxa"/>
          </w:tcPr>
          <w:p w14:paraId="0AA972A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2.851,4 m</w:t>
            </w:r>
          </w:p>
        </w:tc>
        <w:tc>
          <w:tcPr>
            <w:tcW w:w="2231" w:type="dxa"/>
          </w:tcPr>
          <w:p w14:paraId="21A0BFD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4.053,4 m</w:t>
            </w:r>
          </w:p>
        </w:tc>
      </w:tr>
      <w:tr w:rsidR="001F600C" w:rsidRPr="00285D58" w14:paraId="677D60D2" w14:textId="77777777" w:rsidTr="00242093">
        <w:trPr>
          <w:trHeight w:val="308"/>
          <w:jc w:val="center"/>
        </w:trPr>
        <w:tc>
          <w:tcPr>
            <w:tcW w:w="2374" w:type="dxa"/>
          </w:tcPr>
          <w:p w14:paraId="476AC7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Número de torres</w:t>
            </w:r>
          </w:p>
        </w:tc>
        <w:tc>
          <w:tcPr>
            <w:tcW w:w="2230" w:type="dxa"/>
          </w:tcPr>
          <w:p w14:paraId="667CDDA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2231" w:type="dxa"/>
          </w:tcPr>
          <w:p w14:paraId="5F50E4A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w:t>
            </w:r>
          </w:p>
        </w:tc>
        <w:tc>
          <w:tcPr>
            <w:tcW w:w="2231" w:type="dxa"/>
          </w:tcPr>
          <w:p w14:paraId="3D61AED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r>
      <w:tr w:rsidR="001F600C" w:rsidRPr="00285D58" w14:paraId="6A481B5E" w14:textId="77777777" w:rsidTr="00242093">
        <w:trPr>
          <w:trHeight w:val="308"/>
          <w:jc w:val="center"/>
        </w:trPr>
        <w:tc>
          <w:tcPr>
            <w:tcW w:w="2374" w:type="dxa"/>
          </w:tcPr>
          <w:p w14:paraId="4FF835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Luz (horizontal) máxima</w:t>
            </w:r>
          </w:p>
        </w:tc>
        <w:tc>
          <w:tcPr>
            <w:tcW w:w="2230" w:type="dxa"/>
          </w:tcPr>
          <w:p w14:paraId="002F079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4.188,0 m</w:t>
            </w:r>
          </w:p>
        </w:tc>
        <w:tc>
          <w:tcPr>
            <w:tcW w:w="2231" w:type="dxa"/>
          </w:tcPr>
          <w:p w14:paraId="2742B6A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1.687,0 m</w:t>
            </w:r>
          </w:p>
        </w:tc>
        <w:tc>
          <w:tcPr>
            <w:tcW w:w="2231" w:type="dxa"/>
          </w:tcPr>
          <w:p w14:paraId="4565B7C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2.800,0 m</w:t>
            </w:r>
          </w:p>
        </w:tc>
      </w:tr>
    </w:tbl>
    <w:p w14:paraId="6B4EC953" w14:textId="77777777" w:rsidR="001F600C" w:rsidRPr="00285D58" w:rsidRDefault="001F600C" w:rsidP="008D1FFF">
      <w:pPr>
        <w:spacing w:line="276" w:lineRule="auto"/>
        <w:jc w:val="both"/>
        <w:rPr>
          <w:rFonts w:asciiTheme="minorHAnsi" w:eastAsia="Calibri" w:hAnsiTheme="minorHAnsi" w:cstheme="minorHAnsi"/>
        </w:rPr>
      </w:pPr>
    </w:p>
    <w:p w14:paraId="488E6FBC" w14:textId="77777777" w:rsidR="001F600C" w:rsidRPr="00285D58" w:rsidRDefault="001F600C" w:rsidP="008D1FFF">
      <w:pPr>
        <w:spacing w:line="276" w:lineRule="auto"/>
        <w:jc w:val="both"/>
        <w:rPr>
          <w:rFonts w:asciiTheme="minorHAnsi" w:eastAsia="Calibri" w:hAnsiTheme="minorHAnsi" w:cstheme="minorHAnsi"/>
        </w:rPr>
      </w:pPr>
    </w:p>
    <w:p w14:paraId="1B615F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coordenadas UTM de los polígonos donde se ubicarían las estaciones son:</w:t>
      </w:r>
    </w:p>
    <w:p w14:paraId="0196DA87" w14:textId="77777777" w:rsidR="001F600C" w:rsidRPr="00285D58" w:rsidRDefault="001F600C" w:rsidP="008D1FFF">
      <w:pPr>
        <w:pStyle w:val="Descripcin"/>
        <w:spacing w:line="276" w:lineRule="auto"/>
        <w:rPr>
          <w:rFonts w:asciiTheme="minorHAnsi" w:hAnsiTheme="minorHAnsi" w:cstheme="minorHAnsi"/>
        </w:rPr>
      </w:pPr>
    </w:p>
    <w:p w14:paraId="134A1F2C" w14:textId="343C49B6"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10</w:t>
      </w:r>
      <w:r w:rsidR="00F20B19" w:rsidRPr="00285D58">
        <w:rPr>
          <w:rFonts w:asciiTheme="minorHAnsi" w:hAnsiTheme="minorHAnsi" w:cstheme="minorHAnsi"/>
          <w:noProof/>
        </w:rPr>
        <w:fldChar w:fldCharType="end"/>
      </w:r>
      <w:r w:rsidRPr="00285D58">
        <w:rPr>
          <w:rFonts w:asciiTheme="minorHAnsi" w:hAnsiTheme="minorHAnsi" w:cstheme="minorHAnsi"/>
        </w:rPr>
        <w:t>. ubicación DEL TELEFÉRICO SUR.</w:t>
      </w:r>
    </w:p>
    <w:p w14:paraId="1859ABF1"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8"/>
        <w:gridCol w:w="1419"/>
        <w:gridCol w:w="1559"/>
        <w:gridCol w:w="1276"/>
      </w:tblGrid>
      <w:tr w:rsidR="006F0C28" w:rsidRPr="00285D58" w14:paraId="4C50B5D6" w14:textId="77777777" w:rsidTr="00BB5F42">
        <w:trPr>
          <w:trHeight w:val="262"/>
          <w:jc w:val="center"/>
        </w:trPr>
        <w:tc>
          <w:tcPr>
            <w:tcW w:w="5382" w:type="dxa"/>
            <w:gridSpan w:val="4"/>
            <w:shd w:val="clear" w:color="auto" w:fill="E7E6E6" w:themeFill="background2"/>
          </w:tcPr>
          <w:p w14:paraId="04C9C9D5"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6F0C28" w:rsidRPr="00285D58" w14:paraId="33862895" w14:textId="77777777" w:rsidTr="00BB5F42">
        <w:trPr>
          <w:trHeight w:val="262"/>
          <w:jc w:val="center"/>
        </w:trPr>
        <w:tc>
          <w:tcPr>
            <w:tcW w:w="5382" w:type="dxa"/>
            <w:gridSpan w:val="4"/>
            <w:shd w:val="clear" w:color="auto" w:fill="E7E6E6" w:themeFill="background2"/>
          </w:tcPr>
          <w:p w14:paraId="4F5CBB31"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Kiuñalla</w:t>
            </w:r>
          </w:p>
        </w:tc>
      </w:tr>
      <w:tr w:rsidR="006F0C28" w:rsidRPr="00285D58" w14:paraId="5E5050EA" w14:textId="77777777" w:rsidTr="00BB5F42">
        <w:trPr>
          <w:trHeight w:val="330"/>
          <w:jc w:val="center"/>
        </w:trPr>
        <w:tc>
          <w:tcPr>
            <w:tcW w:w="1128" w:type="dxa"/>
            <w:shd w:val="clear" w:color="auto" w:fill="E7E6E6" w:themeFill="background2"/>
          </w:tcPr>
          <w:p w14:paraId="3CCFB78B" w14:textId="77777777" w:rsidR="006F0C28" w:rsidRPr="00285D58" w:rsidRDefault="006F0C28" w:rsidP="00FB01D4">
            <w:pPr>
              <w:spacing w:line="276" w:lineRule="auto"/>
              <w:ind w:firstLine="567"/>
              <w:jc w:val="center"/>
              <w:rPr>
                <w:rFonts w:asciiTheme="minorHAnsi" w:eastAsia="Calibri" w:hAnsiTheme="minorHAnsi" w:cstheme="minorHAnsi"/>
                <w:b/>
                <w:bCs/>
              </w:rPr>
            </w:pPr>
          </w:p>
        </w:tc>
        <w:tc>
          <w:tcPr>
            <w:tcW w:w="1419" w:type="dxa"/>
            <w:shd w:val="clear" w:color="auto" w:fill="E7E6E6" w:themeFill="background2"/>
          </w:tcPr>
          <w:p w14:paraId="07C11A0E"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X</w:t>
            </w:r>
          </w:p>
        </w:tc>
        <w:tc>
          <w:tcPr>
            <w:tcW w:w="1559" w:type="dxa"/>
            <w:shd w:val="clear" w:color="auto" w:fill="E7E6E6" w:themeFill="background2"/>
          </w:tcPr>
          <w:p w14:paraId="1611344D"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Y</w:t>
            </w:r>
          </w:p>
        </w:tc>
        <w:tc>
          <w:tcPr>
            <w:tcW w:w="1276" w:type="dxa"/>
            <w:shd w:val="clear" w:color="auto" w:fill="E7E6E6" w:themeFill="background2"/>
          </w:tcPr>
          <w:p w14:paraId="2D101DB4"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Z</w:t>
            </w:r>
          </w:p>
        </w:tc>
      </w:tr>
      <w:tr w:rsidR="006F0C28" w:rsidRPr="00285D58" w14:paraId="284534C1" w14:textId="77777777" w:rsidTr="00BB5F42">
        <w:trPr>
          <w:trHeight w:val="287"/>
          <w:jc w:val="center"/>
        </w:trPr>
        <w:tc>
          <w:tcPr>
            <w:tcW w:w="1128" w:type="dxa"/>
          </w:tcPr>
          <w:p w14:paraId="4A3D08A2"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1</w:t>
            </w:r>
          </w:p>
        </w:tc>
        <w:tc>
          <w:tcPr>
            <w:tcW w:w="1419" w:type="dxa"/>
            <w:vAlign w:val="bottom"/>
          </w:tcPr>
          <w:p w14:paraId="228110B6" w14:textId="0F07CCCE"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728300.3004</w:t>
            </w:r>
          </w:p>
        </w:tc>
        <w:tc>
          <w:tcPr>
            <w:tcW w:w="1559" w:type="dxa"/>
            <w:vAlign w:val="bottom"/>
          </w:tcPr>
          <w:p w14:paraId="4C6AD222" w14:textId="34A760F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8513999.4755</w:t>
            </w:r>
          </w:p>
        </w:tc>
        <w:tc>
          <w:tcPr>
            <w:tcW w:w="1276" w:type="dxa"/>
            <w:vMerge w:val="restart"/>
          </w:tcPr>
          <w:p w14:paraId="390C4F26"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2.921,5 m</w:t>
            </w:r>
          </w:p>
        </w:tc>
      </w:tr>
      <w:tr w:rsidR="006F0C28" w:rsidRPr="00285D58" w14:paraId="27561868" w14:textId="77777777" w:rsidTr="00BB5F42">
        <w:trPr>
          <w:trHeight w:val="287"/>
          <w:jc w:val="center"/>
        </w:trPr>
        <w:tc>
          <w:tcPr>
            <w:tcW w:w="1128" w:type="dxa"/>
          </w:tcPr>
          <w:p w14:paraId="0205A2B0"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2</w:t>
            </w:r>
          </w:p>
        </w:tc>
        <w:tc>
          <w:tcPr>
            <w:tcW w:w="1419" w:type="dxa"/>
            <w:vAlign w:val="bottom"/>
          </w:tcPr>
          <w:p w14:paraId="2D3EF3DC" w14:textId="085C390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728238.8754</w:t>
            </w:r>
          </w:p>
        </w:tc>
        <w:tc>
          <w:tcPr>
            <w:tcW w:w="1559" w:type="dxa"/>
            <w:vAlign w:val="bottom"/>
          </w:tcPr>
          <w:p w14:paraId="631E020F" w14:textId="439DA95B"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8513887.0756</w:t>
            </w:r>
          </w:p>
        </w:tc>
        <w:tc>
          <w:tcPr>
            <w:tcW w:w="1276" w:type="dxa"/>
            <w:vMerge/>
          </w:tcPr>
          <w:p w14:paraId="1141E0B4"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23E1261F" w14:textId="77777777" w:rsidTr="00BB5F42">
        <w:trPr>
          <w:trHeight w:val="305"/>
          <w:jc w:val="center"/>
        </w:trPr>
        <w:tc>
          <w:tcPr>
            <w:tcW w:w="1128" w:type="dxa"/>
          </w:tcPr>
          <w:p w14:paraId="2CF31E68"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3</w:t>
            </w:r>
          </w:p>
        </w:tc>
        <w:tc>
          <w:tcPr>
            <w:tcW w:w="1419" w:type="dxa"/>
            <w:vAlign w:val="bottom"/>
          </w:tcPr>
          <w:p w14:paraId="05E24058" w14:textId="7377C0BC"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728162.8718</w:t>
            </w:r>
          </w:p>
        </w:tc>
        <w:tc>
          <w:tcPr>
            <w:tcW w:w="1559" w:type="dxa"/>
            <w:vAlign w:val="bottom"/>
          </w:tcPr>
          <w:p w14:paraId="53CB2B29" w14:textId="67711B86"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8513925.1342</w:t>
            </w:r>
          </w:p>
        </w:tc>
        <w:tc>
          <w:tcPr>
            <w:tcW w:w="1276" w:type="dxa"/>
            <w:vMerge/>
          </w:tcPr>
          <w:p w14:paraId="3443B0C4"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17D8D6D7" w14:textId="77777777" w:rsidTr="00BB5F42">
        <w:trPr>
          <w:trHeight w:val="305"/>
          <w:jc w:val="center"/>
        </w:trPr>
        <w:tc>
          <w:tcPr>
            <w:tcW w:w="1128" w:type="dxa"/>
          </w:tcPr>
          <w:p w14:paraId="0F8041B7"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4</w:t>
            </w:r>
          </w:p>
        </w:tc>
        <w:tc>
          <w:tcPr>
            <w:tcW w:w="1419" w:type="dxa"/>
            <w:vAlign w:val="bottom"/>
          </w:tcPr>
          <w:p w14:paraId="4665C3C6" w14:textId="39C06B1D"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728226.3727</w:t>
            </w:r>
          </w:p>
        </w:tc>
        <w:tc>
          <w:tcPr>
            <w:tcW w:w="1559" w:type="dxa"/>
            <w:vAlign w:val="bottom"/>
          </w:tcPr>
          <w:p w14:paraId="491468E8" w14:textId="3ADC15E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8514058.3519</w:t>
            </w:r>
          </w:p>
        </w:tc>
        <w:tc>
          <w:tcPr>
            <w:tcW w:w="1276" w:type="dxa"/>
            <w:vMerge/>
          </w:tcPr>
          <w:p w14:paraId="2F096E4A"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7EEE6BFF" w14:textId="77777777" w:rsidTr="00BB5F42">
        <w:trPr>
          <w:trHeight w:val="305"/>
          <w:jc w:val="center"/>
        </w:trPr>
        <w:tc>
          <w:tcPr>
            <w:tcW w:w="1128" w:type="dxa"/>
          </w:tcPr>
          <w:p w14:paraId="74B6B44B"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5</w:t>
            </w:r>
          </w:p>
        </w:tc>
        <w:tc>
          <w:tcPr>
            <w:tcW w:w="1419" w:type="dxa"/>
            <w:vAlign w:val="bottom"/>
          </w:tcPr>
          <w:p w14:paraId="202F984F" w14:textId="74E5D54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728323.0195</w:t>
            </w:r>
          </w:p>
        </w:tc>
        <w:tc>
          <w:tcPr>
            <w:tcW w:w="1559" w:type="dxa"/>
            <w:vAlign w:val="bottom"/>
          </w:tcPr>
          <w:p w14:paraId="5CF2DA4D" w14:textId="586B2877"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8514139.6869</w:t>
            </w:r>
          </w:p>
        </w:tc>
        <w:tc>
          <w:tcPr>
            <w:tcW w:w="1276" w:type="dxa"/>
            <w:vMerge/>
          </w:tcPr>
          <w:p w14:paraId="6BADA060"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22EAA6E9" w14:textId="77777777" w:rsidTr="00BB5F42">
        <w:trPr>
          <w:trHeight w:val="305"/>
          <w:jc w:val="center"/>
        </w:trPr>
        <w:tc>
          <w:tcPr>
            <w:tcW w:w="1128" w:type="dxa"/>
          </w:tcPr>
          <w:p w14:paraId="1BB20FD9"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6</w:t>
            </w:r>
          </w:p>
        </w:tc>
        <w:tc>
          <w:tcPr>
            <w:tcW w:w="1419" w:type="dxa"/>
            <w:vAlign w:val="bottom"/>
          </w:tcPr>
          <w:p w14:paraId="1916B533" w14:textId="677435B2"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728399.0230</w:t>
            </w:r>
          </w:p>
        </w:tc>
        <w:tc>
          <w:tcPr>
            <w:tcW w:w="1559" w:type="dxa"/>
            <w:vAlign w:val="bottom"/>
          </w:tcPr>
          <w:p w14:paraId="1732364E" w14:textId="69A6F00A"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8514101.6283</w:t>
            </w:r>
          </w:p>
        </w:tc>
        <w:tc>
          <w:tcPr>
            <w:tcW w:w="1276" w:type="dxa"/>
            <w:vMerge/>
          </w:tcPr>
          <w:p w14:paraId="7C59FA77"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r w:rsidR="006F0C28" w:rsidRPr="00285D58" w14:paraId="0534A66D" w14:textId="77777777" w:rsidTr="00BB5F42">
        <w:trPr>
          <w:trHeight w:val="305"/>
          <w:jc w:val="center"/>
        </w:trPr>
        <w:tc>
          <w:tcPr>
            <w:tcW w:w="1128" w:type="dxa"/>
          </w:tcPr>
          <w:p w14:paraId="1F11FFE7" w14:textId="77777777" w:rsidR="006F0C28" w:rsidRPr="00285D58" w:rsidRDefault="006F0C28" w:rsidP="006F0C28">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7</w:t>
            </w:r>
          </w:p>
        </w:tc>
        <w:tc>
          <w:tcPr>
            <w:tcW w:w="1419" w:type="dxa"/>
            <w:vAlign w:val="bottom"/>
          </w:tcPr>
          <w:p w14:paraId="109310CB" w14:textId="54C4ED82"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728406.7434</w:t>
            </w:r>
          </w:p>
        </w:tc>
        <w:tc>
          <w:tcPr>
            <w:tcW w:w="1559" w:type="dxa"/>
            <w:vAlign w:val="bottom"/>
          </w:tcPr>
          <w:p w14:paraId="74F80759" w14:textId="05936468" w:rsidR="006F0C28" w:rsidRPr="00285D58" w:rsidRDefault="006F0C28" w:rsidP="006F0C28">
            <w:pPr>
              <w:spacing w:line="276" w:lineRule="auto"/>
              <w:jc w:val="both"/>
              <w:rPr>
                <w:rFonts w:asciiTheme="minorHAnsi" w:eastAsia="Calibri" w:hAnsiTheme="minorHAnsi" w:cstheme="minorHAnsi"/>
                <w:sz w:val="20"/>
                <w:szCs w:val="20"/>
              </w:rPr>
            </w:pPr>
            <w:r>
              <w:rPr>
                <w:rFonts w:ascii="Calibri" w:hAnsi="Calibri" w:cs="Calibri"/>
                <w:color w:val="000000"/>
              </w:rPr>
              <w:t>8514005.3761</w:t>
            </w:r>
          </w:p>
        </w:tc>
        <w:tc>
          <w:tcPr>
            <w:tcW w:w="1276" w:type="dxa"/>
            <w:vMerge/>
          </w:tcPr>
          <w:p w14:paraId="6A3EC5BC"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rPr>
            </w:pPr>
          </w:p>
        </w:tc>
      </w:tr>
    </w:tbl>
    <w:p w14:paraId="6A7262EB" w14:textId="77777777" w:rsidR="00E31209" w:rsidRPr="00285D58" w:rsidRDefault="00E31209" w:rsidP="008D1FFF">
      <w:pPr>
        <w:spacing w:line="276" w:lineRule="auto"/>
        <w:ind w:firstLine="567"/>
        <w:jc w:val="both"/>
        <w:rPr>
          <w:rFonts w:asciiTheme="minorHAnsi" w:eastAsia="Calibri" w:hAnsiTheme="minorHAnsi" w:cstheme="minorHAnsi"/>
        </w:rPr>
      </w:pPr>
    </w:p>
    <w:p w14:paraId="22A6C082" w14:textId="5CF070A6" w:rsidR="001F600C" w:rsidRDefault="001F600C" w:rsidP="008D1FFF">
      <w:pPr>
        <w:spacing w:line="276" w:lineRule="auto"/>
        <w:ind w:firstLine="567"/>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8"/>
        <w:gridCol w:w="1419"/>
        <w:gridCol w:w="1701"/>
        <w:gridCol w:w="1134"/>
      </w:tblGrid>
      <w:tr w:rsidR="006F0C28" w:rsidRPr="00285D58" w14:paraId="47E277C7" w14:textId="77777777" w:rsidTr="00BB5F42">
        <w:trPr>
          <w:trHeight w:val="262"/>
          <w:jc w:val="center"/>
        </w:trPr>
        <w:tc>
          <w:tcPr>
            <w:tcW w:w="5382" w:type="dxa"/>
            <w:gridSpan w:val="4"/>
            <w:shd w:val="clear" w:color="auto" w:fill="E7E6E6" w:themeFill="background2"/>
          </w:tcPr>
          <w:p w14:paraId="7313564B"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6F0C28" w:rsidRPr="00285D58" w14:paraId="3A23DC44" w14:textId="77777777" w:rsidTr="00BB5F42">
        <w:trPr>
          <w:trHeight w:val="262"/>
          <w:jc w:val="center"/>
        </w:trPr>
        <w:tc>
          <w:tcPr>
            <w:tcW w:w="5382" w:type="dxa"/>
            <w:gridSpan w:val="4"/>
            <w:shd w:val="clear" w:color="auto" w:fill="E7E6E6" w:themeFill="background2"/>
          </w:tcPr>
          <w:p w14:paraId="5619E2EF"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Unión</w:t>
            </w:r>
          </w:p>
        </w:tc>
      </w:tr>
      <w:tr w:rsidR="006F0C28" w:rsidRPr="00285D58" w14:paraId="604631EA" w14:textId="77777777" w:rsidTr="00BB5F42">
        <w:trPr>
          <w:trHeight w:val="330"/>
          <w:jc w:val="center"/>
        </w:trPr>
        <w:tc>
          <w:tcPr>
            <w:tcW w:w="1128" w:type="dxa"/>
            <w:shd w:val="clear" w:color="auto" w:fill="E7E6E6" w:themeFill="background2"/>
          </w:tcPr>
          <w:p w14:paraId="0CC5F6B2" w14:textId="77777777" w:rsidR="006F0C28" w:rsidRPr="00285D58" w:rsidRDefault="006F0C28" w:rsidP="00FB01D4">
            <w:pPr>
              <w:spacing w:line="276" w:lineRule="auto"/>
              <w:ind w:firstLine="567"/>
              <w:jc w:val="center"/>
              <w:rPr>
                <w:rFonts w:asciiTheme="minorHAnsi" w:eastAsia="Calibri" w:hAnsiTheme="minorHAnsi" w:cstheme="minorHAnsi"/>
                <w:b/>
                <w:bCs/>
              </w:rPr>
            </w:pPr>
          </w:p>
        </w:tc>
        <w:tc>
          <w:tcPr>
            <w:tcW w:w="1419" w:type="dxa"/>
            <w:shd w:val="clear" w:color="auto" w:fill="E7E6E6" w:themeFill="background2"/>
          </w:tcPr>
          <w:p w14:paraId="2195C3E9"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X</w:t>
            </w:r>
          </w:p>
        </w:tc>
        <w:tc>
          <w:tcPr>
            <w:tcW w:w="1701" w:type="dxa"/>
            <w:shd w:val="clear" w:color="auto" w:fill="E7E6E6" w:themeFill="background2"/>
          </w:tcPr>
          <w:p w14:paraId="098992CC"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Y</w:t>
            </w:r>
          </w:p>
        </w:tc>
        <w:tc>
          <w:tcPr>
            <w:tcW w:w="1134" w:type="dxa"/>
            <w:shd w:val="clear" w:color="auto" w:fill="E7E6E6" w:themeFill="background2"/>
          </w:tcPr>
          <w:p w14:paraId="7DD144B8" w14:textId="77777777" w:rsidR="006F0C28" w:rsidRPr="00285D58" w:rsidRDefault="006F0C28" w:rsidP="00FB01D4">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Z</w:t>
            </w:r>
          </w:p>
        </w:tc>
      </w:tr>
      <w:tr w:rsidR="00EF6AB5" w:rsidRPr="00285D58" w14:paraId="36BBAEDE" w14:textId="77777777" w:rsidTr="00BB5F42">
        <w:trPr>
          <w:trHeight w:val="287"/>
          <w:jc w:val="center"/>
        </w:trPr>
        <w:tc>
          <w:tcPr>
            <w:tcW w:w="1128" w:type="dxa"/>
          </w:tcPr>
          <w:p w14:paraId="7FF5CD93"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1</w:t>
            </w:r>
          </w:p>
        </w:tc>
        <w:tc>
          <w:tcPr>
            <w:tcW w:w="1419" w:type="dxa"/>
            <w:vAlign w:val="bottom"/>
          </w:tcPr>
          <w:p w14:paraId="13DC6C01" w14:textId="1D1E9A4A"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730221.9087</w:t>
            </w:r>
          </w:p>
        </w:tc>
        <w:tc>
          <w:tcPr>
            <w:tcW w:w="1701" w:type="dxa"/>
            <w:vAlign w:val="bottom"/>
          </w:tcPr>
          <w:p w14:paraId="0A280F8C" w14:textId="586AC4F3"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8517907.2223</w:t>
            </w:r>
          </w:p>
        </w:tc>
        <w:tc>
          <w:tcPr>
            <w:tcW w:w="1134" w:type="dxa"/>
            <w:vMerge w:val="restart"/>
          </w:tcPr>
          <w:p w14:paraId="3DE935A4"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3.005,0 m</w:t>
            </w:r>
          </w:p>
        </w:tc>
      </w:tr>
      <w:tr w:rsidR="00EF6AB5" w:rsidRPr="00285D58" w14:paraId="47529380" w14:textId="77777777" w:rsidTr="00BB5F42">
        <w:trPr>
          <w:trHeight w:val="287"/>
          <w:jc w:val="center"/>
        </w:trPr>
        <w:tc>
          <w:tcPr>
            <w:tcW w:w="1128" w:type="dxa"/>
          </w:tcPr>
          <w:p w14:paraId="59304FC4"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2</w:t>
            </w:r>
          </w:p>
        </w:tc>
        <w:tc>
          <w:tcPr>
            <w:tcW w:w="1419" w:type="dxa"/>
            <w:vAlign w:val="bottom"/>
          </w:tcPr>
          <w:p w14:paraId="2D70F93B" w14:textId="4A347EED"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730264.0006</w:t>
            </w:r>
          </w:p>
        </w:tc>
        <w:tc>
          <w:tcPr>
            <w:tcW w:w="1701" w:type="dxa"/>
            <w:vAlign w:val="bottom"/>
          </w:tcPr>
          <w:p w14:paraId="62161CE8" w14:textId="3217E57A"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8517886.1448</w:t>
            </w:r>
          </w:p>
        </w:tc>
        <w:tc>
          <w:tcPr>
            <w:tcW w:w="1134" w:type="dxa"/>
            <w:vMerge/>
          </w:tcPr>
          <w:p w14:paraId="055FCD4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6DE97BC2" w14:textId="77777777" w:rsidTr="00BB5F42">
        <w:trPr>
          <w:trHeight w:val="305"/>
          <w:jc w:val="center"/>
        </w:trPr>
        <w:tc>
          <w:tcPr>
            <w:tcW w:w="1128" w:type="dxa"/>
          </w:tcPr>
          <w:p w14:paraId="45F1819F"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3</w:t>
            </w:r>
          </w:p>
        </w:tc>
        <w:tc>
          <w:tcPr>
            <w:tcW w:w="1419" w:type="dxa"/>
            <w:vAlign w:val="bottom"/>
          </w:tcPr>
          <w:p w14:paraId="5D068EB8" w14:textId="68AF58A6"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730276.9017</w:t>
            </w:r>
          </w:p>
        </w:tc>
        <w:tc>
          <w:tcPr>
            <w:tcW w:w="1701" w:type="dxa"/>
            <w:vAlign w:val="bottom"/>
          </w:tcPr>
          <w:p w14:paraId="5F9E2081" w14:textId="643CCB1B"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8517876.3400</w:t>
            </w:r>
          </w:p>
        </w:tc>
        <w:tc>
          <w:tcPr>
            <w:tcW w:w="1134" w:type="dxa"/>
            <w:vMerge/>
          </w:tcPr>
          <w:p w14:paraId="5051D1C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0C31DE91" w14:textId="77777777" w:rsidTr="00BB5F42">
        <w:trPr>
          <w:trHeight w:val="305"/>
          <w:jc w:val="center"/>
        </w:trPr>
        <w:tc>
          <w:tcPr>
            <w:tcW w:w="1128" w:type="dxa"/>
          </w:tcPr>
          <w:p w14:paraId="313DB1B8"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4</w:t>
            </w:r>
          </w:p>
        </w:tc>
        <w:tc>
          <w:tcPr>
            <w:tcW w:w="1419" w:type="dxa"/>
            <w:vAlign w:val="bottom"/>
          </w:tcPr>
          <w:p w14:paraId="26D7BD95" w14:textId="7DB5FC67"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730236.1523</w:t>
            </w:r>
          </w:p>
        </w:tc>
        <w:tc>
          <w:tcPr>
            <w:tcW w:w="1701" w:type="dxa"/>
            <w:vAlign w:val="bottom"/>
          </w:tcPr>
          <w:p w14:paraId="3D90B986" w14:textId="401B51EC"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8517794.9631</w:t>
            </w:r>
          </w:p>
        </w:tc>
        <w:tc>
          <w:tcPr>
            <w:tcW w:w="1134" w:type="dxa"/>
            <w:vMerge/>
          </w:tcPr>
          <w:p w14:paraId="742A0C9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r w:rsidR="00EF6AB5" w:rsidRPr="00285D58" w14:paraId="6EA4B4C0" w14:textId="77777777" w:rsidTr="00BB5F42">
        <w:trPr>
          <w:trHeight w:val="305"/>
          <w:jc w:val="center"/>
        </w:trPr>
        <w:tc>
          <w:tcPr>
            <w:tcW w:w="1128" w:type="dxa"/>
          </w:tcPr>
          <w:p w14:paraId="70340EC1" w14:textId="77777777" w:rsidR="00EF6AB5" w:rsidRPr="00285D58" w:rsidRDefault="00EF6AB5" w:rsidP="00EF6AB5">
            <w:pPr>
              <w:spacing w:line="276" w:lineRule="auto"/>
              <w:jc w:val="both"/>
              <w:rPr>
                <w:rFonts w:asciiTheme="minorHAnsi" w:eastAsia="Calibri" w:hAnsiTheme="minorHAnsi" w:cstheme="minorHAnsi"/>
              </w:rPr>
            </w:pPr>
            <w:r w:rsidRPr="00285D58">
              <w:rPr>
                <w:rFonts w:asciiTheme="minorHAnsi" w:eastAsia="Calibri" w:hAnsiTheme="minorHAnsi" w:cstheme="minorHAnsi"/>
              </w:rPr>
              <w:t>Vértice 5</w:t>
            </w:r>
          </w:p>
        </w:tc>
        <w:tc>
          <w:tcPr>
            <w:tcW w:w="1419" w:type="dxa"/>
            <w:vAlign w:val="bottom"/>
          </w:tcPr>
          <w:p w14:paraId="1826F727" w14:textId="13300BA8"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730179.8203</w:t>
            </w:r>
          </w:p>
        </w:tc>
        <w:tc>
          <w:tcPr>
            <w:tcW w:w="1701" w:type="dxa"/>
            <w:vAlign w:val="bottom"/>
          </w:tcPr>
          <w:p w14:paraId="29E46285" w14:textId="53E09C92" w:rsidR="00EF6AB5" w:rsidRPr="00285D58" w:rsidRDefault="00EF6AB5" w:rsidP="00EF6AB5">
            <w:pPr>
              <w:spacing w:line="276" w:lineRule="auto"/>
              <w:jc w:val="both"/>
              <w:rPr>
                <w:rFonts w:asciiTheme="minorHAnsi" w:eastAsia="Calibri" w:hAnsiTheme="minorHAnsi" w:cstheme="minorHAnsi"/>
                <w:sz w:val="20"/>
                <w:szCs w:val="20"/>
              </w:rPr>
            </w:pPr>
            <w:r>
              <w:rPr>
                <w:rFonts w:ascii="Calibri" w:hAnsi="Calibri" w:cs="Calibri"/>
                <w:color w:val="000000"/>
              </w:rPr>
              <w:t>8517823.1713</w:t>
            </w:r>
          </w:p>
        </w:tc>
        <w:tc>
          <w:tcPr>
            <w:tcW w:w="1134" w:type="dxa"/>
            <w:vMerge/>
          </w:tcPr>
          <w:p w14:paraId="39A4498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rPr>
            </w:pPr>
          </w:p>
        </w:tc>
      </w:tr>
    </w:tbl>
    <w:p w14:paraId="062E0D66" w14:textId="2FC4AC3E" w:rsidR="006F0C28" w:rsidRDefault="006F0C28" w:rsidP="00A3732C">
      <w:pPr>
        <w:spacing w:line="276" w:lineRule="auto"/>
        <w:jc w:val="both"/>
        <w:rPr>
          <w:rFonts w:asciiTheme="minorHAnsi" w:eastAsia="Calibri" w:hAnsiTheme="minorHAnsi" w:cstheme="minorHAnsi"/>
        </w:rPr>
      </w:pPr>
    </w:p>
    <w:p w14:paraId="58F82E1D" w14:textId="77777777" w:rsidR="006F0C28" w:rsidRPr="00285D58" w:rsidRDefault="006F0C28" w:rsidP="008D1FFF">
      <w:pPr>
        <w:spacing w:line="276" w:lineRule="auto"/>
        <w:ind w:firstLine="567"/>
        <w:jc w:val="both"/>
        <w:rPr>
          <w:rFonts w:asciiTheme="minorHAnsi" w:eastAsia="Calibri" w:hAnsiTheme="minorHAnsi" w:cstheme="minorHAnsi"/>
        </w:rPr>
      </w:pPr>
    </w:p>
    <w:p w14:paraId="723405C7" w14:textId="137DF2D2"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11</w:t>
      </w:r>
      <w:r w:rsidR="00F20B19" w:rsidRPr="00285D58">
        <w:rPr>
          <w:rFonts w:asciiTheme="minorHAnsi" w:hAnsiTheme="minorHAnsi" w:cstheme="minorHAnsi"/>
          <w:noProof/>
        </w:rPr>
        <w:fldChar w:fldCharType="end"/>
      </w:r>
      <w:r w:rsidRPr="00285D58">
        <w:rPr>
          <w:rFonts w:asciiTheme="minorHAnsi" w:hAnsiTheme="minorHAnsi" w:cstheme="minorHAnsi"/>
        </w:rPr>
        <w:t>. ubicación DE LOS TELEFÉRICOS NORTE</w:t>
      </w:r>
    </w:p>
    <w:p w14:paraId="00CF7031" w14:textId="310FA985" w:rsidR="006F0C28" w:rsidRDefault="006F0C28" w:rsidP="008D1FFF">
      <w:pPr>
        <w:spacing w:line="276" w:lineRule="auto"/>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23"/>
        <w:gridCol w:w="1424"/>
        <w:gridCol w:w="1559"/>
        <w:gridCol w:w="1276"/>
      </w:tblGrid>
      <w:tr w:rsidR="006F0C28" w:rsidRPr="00285D58" w14:paraId="0D1FD566" w14:textId="77777777" w:rsidTr="00BB5F42">
        <w:trPr>
          <w:trHeight w:val="262"/>
          <w:jc w:val="center"/>
        </w:trPr>
        <w:tc>
          <w:tcPr>
            <w:tcW w:w="5382" w:type="dxa"/>
            <w:gridSpan w:val="4"/>
            <w:shd w:val="clear" w:color="auto" w:fill="E7E6E6" w:themeFill="background2"/>
          </w:tcPr>
          <w:p w14:paraId="16030692"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1</w:t>
            </w:r>
          </w:p>
        </w:tc>
      </w:tr>
      <w:tr w:rsidR="006F0C28" w:rsidRPr="00285D58" w14:paraId="582BF6F6" w14:textId="77777777" w:rsidTr="00BB5F42">
        <w:trPr>
          <w:trHeight w:val="262"/>
          <w:jc w:val="center"/>
        </w:trPr>
        <w:tc>
          <w:tcPr>
            <w:tcW w:w="5382" w:type="dxa"/>
            <w:gridSpan w:val="4"/>
            <w:shd w:val="clear" w:color="auto" w:fill="E7E6E6" w:themeFill="background2"/>
          </w:tcPr>
          <w:p w14:paraId="194A730A"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 Abra San Juan</w:t>
            </w:r>
          </w:p>
        </w:tc>
      </w:tr>
      <w:tr w:rsidR="00EF6AB5" w:rsidRPr="00285D58" w14:paraId="040016DC" w14:textId="77777777" w:rsidTr="00EF6AB5">
        <w:trPr>
          <w:trHeight w:val="330"/>
          <w:jc w:val="center"/>
        </w:trPr>
        <w:tc>
          <w:tcPr>
            <w:tcW w:w="1123" w:type="dxa"/>
            <w:shd w:val="clear" w:color="auto" w:fill="E7E6E6" w:themeFill="background2"/>
          </w:tcPr>
          <w:p w14:paraId="29AE1B47" w14:textId="77777777" w:rsidR="006F0C28" w:rsidRPr="00285D58" w:rsidRDefault="006F0C28" w:rsidP="00FB01D4">
            <w:pPr>
              <w:spacing w:line="276" w:lineRule="auto"/>
              <w:ind w:firstLine="567"/>
              <w:jc w:val="center"/>
              <w:rPr>
                <w:rFonts w:asciiTheme="minorHAnsi" w:eastAsia="Calibri" w:hAnsiTheme="minorHAnsi" w:cstheme="minorHAnsi"/>
                <w:sz w:val="20"/>
                <w:szCs w:val="20"/>
              </w:rPr>
            </w:pPr>
          </w:p>
        </w:tc>
        <w:tc>
          <w:tcPr>
            <w:tcW w:w="1424" w:type="dxa"/>
            <w:shd w:val="clear" w:color="auto" w:fill="E7E6E6" w:themeFill="background2"/>
          </w:tcPr>
          <w:p w14:paraId="17593974"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559" w:type="dxa"/>
            <w:shd w:val="clear" w:color="auto" w:fill="E7E6E6" w:themeFill="background2"/>
          </w:tcPr>
          <w:p w14:paraId="54FDD5A1"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6" w:type="dxa"/>
            <w:shd w:val="clear" w:color="auto" w:fill="E7E6E6" w:themeFill="background2"/>
          </w:tcPr>
          <w:p w14:paraId="28F96E10"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5B48DA10" w14:textId="77777777" w:rsidTr="00EF6AB5">
        <w:trPr>
          <w:trHeight w:val="287"/>
          <w:jc w:val="center"/>
        </w:trPr>
        <w:tc>
          <w:tcPr>
            <w:tcW w:w="1123" w:type="dxa"/>
          </w:tcPr>
          <w:p w14:paraId="1279AE7F"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24" w:type="dxa"/>
            <w:vAlign w:val="bottom"/>
          </w:tcPr>
          <w:p w14:paraId="6127F6EE" w14:textId="7288FBDD"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731309.9988</w:t>
            </w:r>
          </w:p>
        </w:tc>
        <w:tc>
          <w:tcPr>
            <w:tcW w:w="1559" w:type="dxa"/>
            <w:vAlign w:val="bottom"/>
          </w:tcPr>
          <w:p w14:paraId="5538FC86" w14:textId="244DC778"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8525054.1138</w:t>
            </w:r>
          </w:p>
        </w:tc>
        <w:tc>
          <w:tcPr>
            <w:tcW w:w="1276" w:type="dxa"/>
            <w:vMerge w:val="restart"/>
          </w:tcPr>
          <w:p w14:paraId="063C8862"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4.075,0 m</w:t>
            </w:r>
          </w:p>
        </w:tc>
      </w:tr>
      <w:tr w:rsidR="00EF6AB5" w:rsidRPr="00285D58" w14:paraId="005EEBD0" w14:textId="77777777" w:rsidTr="00EF6AB5">
        <w:trPr>
          <w:trHeight w:val="287"/>
          <w:jc w:val="center"/>
        </w:trPr>
        <w:tc>
          <w:tcPr>
            <w:tcW w:w="1123" w:type="dxa"/>
          </w:tcPr>
          <w:p w14:paraId="14E27613"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24" w:type="dxa"/>
            <w:vAlign w:val="bottom"/>
          </w:tcPr>
          <w:p w14:paraId="4ED87DB6" w14:textId="6EAEB6B6"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731168.4404</w:t>
            </w:r>
          </w:p>
        </w:tc>
        <w:tc>
          <w:tcPr>
            <w:tcW w:w="1559" w:type="dxa"/>
            <w:vAlign w:val="bottom"/>
          </w:tcPr>
          <w:p w14:paraId="625B7B8B" w14:textId="1C510183"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8525003.3959</w:t>
            </w:r>
          </w:p>
        </w:tc>
        <w:tc>
          <w:tcPr>
            <w:tcW w:w="1276" w:type="dxa"/>
            <w:vMerge/>
          </w:tcPr>
          <w:p w14:paraId="6A9F67D3"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1B0F8647" w14:textId="77777777" w:rsidTr="00EF6AB5">
        <w:trPr>
          <w:trHeight w:val="305"/>
          <w:jc w:val="center"/>
        </w:trPr>
        <w:tc>
          <w:tcPr>
            <w:tcW w:w="1123" w:type="dxa"/>
          </w:tcPr>
          <w:p w14:paraId="54893C17"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24" w:type="dxa"/>
            <w:vAlign w:val="bottom"/>
          </w:tcPr>
          <w:p w14:paraId="2FD31AAB" w14:textId="0DFC02BC"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731105.7425</w:t>
            </w:r>
          </w:p>
        </w:tc>
        <w:tc>
          <w:tcPr>
            <w:tcW w:w="1559" w:type="dxa"/>
            <w:vAlign w:val="bottom"/>
          </w:tcPr>
          <w:p w14:paraId="50B2F1F4" w14:textId="115DE821"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8525060.7890</w:t>
            </w:r>
          </w:p>
        </w:tc>
        <w:tc>
          <w:tcPr>
            <w:tcW w:w="1276" w:type="dxa"/>
            <w:vMerge/>
          </w:tcPr>
          <w:p w14:paraId="7BF903B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0BF553CE" w14:textId="77777777" w:rsidTr="00EF6AB5">
        <w:trPr>
          <w:trHeight w:val="305"/>
          <w:jc w:val="center"/>
        </w:trPr>
        <w:tc>
          <w:tcPr>
            <w:tcW w:w="1123" w:type="dxa"/>
          </w:tcPr>
          <w:p w14:paraId="3D9F17B4"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24" w:type="dxa"/>
            <w:vAlign w:val="bottom"/>
          </w:tcPr>
          <w:p w14:paraId="1B5D19ED" w14:textId="1FAF4CE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731145.4737</w:t>
            </w:r>
          </w:p>
        </w:tc>
        <w:tc>
          <w:tcPr>
            <w:tcW w:w="1559" w:type="dxa"/>
            <w:vAlign w:val="bottom"/>
          </w:tcPr>
          <w:p w14:paraId="5DB86227" w14:textId="76B3E4BA"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8525103.3387</w:t>
            </w:r>
          </w:p>
        </w:tc>
        <w:tc>
          <w:tcPr>
            <w:tcW w:w="1276" w:type="dxa"/>
            <w:vMerge/>
          </w:tcPr>
          <w:p w14:paraId="059A4FD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FD25C52" w14:textId="77777777" w:rsidTr="00EF6AB5">
        <w:trPr>
          <w:trHeight w:val="305"/>
          <w:jc w:val="center"/>
        </w:trPr>
        <w:tc>
          <w:tcPr>
            <w:tcW w:w="1123" w:type="dxa"/>
          </w:tcPr>
          <w:p w14:paraId="5D9CCCD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5</w:t>
            </w:r>
          </w:p>
        </w:tc>
        <w:tc>
          <w:tcPr>
            <w:tcW w:w="1424" w:type="dxa"/>
            <w:vAlign w:val="bottom"/>
          </w:tcPr>
          <w:p w14:paraId="636C41FA" w14:textId="297B9B92"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731155.1230</w:t>
            </w:r>
          </w:p>
        </w:tc>
        <w:tc>
          <w:tcPr>
            <w:tcW w:w="1559" w:type="dxa"/>
            <w:vAlign w:val="bottom"/>
          </w:tcPr>
          <w:p w14:paraId="4B2C1226" w14:textId="1551608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8525102.0208</w:t>
            </w:r>
          </w:p>
        </w:tc>
        <w:tc>
          <w:tcPr>
            <w:tcW w:w="1276" w:type="dxa"/>
            <w:vMerge/>
          </w:tcPr>
          <w:p w14:paraId="74C11F15"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4333C8D2" w14:textId="77777777" w:rsidTr="00EF6AB5">
        <w:trPr>
          <w:trHeight w:val="305"/>
          <w:jc w:val="center"/>
        </w:trPr>
        <w:tc>
          <w:tcPr>
            <w:tcW w:w="1123" w:type="dxa"/>
          </w:tcPr>
          <w:p w14:paraId="342C7AA6"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6</w:t>
            </w:r>
          </w:p>
        </w:tc>
        <w:tc>
          <w:tcPr>
            <w:tcW w:w="1424" w:type="dxa"/>
            <w:vAlign w:val="bottom"/>
          </w:tcPr>
          <w:p w14:paraId="296A0960" w14:textId="3ED8589C"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731167.3631</w:t>
            </w:r>
          </w:p>
        </w:tc>
        <w:tc>
          <w:tcPr>
            <w:tcW w:w="1559" w:type="dxa"/>
            <w:vAlign w:val="bottom"/>
          </w:tcPr>
          <w:p w14:paraId="63F65DE5" w14:textId="0DC3BF68"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8525107.2806</w:t>
            </w:r>
          </w:p>
        </w:tc>
        <w:tc>
          <w:tcPr>
            <w:tcW w:w="1276" w:type="dxa"/>
            <w:vMerge/>
          </w:tcPr>
          <w:p w14:paraId="7D7D18F7"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90C408B" w14:textId="77777777" w:rsidTr="00EF6AB5">
        <w:trPr>
          <w:trHeight w:val="305"/>
          <w:jc w:val="center"/>
        </w:trPr>
        <w:tc>
          <w:tcPr>
            <w:tcW w:w="1123" w:type="dxa"/>
          </w:tcPr>
          <w:p w14:paraId="34ABFB54"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lastRenderedPageBreak/>
              <w:t>Vértice 7</w:t>
            </w:r>
          </w:p>
        </w:tc>
        <w:tc>
          <w:tcPr>
            <w:tcW w:w="1424" w:type="dxa"/>
            <w:vAlign w:val="bottom"/>
          </w:tcPr>
          <w:p w14:paraId="44D59397" w14:textId="7CE6DAA0"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731175.3972</w:t>
            </w:r>
          </w:p>
        </w:tc>
        <w:tc>
          <w:tcPr>
            <w:tcW w:w="1559" w:type="dxa"/>
            <w:vAlign w:val="bottom"/>
          </w:tcPr>
          <w:p w14:paraId="508BEC09" w14:textId="097A1E23"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8525139.2123</w:t>
            </w:r>
          </w:p>
        </w:tc>
        <w:tc>
          <w:tcPr>
            <w:tcW w:w="1276" w:type="dxa"/>
            <w:vMerge/>
          </w:tcPr>
          <w:p w14:paraId="22EAE97E"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7182D665" w14:textId="77777777" w:rsidTr="00EF6AB5">
        <w:trPr>
          <w:trHeight w:val="305"/>
          <w:jc w:val="center"/>
        </w:trPr>
        <w:tc>
          <w:tcPr>
            <w:tcW w:w="1123" w:type="dxa"/>
          </w:tcPr>
          <w:p w14:paraId="5614F00F"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8</w:t>
            </w:r>
          </w:p>
        </w:tc>
        <w:tc>
          <w:tcPr>
            <w:tcW w:w="1424" w:type="dxa"/>
            <w:vAlign w:val="bottom"/>
          </w:tcPr>
          <w:p w14:paraId="7C4A47F0" w14:textId="151F6664"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731205.2210</w:t>
            </w:r>
          </w:p>
        </w:tc>
        <w:tc>
          <w:tcPr>
            <w:tcW w:w="1559" w:type="dxa"/>
            <w:vAlign w:val="bottom"/>
          </w:tcPr>
          <w:p w14:paraId="48B6AFE2" w14:textId="6E90D4D9"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8525144.4406</w:t>
            </w:r>
          </w:p>
        </w:tc>
        <w:tc>
          <w:tcPr>
            <w:tcW w:w="1276" w:type="dxa"/>
            <w:vMerge/>
          </w:tcPr>
          <w:p w14:paraId="238647F2"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041773CF" w14:textId="77777777" w:rsidTr="00EF6AB5">
        <w:trPr>
          <w:trHeight w:val="305"/>
          <w:jc w:val="center"/>
        </w:trPr>
        <w:tc>
          <w:tcPr>
            <w:tcW w:w="1123" w:type="dxa"/>
          </w:tcPr>
          <w:p w14:paraId="4367C578"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9</w:t>
            </w:r>
          </w:p>
        </w:tc>
        <w:tc>
          <w:tcPr>
            <w:tcW w:w="1424" w:type="dxa"/>
            <w:vAlign w:val="bottom"/>
          </w:tcPr>
          <w:p w14:paraId="7F0F7245" w14:textId="2547E7BE"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731306.5457</w:t>
            </w:r>
          </w:p>
        </w:tc>
        <w:tc>
          <w:tcPr>
            <w:tcW w:w="1559" w:type="dxa"/>
            <w:vAlign w:val="bottom"/>
          </w:tcPr>
          <w:p w14:paraId="0E9FAD91" w14:textId="4B4E67A5" w:rsidR="00EF6AB5" w:rsidRPr="00285D58" w:rsidRDefault="00EF6AB5" w:rsidP="00EF6AB5">
            <w:pPr>
              <w:spacing w:line="276" w:lineRule="auto"/>
              <w:jc w:val="both"/>
              <w:rPr>
                <w:rFonts w:asciiTheme="minorHAnsi" w:eastAsia="Calibri" w:hAnsiTheme="minorHAnsi" w:cstheme="minorHAnsi"/>
                <w:sz w:val="20"/>
                <w:szCs w:val="20"/>
              </w:rPr>
            </w:pPr>
            <w:r w:rsidRPr="00FA1DCF">
              <w:rPr>
                <w:rFonts w:ascii="Calibri" w:eastAsia="Calibri" w:hAnsi="Calibri" w:cs="Calibri"/>
                <w:color w:val="000000"/>
              </w:rPr>
              <w:t>8525121.4901</w:t>
            </w:r>
          </w:p>
        </w:tc>
        <w:tc>
          <w:tcPr>
            <w:tcW w:w="1276" w:type="dxa"/>
            <w:vMerge/>
          </w:tcPr>
          <w:p w14:paraId="1ED247C1"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40E7231E" w14:textId="3A07D17E" w:rsidR="006F0C28" w:rsidRDefault="006F0C28" w:rsidP="008D1FFF">
      <w:pPr>
        <w:spacing w:line="276" w:lineRule="auto"/>
        <w:jc w:val="both"/>
        <w:rPr>
          <w:rFonts w:asciiTheme="minorHAnsi" w:eastAsia="Calibri" w:hAnsiTheme="minorHAnsi" w:cstheme="minorHAnsi"/>
        </w:rPr>
      </w:pPr>
    </w:p>
    <w:p w14:paraId="58FC8F5C" w14:textId="6C14AC4A" w:rsidR="006F0C28" w:rsidRDefault="006F0C28" w:rsidP="008D1FFF">
      <w:pPr>
        <w:spacing w:line="276" w:lineRule="auto"/>
        <w:jc w:val="both"/>
        <w:rPr>
          <w:rFonts w:asciiTheme="minorHAnsi" w:eastAsia="Calibri" w:hAnsiTheme="minorHAnsi" w:cstheme="minorHAnsi"/>
        </w:rPr>
      </w:pPr>
    </w:p>
    <w:tbl>
      <w:tblPr>
        <w:tblW w:w="5387"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35"/>
        <w:gridCol w:w="1417"/>
        <w:gridCol w:w="1560"/>
        <w:gridCol w:w="1275"/>
      </w:tblGrid>
      <w:tr w:rsidR="006F0C28" w:rsidRPr="00285D58" w14:paraId="02478327" w14:textId="77777777" w:rsidTr="00BB5F42">
        <w:trPr>
          <w:trHeight w:val="262"/>
          <w:jc w:val="center"/>
        </w:trPr>
        <w:tc>
          <w:tcPr>
            <w:tcW w:w="5387" w:type="dxa"/>
            <w:gridSpan w:val="4"/>
            <w:shd w:val="clear" w:color="auto" w:fill="E7E6E6" w:themeFill="background2"/>
          </w:tcPr>
          <w:p w14:paraId="757E1DBB"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2</w:t>
            </w:r>
          </w:p>
        </w:tc>
      </w:tr>
      <w:tr w:rsidR="006F0C28" w:rsidRPr="00285D58" w14:paraId="02CE77BA" w14:textId="77777777" w:rsidTr="00BB5F42">
        <w:trPr>
          <w:trHeight w:val="262"/>
          <w:jc w:val="center"/>
        </w:trPr>
        <w:tc>
          <w:tcPr>
            <w:tcW w:w="5387" w:type="dxa"/>
            <w:gridSpan w:val="4"/>
            <w:shd w:val="clear" w:color="auto" w:fill="E7E6E6" w:themeFill="background2"/>
          </w:tcPr>
          <w:p w14:paraId="0C7F1828" w14:textId="77777777" w:rsidR="006F0C28" w:rsidRPr="00285D58" w:rsidRDefault="006F0C28" w:rsidP="00FB01D4">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 Maizal</w:t>
            </w:r>
          </w:p>
        </w:tc>
      </w:tr>
      <w:tr w:rsidR="00EF6AB5" w:rsidRPr="00285D58" w14:paraId="3B0B59C4" w14:textId="77777777" w:rsidTr="00BB5F42">
        <w:trPr>
          <w:trHeight w:val="330"/>
          <w:jc w:val="center"/>
        </w:trPr>
        <w:tc>
          <w:tcPr>
            <w:tcW w:w="1135" w:type="dxa"/>
            <w:shd w:val="clear" w:color="auto" w:fill="E7E6E6" w:themeFill="background2"/>
          </w:tcPr>
          <w:p w14:paraId="45D3BFBA" w14:textId="77777777" w:rsidR="006F0C28" w:rsidRPr="00285D58" w:rsidRDefault="006F0C28" w:rsidP="00FB01D4">
            <w:pPr>
              <w:spacing w:line="276" w:lineRule="auto"/>
              <w:ind w:firstLine="567"/>
              <w:jc w:val="center"/>
              <w:rPr>
                <w:rFonts w:asciiTheme="minorHAnsi" w:eastAsia="Calibri" w:hAnsiTheme="minorHAnsi" w:cstheme="minorHAnsi"/>
                <w:sz w:val="20"/>
                <w:szCs w:val="20"/>
              </w:rPr>
            </w:pPr>
          </w:p>
        </w:tc>
        <w:tc>
          <w:tcPr>
            <w:tcW w:w="1417" w:type="dxa"/>
            <w:shd w:val="clear" w:color="auto" w:fill="E7E6E6" w:themeFill="background2"/>
          </w:tcPr>
          <w:p w14:paraId="676F10C0"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560" w:type="dxa"/>
            <w:shd w:val="clear" w:color="auto" w:fill="E7E6E6" w:themeFill="background2"/>
          </w:tcPr>
          <w:p w14:paraId="2AE278F5"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5" w:type="dxa"/>
            <w:shd w:val="clear" w:color="auto" w:fill="E7E6E6" w:themeFill="background2"/>
          </w:tcPr>
          <w:p w14:paraId="4D47155C" w14:textId="77777777" w:rsidR="006F0C28" w:rsidRPr="00285D58" w:rsidRDefault="006F0C28" w:rsidP="00FB01D4">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601A5D2E" w14:textId="77777777" w:rsidTr="00BB5F42">
        <w:trPr>
          <w:trHeight w:val="287"/>
          <w:jc w:val="center"/>
        </w:trPr>
        <w:tc>
          <w:tcPr>
            <w:tcW w:w="1135" w:type="dxa"/>
          </w:tcPr>
          <w:p w14:paraId="3D7F8AE5"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17" w:type="dxa"/>
            <w:vAlign w:val="bottom"/>
          </w:tcPr>
          <w:p w14:paraId="61005319" w14:textId="4D95FD21"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729461.3264</w:t>
            </w:r>
          </w:p>
        </w:tc>
        <w:tc>
          <w:tcPr>
            <w:tcW w:w="1560" w:type="dxa"/>
            <w:vAlign w:val="bottom"/>
          </w:tcPr>
          <w:p w14:paraId="6480D31A" w14:textId="00320518"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8523081.9535</w:t>
            </w:r>
          </w:p>
        </w:tc>
        <w:tc>
          <w:tcPr>
            <w:tcW w:w="1275" w:type="dxa"/>
            <w:vMerge w:val="restart"/>
          </w:tcPr>
          <w:p w14:paraId="3D2F714D"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2.901,0 m</w:t>
            </w:r>
          </w:p>
        </w:tc>
      </w:tr>
      <w:tr w:rsidR="00EF6AB5" w:rsidRPr="00285D58" w14:paraId="13AD15F9" w14:textId="77777777" w:rsidTr="00BB5F42">
        <w:trPr>
          <w:trHeight w:val="287"/>
          <w:jc w:val="center"/>
        </w:trPr>
        <w:tc>
          <w:tcPr>
            <w:tcW w:w="1135" w:type="dxa"/>
          </w:tcPr>
          <w:p w14:paraId="6E758F1D"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17" w:type="dxa"/>
            <w:vAlign w:val="bottom"/>
          </w:tcPr>
          <w:p w14:paraId="2F0050D5" w14:textId="2B86B59B"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729353.7658</w:t>
            </w:r>
          </w:p>
        </w:tc>
        <w:tc>
          <w:tcPr>
            <w:tcW w:w="1560" w:type="dxa"/>
            <w:vAlign w:val="bottom"/>
          </w:tcPr>
          <w:p w14:paraId="3A29DA9D" w14:textId="7BAFE1DD"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8523058.9162</w:t>
            </w:r>
          </w:p>
        </w:tc>
        <w:tc>
          <w:tcPr>
            <w:tcW w:w="1275" w:type="dxa"/>
            <w:vMerge/>
          </w:tcPr>
          <w:p w14:paraId="72B48DB4"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3F346CD5" w14:textId="77777777" w:rsidTr="00BB5F42">
        <w:trPr>
          <w:trHeight w:val="305"/>
          <w:jc w:val="center"/>
        </w:trPr>
        <w:tc>
          <w:tcPr>
            <w:tcW w:w="1135" w:type="dxa"/>
          </w:tcPr>
          <w:p w14:paraId="7230B45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17" w:type="dxa"/>
            <w:vAlign w:val="bottom"/>
          </w:tcPr>
          <w:p w14:paraId="51845BDB" w14:textId="274CEA62"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729322.3513</w:t>
            </w:r>
          </w:p>
        </w:tc>
        <w:tc>
          <w:tcPr>
            <w:tcW w:w="1560" w:type="dxa"/>
            <w:vAlign w:val="bottom"/>
          </w:tcPr>
          <w:p w14:paraId="5DC4B500" w14:textId="448620A1"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8523205.5898</w:t>
            </w:r>
          </w:p>
        </w:tc>
        <w:tc>
          <w:tcPr>
            <w:tcW w:w="1275" w:type="dxa"/>
            <w:vMerge/>
          </w:tcPr>
          <w:p w14:paraId="5E60B609"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2D304F50" w14:textId="77777777" w:rsidTr="00BB5F42">
        <w:trPr>
          <w:trHeight w:val="305"/>
          <w:jc w:val="center"/>
        </w:trPr>
        <w:tc>
          <w:tcPr>
            <w:tcW w:w="1135" w:type="dxa"/>
          </w:tcPr>
          <w:p w14:paraId="594000FE" w14:textId="77777777" w:rsidR="00EF6AB5" w:rsidRPr="00285D58" w:rsidRDefault="00EF6AB5" w:rsidP="00EF6AB5">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17" w:type="dxa"/>
            <w:tcBorders>
              <w:bottom w:val="single" w:sz="4" w:space="0" w:color="BDD7EE"/>
            </w:tcBorders>
            <w:vAlign w:val="bottom"/>
          </w:tcPr>
          <w:p w14:paraId="0772F368" w14:textId="26150B64"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729429.9119</w:t>
            </w:r>
          </w:p>
        </w:tc>
        <w:tc>
          <w:tcPr>
            <w:tcW w:w="1560" w:type="dxa"/>
            <w:tcBorders>
              <w:bottom w:val="single" w:sz="4" w:space="0" w:color="BDD7EE"/>
            </w:tcBorders>
            <w:vAlign w:val="bottom"/>
          </w:tcPr>
          <w:p w14:paraId="5FF09C2B" w14:textId="366E3446" w:rsidR="00EF6AB5" w:rsidRPr="00285D58" w:rsidRDefault="00EF6AB5" w:rsidP="00EF6AB5">
            <w:pPr>
              <w:spacing w:line="276" w:lineRule="auto"/>
              <w:jc w:val="both"/>
              <w:rPr>
                <w:rFonts w:asciiTheme="minorHAnsi" w:eastAsia="Calibri" w:hAnsiTheme="minorHAnsi" w:cstheme="minorHAnsi"/>
                <w:sz w:val="20"/>
                <w:szCs w:val="20"/>
              </w:rPr>
            </w:pPr>
            <w:r w:rsidRPr="00E2568A">
              <w:rPr>
                <w:rFonts w:ascii="Calibri" w:eastAsia="Calibri" w:hAnsi="Calibri" w:cs="Calibri"/>
                <w:color w:val="000000"/>
              </w:rPr>
              <w:t>8523228.6271</w:t>
            </w:r>
          </w:p>
        </w:tc>
        <w:tc>
          <w:tcPr>
            <w:tcW w:w="1275" w:type="dxa"/>
            <w:vMerge/>
          </w:tcPr>
          <w:p w14:paraId="2CA41116" w14:textId="77777777" w:rsidR="00EF6AB5" w:rsidRPr="00285D58" w:rsidRDefault="00EF6AB5" w:rsidP="00EF6AB5">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702273FD" w14:textId="74C89A55" w:rsidR="006F0C28" w:rsidRDefault="006F0C28" w:rsidP="008D1FFF">
      <w:pPr>
        <w:spacing w:line="276" w:lineRule="auto"/>
        <w:jc w:val="both"/>
        <w:rPr>
          <w:rFonts w:asciiTheme="minorHAnsi" w:eastAsia="Calibri" w:hAnsiTheme="minorHAnsi" w:cstheme="minorHAnsi"/>
        </w:rPr>
      </w:pPr>
    </w:p>
    <w:p w14:paraId="43086549" w14:textId="0050008A" w:rsidR="006F0C28" w:rsidRDefault="006F0C28" w:rsidP="008D1FFF">
      <w:pPr>
        <w:spacing w:line="276" w:lineRule="auto"/>
        <w:jc w:val="both"/>
        <w:rPr>
          <w:rFonts w:asciiTheme="minorHAnsi" w:eastAsia="Calibri" w:hAnsiTheme="minorHAnsi" w:cstheme="minorHAnsi"/>
        </w:rPr>
      </w:pPr>
    </w:p>
    <w:p w14:paraId="18316A14" w14:textId="77777777" w:rsidR="006F0C28" w:rsidRDefault="006F0C28" w:rsidP="008D1FFF">
      <w:pPr>
        <w:spacing w:line="276" w:lineRule="auto"/>
        <w:jc w:val="both"/>
        <w:rPr>
          <w:rFonts w:asciiTheme="minorHAnsi" w:eastAsia="Calibri" w:hAnsiTheme="minorHAnsi" w:cstheme="minorHAnsi"/>
        </w:rPr>
      </w:pPr>
    </w:p>
    <w:tbl>
      <w:tblPr>
        <w:tblW w:w="538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271"/>
        <w:gridCol w:w="1418"/>
        <w:gridCol w:w="1417"/>
        <w:gridCol w:w="1276"/>
      </w:tblGrid>
      <w:tr w:rsidR="006F0C28" w:rsidRPr="00285D58" w14:paraId="3B487AAB" w14:textId="77777777" w:rsidTr="00BB5F42">
        <w:trPr>
          <w:trHeight w:val="262"/>
          <w:jc w:val="center"/>
        </w:trPr>
        <w:tc>
          <w:tcPr>
            <w:tcW w:w="5382" w:type="dxa"/>
            <w:gridSpan w:val="4"/>
            <w:shd w:val="clear" w:color="auto" w:fill="E7E6E6" w:themeFill="background2"/>
          </w:tcPr>
          <w:p w14:paraId="59F586FD" w14:textId="7583201D" w:rsidR="006F0C28" w:rsidRPr="00285D58" w:rsidRDefault="006F0C28" w:rsidP="006F0C28">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Teleférico “norte”, sección 2</w:t>
            </w:r>
          </w:p>
        </w:tc>
      </w:tr>
      <w:tr w:rsidR="006F0C28" w:rsidRPr="00285D58" w14:paraId="50731C08" w14:textId="77777777" w:rsidTr="00BB5F42">
        <w:trPr>
          <w:trHeight w:val="262"/>
          <w:jc w:val="center"/>
        </w:trPr>
        <w:tc>
          <w:tcPr>
            <w:tcW w:w="5382" w:type="dxa"/>
            <w:gridSpan w:val="4"/>
            <w:shd w:val="clear" w:color="auto" w:fill="E7E6E6" w:themeFill="background2"/>
          </w:tcPr>
          <w:p w14:paraId="4C1B5AB1" w14:textId="304979E2" w:rsidR="006F0C28" w:rsidRPr="00285D58" w:rsidRDefault="006F0C28" w:rsidP="006F0C28">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Estación</w:t>
            </w:r>
            <w:r w:rsidR="00EF6AB5">
              <w:rPr>
                <w:rFonts w:asciiTheme="minorHAnsi" w:eastAsia="Calibri" w:hAnsiTheme="minorHAnsi" w:cstheme="minorHAnsi"/>
                <w:b/>
                <w:bCs/>
                <w:sz w:val="20"/>
                <w:szCs w:val="20"/>
              </w:rPr>
              <w:t xml:space="preserve"> Abra</w:t>
            </w:r>
            <w:r w:rsidRPr="00285D58">
              <w:rPr>
                <w:rFonts w:asciiTheme="minorHAnsi" w:eastAsia="Calibri" w:hAnsiTheme="minorHAnsi" w:cstheme="minorHAnsi"/>
                <w:b/>
                <w:bCs/>
                <w:sz w:val="20"/>
                <w:szCs w:val="20"/>
              </w:rPr>
              <w:t xml:space="preserve"> Choquequirao “cumbre”</w:t>
            </w:r>
          </w:p>
        </w:tc>
      </w:tr>
      <w:tr w:rsidR="00EF6AB5" w:rsidRPr="00285D58" w14:paraId="0D50A0B9" w14:textId="77777777" w:rsidTr="00BB5F42">
        <w:trPr>
          <w:trHeight w:val="330"/>
          <w:jc w:val="center"/>
        </w:trPr>
        <w:tc>
          <w:tcPr>
            <w:tcW w:w="1271" w:type="dxa"/>
            <w:shd w:val="clear" w:color="auto" w:fill="E7E6E6" w:themeFill="background2"/>
          </w:tcPr>
          <w:p w14:paraId="6B073E10" w14:textId="77777777" w:rsidR="006F0C28" w:rsidRPr="00285D58" w:rsidRDefault="006F0C28" w:rsidP="006F0C28">
            <w:pPr>
              <w:spacing w:line="276" w:lineRule="auto"/>
              <w:ind w:firstLine="567"/>
              <w:jc w:val="center"/>
              <w:rPr>
                <w:rFonts w:asciiTheme="minorHAnsi" w:eastAsia="Calibri" w:hAnsiTheme="minorHAnsi" w:cstheme="minorHAnsi"/>
                <w:sz w:val="20"/>
                <w:szCs w:val="20"/>
              </w:rPr>
            </w:pPr>
          </w:p>
        </w:tc>
        <w:tc>
          <w:tcPr>
            <w:tcW w:w="1418" w:type="dxa"/>
            <w:shd w:val="clear" w:color="auto" w:fill="E7E6E6" w:themeFill="background2"/>
          </w:tcPr>
          <w:p w14:paraId="0FE4DFE1"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X</w:t>
            </w:r>
          </w:p>
        </w:tc>
        <w:tc>
          <w:tcPr>
            <w:tcW w:w="1417" w:type="dxa"/>
            <w:shd w:val="clear" w:color="auto" w:fill="E7E6E6" w:themeFill="background2"/>
          </w:tcPr>
          <w:p w14:paraId="5A6D7C26"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Y</w:t>
            </w:r>
          </w:p>
        </w:tc>
        <w:tc>
          <w:tcPr>
            <w:tcW w:w="1276" w:type="dxa"/>
            <w:shd w:val="clear" w:color="auto" w:fill="E7E6E6" w:themeFill="background2"/>
          </w:tcPr>
          <w:p w14:paraId="3540AD99" w14:textId="77777777" w:rsidR="006F0C28" w:rsidRPr="00285D58" w:rsidRDefault="006F0C28" w:rsidP="006F0C28">
            <w:pPr>
              <w:spacing w:line="276" w:lineRule="auto"/>
              <w:jc w:val="center"/>
              <w:rPr>
                <w:rFonts w:asciiTheme="minorHAnsi" w:eastAsia="Calibri" w:hAnsiTheme="minorHAnsi" w:cstheme="minorHAnsi"/>
                <w:b/>
                <w:sz w:val="20"/>
                <w:szCs w:val="20"/>
              </w:rPr>
            </w:pPr>
            <w:r w:rsidRPr="00285D58">
              <w:rPr>
                <w:rFonts w:asciiTheme="minorHAnsi" w:eastAsia="Calibri" w:hAnsiTheme="minorHAnsi" w:cstheme="minorHAnsi"/>
                <w:b/>
                <w:sz w:val="20"/>
                <w:szCs w:val="20"/>
              </w:rPr>
              <w:t>Z</w:t>
            </w:r>
          </w:p>
        </w:tc>
      </w:tr>
      <w:tr w:rsidR="00EF6AB5" w:rsidRPr="00285D58" w14:paraId="7DD0D4B0" w14:textId="77777777" w:rsidTr="00BB5F42">
        <w:trPr>
          <w:trHeight w:val="287"/>
          <w:jc w:val="center"/>
        </w:trPr>
        <w:tc>
          <w:tcPr>
            <w:tcW w:w="1271" w:type="dxa"/>
          </w:tcPr>
          <w:p w14:paraId="6932A063"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1</w:t>
            </w:r>
          </w:p>
        </w:tc>
        <w:tc>
          <w:tcPr>
            <w:tcW w:w="1418" w:type="dxa"/>
            <w:vAlign w:val="bottom"/>
          </w:tcPr>
          <w:p w14:paraId="563FE53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730257.32</w:t>
            </w:r>
          </w:p>
        </w:tc>
        <w:tc>
          <w:tcPr>
            <w:tcW w:w="1417" w:type="dxa"/>
            <w:vAlign w:val="bottom"/>
          </w:tcPr>
          <w:p w14:paraId="6C49FE85"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8519297.12</w:t>
            </w:r>
          </w:p>
        </w:tc>
        <w:tc>
          <w:tcPr>
            <w:tcW w:w="1276" w:type="dxa"/>
            <w:vMerge w:val="restart"/>
          </w:tcPr>
          <w:p w14:paraId="6DB61858"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3.517,0 m</w:t>
            </w:r>
          </w:p>
        </w:tc>
      </w:tr>
      <w:tr w:rsidR="00EF6AB5" w:rsidRPr="00285D58" w14:paraId="3E422961" w14:textId="77777777" w:rsidTr="00BB5F42">
        <w:trPr>
          <w:trHeight w:val="287"/>
          <w:jc w:val="center"/>
        </w:trPr>
        <w:tc>
          <w:tcPr>
            <w:tcW w:w="1271" w:type="dxa"/>
          </w:tcPr>
          <w:p w14:paraId="4F7C535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2</w:t>
            </w:r>
          </w:p>
        </w:tc>
        <w:tc>
          <w:tcPr>
            <w:tcW w:w="1418" w:type="dxa"/>
            <w:vAlign w:val="bottom"/>
          </w:tcPr>
          <w:p w14:paraId="6F96A7CB"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730195.72</w:t>
            </w:r>
          </w:p>
        </w:tc>
        <w:tc>
          <w:tcPr>
            <w:tcW w:w="1417" w:type="dxa"/>
            <w:vAlign w:val="bottom"/>
          </w:tcPr>
          <w:p w14:paraId="01AFF981"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8519283.93</w:t>
            </w:r>
          </w:p>
        </w:tc>
        <w:tc>
          <w:tcPr>
            <w:tcW w:w="1276" w:type="dxa"/>
            <w:vMerge/>
          </w:tcPr>
          <w:p w14:paraId="57038CEC"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66F25C26" w14:textId="77777777" w:rsidTr="00BB5F42">
        <w:trPr>
          <w:trHeight w:val="305"/>
          <w:jc w:val="center"/>
        </w:trPr>
        <w:tc>
          <w:tcPr>
            <w:tcW w:w="1271" w:type="dxa"/>
          </w:tcPr>
          <w:p w14:paraId="0B3A517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3</w:t>
            </w:r>
          </w:p>
        </w:tc>
        <w:tc>
          <w:tcPr>
            <w:tcW w:w="1418" w:type="dxa"/>
            <w:vAlign w:val="bottom"/>
          </w:tcPr>
          <w:p w14:paraId="575348C5"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730176.04</w:t>
            </w:r>
          </w:p>
        </w:tc>
        <w:tc>
          <w:tcPr>
            <w:tcW w:w="1417" w:type="dxa"/>
            <w:vAlign w:val="bottom"/>
          </w:tcPr>
          <w:p w14:paraId="311B9CE9"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8519375.84</w:t>
            </w:r>
          </w:p>
        </w:tc>
        <w:tc>
          <w:tcPr>
            <w:tcW w:w="1276" w:type="dxa"/>
            <w:vMerge/>
          </w:tcPr>
          <w:p w14:paraId="0B5F6D57"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r w:rsidR="00EF6AB5" w:rsidRPr="00285D58" w14:paraId="3F1B11A6" w14:textId="77777777" w:rsidTr="00BB5F42">
        <w:trPr>
          <w:trHeight w:val="305"/>
          <w:jc w:val="center"/>
        </w:trPr>
        <w:tc>
          <w:tcPr>
            <w:tcW w:w="1271" w:type="dxa"/>
          </w:tcPr>
          <w:p w14:paraId="7AC60AD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Vértice 4</w:t>
            </w:r>
          </w:p>
        </w:tc>
        <w:tc>
          <w:tcPr>
            <w:tcW w:w="1418" w:type="dxa"/>
            <w:tcBorders>
              <w:bottom w:val="single" w:sz="4" w:space="0" w:color="BDD7EE"/>
            </w:tcBorders>
            <w:vAlign w:val="bottom"/>
          </w:tcPr>
          <w:p w14:paraId="1A9A2582"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730237.64</w:t>
            </w:r>
          </w:p>
        </w:tc>
        <w:tc>
          <w:tcPr>
            <w:tcW w:w="1417" w:type="dxa"/>
            <w:tcBorders>
              <w:bottom w:val="single" w:sz="4" w:space="0" w:color="BDD7EE"/>
            </w:tcBorders>
            <w:vAlign w:val="bottom"/>
          </w:tcPr>
          <w:p w14:paraId="269DB296" w14:textId="77777777" w:rsidR="006F0C28" w:rsidRPr="00285D58" w:rsidRDefault="006F0C28" w:rsidP="006F0C28">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color w:val="000000"/>
                <w:sz w:val="20"/>
                <w:szCs w:val="20"/>
              </w:rPr>
              <w:t>8519389.04</w:t>
            </w:r>
          </w:p>
        </w:tc>
        <w:tc>
          <w:tcPr>
            <w:tcW w:w="1276" w:type="dxa"/>
            <w:vMerge/>
          </w:tcPr>
          <w:p w14:paraId="0AD8ED7A" w14:textId="77777777" w:rsidR="006F0C28" w:rsidRPr="00285D58" w:rsidRDefault="006F0C28" w:rsidP="006F0C28">
            <w:pPr>
              <w:pBdr>
                <w:top w:val="nil"/>
                <w:left w:val="nil"/>
                <w:bottom w:val="nil"/>
                <w:right w:val="nil"/>
                <w:between w:val="nil"/>
              </w:pBdr>
              <w:spacing w:line="276" w:lineRule="auto"/>
              <w:jc w:val="both"/>
              <w:rPr>
                <w:rFonts w:asciiTheme="minorHAnsi" w:eastAsia="Calibri" w:hAnsiTheme="minorHAnsi" w:cstheme="minorHAnsi"/>
                <w:sz w:val="20"/>
                <w:szCs w:val="20"/>
              </w:rPr>
            </w:pPr>
          </w:p>
        </w:tc>
      </w:tr>
    </w:tbl>
    <w:p w14:paraId="2C72AC9C" w14:textId="65133CAD" w:rsidR="006F0C28" w:rsidRDefault="006F0C28" w:rsidP="008D1FFF">
      <w:pPr>
        <w:spacing w:line="276" w:lineRule="auto"/>
        <w:jc w:val="both"/>
        <w:rPr>
          <w:rFonts w:asciiTheme="minorHAnsi" w:eastAsia="Calibri" w:hAnsiTheme="minorHAnsi" w:cstheme="minorHAnsi"/>
        </w:rPr>
      </w:pPr>
    </w:p>
    <w:p w14:paraId="2E0BB142" w14:textId="77777777" w:rsidR="00EF6AB5" w:rsidRPr="00285D58" w:rsidRDefault="00EF6AB5" w:rsidP="008D1FFF">
      <w:pPr>
        <w:spacing w:line="276" w:lineRule="auto"/>
        <w:jc w:val="both"/>
        <w:rPr>
          <w:rFonts w:asciiTheme="minorHAnsi" w:eastAsia="Calibri" w:hAnsiTheme="minorHAnsi" w:cstheme="minorHAnsi"/>
        </w:rPr>
      </w:pPr>
    </w:p>
    <w:p w14:paraId="0B2AE4AF"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DESCRIPCIÓN DEL SISTEMA DE TRANSPORTE POR CABLE</w:t>
      </w:r>
    </w:p>
    <w:p w14:paraId="0793D0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presente Proyecto se propone un Sistema de Transporte por Cable del tipo Teleférico compuesto principalmente por los siguientes componentes: cables (línea de transporte), estaciones (embarque y desembarque) y vehículos (cabinas de pasajeros).</w:t>
      </w:r>
    </w:p>
    <w:p w14:paraId="4CA0C787" w14:textId="77777777" w:rsidR="001F600C" w:rsidRPr="00285D58" w:rsidRDefault="001F600C" w:rsidP="008D1FFF">
      <w:pPr>
        <w:spacing w:line="276" w:lineRule="auto"/>
        <w:jc w:val="both"/>
        <w:rPr>
          <w:rFonts w:asciiTheme="minorHAnsi" w:eastAsia="Calibri" w:hAnsiTheme="minorHAnsi" w:cstheme="minorHAnsi"/>
        </w:rPr>
      </w:pPr>
    </w:p>
    <w:p w14:paraId="4F1373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sistema propuesto es del tipo “vaivén”, esto quiere decir que cada cabina se desplaza entre dos estaciones realizando el corrido de ida y vuelta. En otras palabras, cuando la cabina llega a la estación, se detiene para que pueda realizarse el desembarque y embarque de pasajeros de manera continua, y luego “cambia de dirección”, realizando el recorrido en sentido inverso. El movimiento de ambos vehículos es siempre sincronizado dado que se encuentran sujetos al mismo cable tractor.  Cuando un vehículo se encuentra detenido en la estación de salida, el otro lo estará en la estación de llegada y cuando un vehículo se mueva en una dirección, el otro hará lo mismo en la dirección contraria. Este sistema permite un ahorro importante de energía, ya que cada vehículo actúa como contrapeso del otro.</w:t>
      </w:r>
    </w:p>
    <w:p w14:paraId="3837D168"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Cables</w:t>
      </w:r>
    </w:p>
    <w:p w14:paraId="506967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propuesto para el Proyecto cuenta con cables tractores y cables portadores </w:t>
      </w:r>
      <w:r w:rsidRPr="00285D58">
        <w:rPr>
          <w:rFonts w:asciiTheme="minorHAnsi" w:eastAsia="Calibri" w:hAnsiTheme="minorHAnsi" w:cstheme="minorHAnsi"/>
        </w:rPr>
        <w:lastRenderedPageBreak/>
        <w:t>independientes, separando así la función de empuje del vehículo de la de sustento. En los tres tramos de los teleféricos de Choquequirao se dispondrá para cada vía de:</w:t>
      </w:r>
    </w:p>
    <w:p w14:paraId="76A57F53" w14:textId="77777777" w:rsidR="001F600C" w:rsidRPr="00285D58" w:rsidRDefault="001F600C" w:rsidP="008D1FFF">
      <w:pPr>
        <w:spacing w:line="276" w:lineRule="auto"/>
        <w:jc w:val="both"/>
        <w:rPr>
          <w:rFonts w:asciiTheme="minorHAnsi" w:eastAsia="Calibri" w:hAnsiTheme="minorHAnsi" w:cstheme="minorHAnsi"/>
        </w:rPr>
      </w:pPr>
    </w:p>
    <w:p w14:paraId="4612916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2 portadores</w:t>
      </w:r>
    </w:p>
    <w:p w14:paraId="51611F2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1 tractor</w:t>
      </w:r>
    </w:p>
    <w:p w14:paraId="15F58D0A" w14:textId="77777777" w:rsidR="001F600C" w:rsidRPr="00285D58" w:rsidRDefault="001F600C" w:rsidP="008D1FFF">
      <w:pPr>
        <w:spacing w:line="276" w:lineRule="auto"/>
        <w:jc w:val="both"/>
        <w:rPr>
          <w:rFonts w:asciiTheme="minorHAnsi" w:eastAsia="Calibri" w:hAnsiTheme="minorHAnsi" w:cstheme="minorHAnsi"/>
        </w:rPr>
      </w:pPr>
    </w:p>
    <w:p w14:paraId="0830790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portadores son fijos y soportan el peso del vehículo que circula por encima de ellos (mediante el desplazamiento del carro). Se les suele llamar también cables “carril” por analogía con el transporte ferroviario. Dos de los cuatro cables portadores serán equipados de fibra óptica, para las necesidades propias del teleférico como para otros usos (telefonía, red informática, entre otras)</w:t>
      </w:r>
    </w:p>
    <w:p w14:paraId="469EA999" w14:textId="77777777" w:rsidR="001F600C" w:rsidRPr="00285D58" w:rsidRDefault="001F600C" w:rsidP="008D1FFF">
      <w:pPr>
        <w:spacing w:line="276" w:lineRule="auto"/>
        <w:jc w:val="both"/>
        <w:rPr>
          <w:rFonts w:asciiTheme="minorHAnsi" w:eastAsia="Calibri" w:hAnsiTheme="minorHAnsi" w:cstheme="minorHAnsi"/>
        </w:rPr>
      </w:pPr>
    </w:p>
    <w:p w14:paraId="4FDD40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cable tractor, en cambio, es móvil y es el encargado de “arrastrar” los vehículos. Generalmente se trata de un cable “en anillo” (con unión de sus dos extremos), salvo en el caso de enganche mediante terminales fundidos en el que encontraremos dos segmentos (llamados superior e inferior).</w:t>
      </w:r>
    </w:p>
    <w:p w14:paraId="75EF1B05" w14:textId="77777777" w:rsidR="001F600C" w:rsidRPr="00285D58" w:rsidRDefault="001F600C" w:rsidP="008D1FFF">
      <w:pPr>
        <w:spacing w:line="276" w:lineRule="auto"/>
        <w:jc w:val="both"/>
        <w:rPr>
          <w:rFonts w:asciiTheme="minorHAnsi" w:eastAsia="Calibri" w:hAnsiTheme="minorHAnsi" w:cstheme="minorHAnsi"/>
        </w:rPr>
      </w:pPr>
    </w:p>
    <w:p w14:paraId="70EC890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A7BF551" wp14:editId="607F0F92">
            <wp:extent cx="3406061" cy="3351039"/>
            <wp:effectExtent l="0" t="0" r="0" b="0"/>
            <wp:docPr id="2133617448" name="image101.png" descr="Imagen que contiene exterior, transporte, barco, firm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1.png" descr="Imagen que contiene exterior, transporte, barco, firmar&#10;&#10;Descripción generada automáticamente"/>
                    <pic:cNvPicPr preferRelativeResize="0"/>
                  </pic:nvPicPr>
                  <pic:blipFill>
                    <a:blip r:embed="rId20"/>
                    <a:srcRect/>
                    <a:stretch>
                      <a:fillRect/>
                    </a:stretch>
                  </pic:blipFill>
                  <pic:spPr>
                    <a:xfrm>
                      <a:off x="0" y="0"/>
                      <a:ext cx="3406061" cy="3351039"/>
                    </a:xfrm>
                    <a:prstGeom prst="rect">
                      <a:avLst/>
                    </a:prstGeom>
                    <a:ln/>
                  </pic:spPr>
                </pic:pic>
              </a:graphicData>
            </a:graphic>
          </wp:inline>
        </w:drawing>
      </w:r>
    </w:p>
    <w:p w14:paraId="3D518EE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Teleférico con 3 cables: 2 portadores (en verde) y 1 tractor (morado, al centro).</w:t>
      </w:r>
    </w:p>
    <w:p w14:paraId="7CE4517D" w14:textId="77777777" w:rsidR="001F600C" w:rsidRPr="00285D58" w:rsidRDefault="001F600C" w:rsidP="008D1FFF">
      <w:pPr>
        <w:spacing w:line="276" w:lineRule="auto"/>
        <w:jc w:val="both"/>
        <w:rPr>
          <w:rFonts w:asciiTheme="minorHAnsi" w:eastAsia="Calibri" w:hAnsiTheme="minorHAnsi" w:cstheme="minorHAnsi"/>
        </w:rPr>
      </w:pPr>
    </w:p>
    <w:p w14:paraId="5E1728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cable tractor, es accionado por la polea de la estación motriz y se mueve solidariamente con los vehículos, que están enganchados al mismo.</w:t>
      </w:r>
    </w:p>
    <w:p w14:paraId="396F8181" w14:textId="77777777" w:rsidR="001F600C" w:rsidRPr="00285D58" w:rsidRDefault="001F600C" w:rsidP="008D1FFF">
      <w:pPr>
        <w:spacing w:line="276" w:lineRule="auto"/>
        <w:jc w:val="both"/>
        <w:rPr>
          <w:rFonts w:asciiTheme="minorHAnsi" w:eastAsia="Calibri" w:hAnsiTheme="minorHAnsi" w:cstheme="minorHAnsi"/>
        </w:rPr>
      </w:pPr>
    </w:p>
    <w:p w14:paraId="05C8076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Torres</w:t>
      </w:r>
    </w:p>
    <w:p w14:paraId="65D1F1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los teleféricos de la zona “norte”, el diseño preliminar prevé la construcción de torres intermedias. Están podrán ser de estructura en celosía y tienen como finalidad sostener los cables </w:t>
      </w:r>
      <w:r w:rsidRPr="00285D58">
        <w:rPr>
          <w:rFonts w:asciiTheme="minorHAnsi" w:eastAsia="Calibri" w:hAnsiTheme="minorHAnsi" w:cstheme="minorHAnsi"/>
        </w:rPr>
        <w:lastRenderedPageBreak/>
        <w:t>portadores cuando el perfil longitudinal del terreno lo requiera. Estos deberán contar con:</w:t>
      </w:r>
    </w:p>
    <w:p w14:paraId="42280D6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Soportes deslizantes para los cables portadores: permitiendo los pequeños movimientos longitudinales de éstos (comúnmente llamados “sabots” -en francés- o “zapatas”).</w:t>
      </w:r>
    </w:p>
    <w:p w14:paraId="15983A9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Soportes con poleas de guarnición elástica para el cable tractor.</w:t>
      </w:r>
    </w:p>
    <w:p w14:paraId="0C0B549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Deflectores para guiar las cabinas y evitar el contacto con la torre en caso de oscilaciones laterales de la misma (nota: al paso en torres, la velocidad máxima autorizada es de 10 m/s).</w:t>
      </w:r>
    </w:p>
    <w:p w14:paraId="29BA14F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Acceso en escalera y plataformas de trabajo para el mantenimiento, con los correspondientes equipos de seguridad en el trabajo (líneas de vida y disposiciones constructivas).</w:t>
      </w:r>
    </w:p>
    <w:p w14:paraId="62C3A40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para levantar el cable tractor (y poder realizar el mantenimiento en poleas).</w:t>
      </w:r>
    </w:p>
    <w:p w14:paraId="06782E8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Pararrayos.</w:t>
      </w:r>
    </w:p>
    <w:p w14:paraId="4B9ED627" w14:textId="77777777" w:rsidR="001F600C" w:rsidRPr="00285D58" w:rsidRDefault="001F600C" w:rsidP="008D1FFF">
      <w:pPr>
        <w:spacing w:line="276" w:lineRule="auto"/>
        <w:jc w:val="both"/>
        <w:rPr>
          <w:rFonts w:asciiTheme="minorHAnsi" w:eastAsia="Calibri" w:hAnsiTheme="minorHAnsi" w:cstheme="minorHAnsi"/>
        </w:rPr>
      </w:pPr>
    </w:p>
    <w:tbl>
      <w:tblPr>
        <w:tblW w:w="9287" w:type="dxa"/>
        <w:tblLayout w:type="fixed"/>
        <w:tblLook w:val="0400" w:firstRow="0" w:lastRow="0" w:firstColumn="0" w:lastColumn="0" w:noHBand="0" w:noVBand="1"/>
      </w:tblPr>
      <w:tblGrid>
        <w:gridCol w:w="3936"/>
        <w:gridCol w:w="5351"/>
      </w:tblGrid>
      <w:tr w:rsidR="001F600C" w:rsidRPr="00285D58" w14:paraId="5B5A4548" w14:textId="77777777" w:rsidTr="00242093">
        <w:tc>
          <w:tcPr>
            <w:tcW w:w="3936" w:type="dxa"/>
          </w:tcPr>
          <w:p w14:paraId="278A6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5854A81" wp14:editId="6587F101">
                  <wp:extent cx="1676400" cy="2990850"/>
                  <wp:effectExtent l="0" t="0" r="0" b="0"/>
                  <wp:docPr id="2133617450" name="image92.jpg" descr="660px-Skyride"/>
                  <wp:cNvGraphicFramePr/>
                  <a:graphic xmlns:a="http://schemas.openxmlformats.org/drawingml/2006/main">
                    <a:graphicData uri="http://schemas.openxmlformats.org/drawingml/2006/picture">
                      <pic:pic xmlns:pic="http://schemas.openxmlformats.org/drawingml/2006/picture">
                        <pic:nvPicPr>
                          <pic:cNvPr id="0" name="image92.jpg" descr="660px-Skyride"/>
                          <pic:cNvPicPr preferRelativeResize="0"/>
                        </pic:nvPicPr>
                        <pic:blipFill>
                          <a:blip r:embed="rId21"/>
                          <a:srcRect/>
                          <a:stretch>
                            <a:fillRect/>
                          </a:stretch>
                        </pic:blipFill>
                        <pic:spPr>
                          <a:xfrm>
                            <a:off x="0" y="0"/>
                            <a:ext cx="1676400" cy="2990850"/>
                          </a:xfrm>
                          <a:prstGeom prst="rect">
                            <a:avLst/>
                          </a:prstGeom>
                          <a:ln/>
                        </pic:spPr>
                      </pic:pic>
                    </a:graphicData>
                  </a:graphic>
                </wp:inline>
              </w:drawing>
            </w:r>
          </w:p>
        </w:tc>
        <w:tc>
          <w:tcPr>
            <w:tcW w:w="5351" w:type="dxa"/>
          </w:tcPr>
          <w:p w14:paraId="033D22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B35B1C5" wp14:editId="45F19674">
                  <wp:extent cx="2905125" cy="2981325"/>
                  <wp:effectExtent l="0" t="0" r="0" b="0"/>
                  <wp:docPr id="2133617449" name="image89.jpg" descr="800px-Stone_Mountain_SkyRide_support"/>
                  <wp:cNvGraphicFramePr/>
                  <a:graphic xmlns:a="http://schemas.openxmlformats.org/drawingml/2006/main">
                    <a:graphicData uri="http://schemas.openxmlformats.org/drawingml/2006/picture">
                      <pic:pic xmlns:pic="http://schemas.openxmlformats.org/drawingml/2006/picture">
                        <pic:nvPicPr>
                          <pic:cNvPr id="0" name="image89.jpg" descr="800px-Stone_Mountain_SkyRide_support"/>
                          <pic:cNvPicPr preferRelativeResize="0"/>
                        </pic:nvPicPr>
                        <pic:blipFill>
                          <a:blip r:embed="rId22"/>
                          <a:srcRect/>
                          <a:stretch>
                            <a:fillRect/>
                          </a:stretch>
                        </pic:blipFill>
                        <pic:spPr>
                          <a:xfrm>
                            <a:off x="0" y="0"/>
                            <a:ext cx="2905125" cy="2981325"/>
                          </a:xfrm>
                          <a:prstGeom prst="rect">
                            <a:avLst/>
                          </a:prstGeom>
                          <a:ln/>
                        </pic:spPr>
                      </pic:pic>
                    </a:graphicData>
                  </a:graphic>
                </wp:inline>
              </w:drawing>
            </w:r>
          </w:p>
        </w:tc>
      </w:tr>
    </w:tbl>
    <w:p w14:paraId="3120BC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Ejemplos de torre en celosía (izquierda – Grouse Moutain, Canadá) y tubular (dercha - Stowe, EUA).</w:t>
      </w:r>
    </w:p>
    <w:p w14:paraId="4FE91682" w14:textId="77777777" w:rsidR="001F600C" w:rsidRPr="00285D58" w:rsidRDefault="001F600C" w:rsidP="008D1FFF">
      <w:pPr>
        <w:spacing w:line="276" w:lineRule="auto"/>
        <w:jc w:val="both"/>
        <w:rPr>
          <w:rFonts w:asciiTheme="minorHAnsi" w:eastAsia="Calibri" w:hAnsiTheme="minorHAnsi" w:cstheme="minorHAnsi"/>
        </w:rPr>
      </w:pPr>
    </w:p>
    <w:p w14:paraId="3C115790"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Caballetes</w:t>
      </w:r>
    </w:p>
    <w:p w14:paraId="0058FD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“posicionadores de los cables” que, en teleféricos de grandes luces, aseguran su correcta disposición y distancia relativa. De forma triangular, penden de los cables portadores (a los que están unidos por pinzas) y disponen de una polea en el centro por encima del cual se desliza el cable tractor. Se colocan cada 200 m aproximadamente.</w:t>
      </w:r>
    </w:p>
    <w:p w14:paraId="70F223A9" w14:textId="77777777" w:rsidR="001F600C" w:rsidRPr="00285D58" w:rsidRDefault="001F600C" w:rsidP="008D1FFF">
      <w:pPr>
        <w:spacing w:line="276" w:lineRule="auto"/>
        <w:jc w:val="both"/>
        <w:rPr>
          <w:rFonts w:asciiTheme="minorHAnsi" w:eastAsia="Calibri" w:hAnsiTheme="minorHAnsi" w:cstheme="minorHAnsi"/>
        </w:rPr>
      </w:pPr>
    </w:p>
    <w:p w14:paraId="144EEF1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6025A958" wp14:editId="1FDE8091">
            <wp:extent cx="2819400" cy="3095625"/>
            <wp:effectExtent l="0" t="0" r="0" b="0"/>
            <wp:docPr id="2133617452" name="image97.jpg" descr="Israel_Aereal_Ropeway_Masada_BW_1"/>
            <wp:cNvGraphicFramePr/>
            <a:graphic xmlns:a="http://schemas.openxmlformats.org/drawingml/2006/main">
              <a:graphicData uri="http://schemas.openxmlformats.org/drawingml/2006/picture">
                <pic:pic xmlns:pic="http://schemas.openxmlformats.org/drawingml/2006/picture">
                  <pic:nvPicPr>
                    <pic:cNvPr id="0" name="image97.jpg" descr="Israel_Aereal_Ropeway_Masada_BW_1"/>
                    <pic:cNvPicPr preferRelativeResize="0"/>
                  </pic:nvPicPr>
                  <pic:blipFill>
                    <a:blip r:embed="rId23"/>
                    <a:srcRect/>
                    <a:stretch>
                      <a:fillRect/>
                    </a:stretch>
                  </pic:blipFill>
                  <pic:spPr>
                    <a:xfrm>
                      <a:off x="0" y="0"/>
                      <a:ext cx="2819400" cy="3095625"/>
                    </a:xfrm>
                    <a:prstGeom prst="rect">
                      <a:avLst/>
                    </a:prstGeom>
                    <a:ln/>
                  </pic:spPr>
                </pic:pic>
              </a:graphicData>
            </a:graphic>
          </wp:inline>
        </w:drawing>
      </w:r>
    </w:p>
    <w:p w14:paraId="33377F1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“Caballete” uniendo dos cables portadores (extremos) y un tractor (al centro, encima de una pequeña polea).</w:t>
      </w:r>
    </w:p>
    <w:p w14:paraId="7313ED4C" w14:textId="77777777" w:rsidR="001F600C" w:rsidRPr="00285D58" w:rsidRDefault="001F600C" w:rsidP="008D1FFF">
      <w:pPr>
        <w:spacing w:line="276" w:lineRule="auto"/>
        <w:jc w:val="both"/>
        <w:rPr>
          <w:rFonts w:asciiTheme="minorHAnsi" w:eastAsia="Calibri" w:hAnsiTheme="minorHAnsi" w:cstheme="minorHAnsi"/>
        </w:rPr>
      </w:pPr>
    </w:p>
    <w:p w14:paraId="5E83692E"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t>Estación motriz</w:t>
      </w:r>
    </w:p>
    <w:p w14:paraId="7266EB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un teleférico deben cumplir la doble función de facilitar el flujo de pasajeros y albergar toda la maquinaria necesaria para su funcionamiento. Por ello, disponen de 3 zonas claramente diferenciadas:</w:t>
      </w:r>
    </w:p>
    <w:p w14:paraId="71599CB3" w14:textId="77777777" w:rsidR="001F600C" w:rsidRPr="00285D58" w:rsidRDefault="001F600C" w:rsidP="008D1FFF">
      <w:pPr>
        <w:spacing w:line="276" w:lineRule="auto"/>
        <w:jc w:val="both"/>
        <w:rPr>
          <w:rFonts w:asciiTheme="minorHAnsi" w:eastAsia="Calibri" w:hAnsiTheme="minorHAnsi" w:cstheme="minorHAnsi"/>
        </w:rPr>
      </w:pPr>
    </w:p>
    <w:p w14:paraId="15DD806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para vehículos.</w:t>
      </w:r>
    </w:p>
    <w:p w14:paraId="6D94CA1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Zonas de embarque y espera de pasajeros (andenes).</w:t>
      </w:r>
    </w:p>
    <w:p w14:paraId="001A7F53"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y de maquinaria.</w:t>
      </w:r>
    </w:p>
    <w:p w14:paraId="13933D0A" w14:textId="77777777" w:rsidR="001F600C" w:rsidRPr="00285D58" w:rsidRDefault="001F600C" w:rsidP="008D1FFF">
      <w:pPr>
        <w:spacing w:line="276" w:lineRule="auto"/>
        <w:jc w:val="both"/>
        <w:rPr>
          <w:rFonts w:asciiTheme="minorHAnsi" w:eastAsia="Calibri" w:hAnsiTheme="minorHAnsi" w:cstheme="minorHAnsi"/>
        </w:rPr>
      </w:pPr>
    </w:p>
    <w:p w14:paraId="129970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en el caso de Choquequirao, con su entorno de incalculable valor, la integración paisajística de las estaciones es también un requisito indispensable.</w:t>
      </w:r>
    </w:p>
    <w:p w14:paraId="2385FAA6" w14:textId="77777777" w:rsidR="001F600C" w:rsidRPr="00285D58" w:rsidRDefault="001F600C" w:rsidP="008D1FFF">
      <w:pPr>
        <w:spacing w:line="276" w:lineRule="auto"/>
        <w:jc w:val="both"/>
        <w:rPr>
          <w:rFonts w:asciiTheme="minorHAnsi" w:eastAsia="Calibri" w:hAnsiTheme="minorHAnsi" w:cstheme="minorHAnsi"/>
        </w:rPr>
      </w:pPr>
    </w:p>
    <w:p w14:paraId="65ED79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Gracias a la situación en laderas con terreno pendiente, los edificios pueden ser semisoterrados, dejando a los pasajeros y muelles la planta superior (a nivel de superficie) y relegando la maquinaria al piso inferior. Se proponen pues para las 4 estaciones edificios en 2 niveles.</w:t>
      </w:r>
    </w:p>
    <w:p w14:paraId="626DE076" w14:textId="77777777" w:rsidR="001F600C" w:rsidRPr="00285D58" w:rsidRDefault="001F600C" w:rsidP="008D1FFF">
      <w:pPr>
        <w:spacing w:line="276" w:lineRule="auto"/>
        <w:jc w:val="both"/>
        <w:rPr>
          <w:rFonts w:asciiTheme="minorHAnsi" w:eastAsia="Calibri" w:hAnsiTheme="minorHAnsi" w:cstheme="minorHAnsi"/>
        </w:rPr>
      </w:pPr>
    </w:p>
    <w:p w14:paraId="2C48EAE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35F70E39" wp14:editId="61E9687D">
            <wp:extent cx="3600000" cy="2730903"/>
            <wp:effectExtent l="0" t="0" r="635" b="0"/>
            <wp:docPr id="687102561" name="Imagen 68710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00000" cy="2730903"/>
                    </a:xfrm>
                    <a:prstGeom prst="rect">
                      <a:avLst/>
                    </a:prstGeom>
                  </pic:spPr>
                </pic:pic>
              </a:graphicData>
            </a:graphic>
          </wp:inline>
        </w:drawing>
      </w:r>
    </w:p>
    <w:p w14:paraId="046795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Estación terminal en el teleférico de Masada (Israel), con las 3 zonas funcionales marcadas.</w:t>
      </w:r>
    </w:p>
    <w:p w14:paraId="14E5E2D2" w14:textId="77777777" w:rsidR="001F600C" w:rsidRPr="00285D58" w:rsidRDefault="001F600C" w:rsidP="008D1FFF">
      <w:pPr>
        <w:spacing w:line="276" w:lineRule="auto"/>
        <w:jc w:val="both"/>
        <w:rPr>
          <w:rFonts w:asciiTheme="minorHAnsi" w:eastAsia="Calibri" w:hAnsiTheme="minorHAnsi" w:cstheme="minorHAnsi"/>
        </w:rPr>
      </w:pPr>
    </w:p>
    <w:p w14:paraId="523B45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estación contiene, además de todos los elementos necesarios para el embarque y desembarque de pasajeros, los mecanismos que permiten mantener la tensión de los cables y accionar el movimiento del cable tractor. Se distinguen los siguientes elementos:</w:t>
      </w:r>
    </w:p>
    <w:p w14:paraId="46D3832B" w14:textId="77777777" w:rsidR="001F600C" w:rsidRPr="00285D58" w:rsidRDefault="001F600C" w:rsidP="008D1FFF">
      <w:pPr>
        <w:spacing w:line="276" w:lineRule="auto"/>
        <w:jc w:val="both"/>
        <w:rPr>
          <w:rFonts w:asciiTheme="minorHAnsi" w:eastAsia="Calibri" w:hAnsiTheme="minorHAnsi" w:cstheme="minorHAnsi"/>
        </w:rPr>
      </w:pPr>
    </w:p>
    <w:p w14:paraId="3B5BE4D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Zapatas de soporte y guía de los cables portadores</w:t>
      </w:r>
    </w:p>
    <w:p w14:paraId="4F67966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Andenes de embarque, desembarque y espera de los pasajeros. El diseño de los Andenes permite diferenciar las circulaciones de acceso y salida del teleférico. Este concepto es muy útil para la fase de explotación, pues facilita tanto las operaciones por parte de la empresa gestora, como la orientación del cliente.</w:t>
      </w:r>
    </w:p>
    <w:p w14:paraId="5401B60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andenes contaran con barandillas de seguridad y delimitación en todo su perímetro. Asimismo, dispondrán de puertas automáticas que se abrirán automáticamente cuando el conductor autorice el embarque y/o desembarque.</w:t>
      </w:r>
    </w:p>
    <w:p w14:paraId="60B0DE6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de los vehículos (uno para cada vehículo). Los muelles cuentan con raíles electrificados que transmiten electricidad a las cabinas para la carga de las baterías</w:t>
      </w:r>
    </w:p>
    <w:p w14:paraId="7C5096D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Pistones de final de carrera que mantienen el vehículo estable cuando está estacionado para garantizar un embarque y desembarque de pasajeros en total seguridad</w:t>
      </w:r>
    </w:p>
    <w:p w14:paraId="3AB7A14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(en la planta inferior) que albergan todos los sistemas electromecánicos</w:t>
      </w:r>
    </w:p>
    <w:p w14:paraId="31B20AD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 motor y poleas de desviación del cable tractor</w:t>
      </w:r>
    </w:p>
    <w:p w14:paraId="1657885E" w14:textId="77777777" w:rsidR="001F600C" w:rsidRPr="00285D58" w:rsidRDefault="001F600C" w:rsidP="008D1FFF">
      <w:pPr>
        <w:widowControl/>
        <w:spacing w:line="276" w:lineRule="auto"/>
        <w:ind w:left="1287"/>
        <w:jc w:val="both"/>
        <w:rPr>
          <w:rFonts w:asciiTheme="minorHAnsi" w:eastAsia="Calibri" w:hAnsiTheme="minorHAnsi" w:cstheme="minorHAnsi"/>
        </w:rPr>
      </w:pPr>
    </w:p>
    <w:p w14:paraId="37174DF3" w14:textId="77777777" w:rsidR="001F600C" w:rsidRPr="00285D58" w:rsidRDefault="001F600C" w:rsidP="008D1FFF">
      <w:pPr>
        <w:spacing w:line="276" w:lineRule="auto"/>
        <w:jc w:val="both"/>
        <w:rPr>
          <w:rFonts w:asciiTheme="minorHAnsi" w:eastAsia="Calibri" w:hAnsiTheme="minorHAnsi" w:cstheme="minorHAnsi"/>
        </w:rPr>
      </w:pPr>
    </w:p>
    <w:p w14:paraId="141627E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25A5DB3" wp14:editId="6FC97125">
            <wp:extent cx="3587417" cy="2381713"/>
            <wp:effectExtent l="0" t="0" r="0" b="0"/>
            <wp:docPr id="2133617454" name="image95.jpg" descr="800px-Mt-Hakodate-Ropeway-03"/>
            <wp:cNvGraphicFramePr/>
            <a:graphic xmlns:a="http://schemas.openxmlformats.org/drawingml/2006/main">
              <a:graphicData uri="http://schemas.openxmlformats.org/drawingml/2006/picture">
                <pic:pic xmlns:pic="http://schemas.openxmlformats.org/drawingml/2006/picture">
                  <pic:nvPicPr>
                    <pic:cNvPr id="0" name="image95.jpg" descr="800px-Mt-Hakodate-Ropeway-03"/>
                    <pic:cNvPicPr preferRelativeResize="0"/>
                  </pic:nvPicPr>
                  <pic:blipFill>
                    <a:blip r:embed="rId25"/>
                    <a:srcRect/>
                    <a:stretch>
                      <a:fillRect/>
                    </a:stretch>
                  </pic:blipFill>
                  <pic:spPr>
                    <a:xfrm>
                      <a:off x="0" y="0"/>
                      <a:ext cx="3587417" cy="2381713"/>
                    </a:xfrm>
                    <a:prstGeom prst="rect">
                      <a:avLst/>
                    </a:prstGeom>
                    <a:ln/>
                  </pic:spPr>
                </pic:pic>
              </a:graphicData>
            </a:graphic>
          </wp:inline>
        </w:drawing>
      </w:r>
    </w:p>
    <w:p w14:paraId="3105FE2C" w14:textId="77777777" w:rsidR="001F600C" w:rsidRPr="00285D58" w:rsidRDefault="001F600C" w:rsidP="008D1FFF">
      <w:pPr>
        <w:spacing w:line="276" w:lineRule="auto"/>
        <w:jc w:val="center"/>
        <w:rPr>
          <w:rFonts w:asciiTheme="minorHAnsi" w:eastAsia="Calibri" w:hAnsiTheme="minorHAnsi" w:cstheme="minorHAnsi"/>
        </w:rPr>
      </w:pPr>
    </w:p>
    <w:p w14:paraId="4DF4A05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Ejemplo de estación motriz en Hakodate, Japón.</w:t>
      </w:r>
    </w:p>
    <w:p w14:paraId="280530C4"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Zapatas de soporte y guía de los cables portadores</w:t>
      </w:r>
    </w:p>
    <w:p w14:paraId="6A2C9B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w:t>
      </w:r>
    </w:p>
    <w:p w14:paraId="4C4CF477" w14:textId="77777777" w:rsidR="001F600C" w:rsidRPr="00285D58" w:rsidRDefault="001F600C" w:rsidP="008D1FFF">
      <w:pPr>
        <w:spacing w:line="276" w:lineRule="auto"/>
        <w:jc w:val="both"/>
        <w:rPr>
          <w:rFonts w:asciiTheme="minorHAnsi" w:eastAsia="Calibri" w:hAnsiTheme="minorHAnsi" w:cstheme="minorHAnsi"/>
        </w:rPr>
      </w:pPr>
    </w:p>
    <w:p w14:paraId="3F4B49A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de anclaje de los cables portadores a la superestructura. Cuentan además con detectores de la tensión de los cables.</w:t>
      </w:r>
    </w:p>
    <w:p w14:paraId="46547B8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Estructuras de soporte y guiado de los cables portadores: levantan y alinean los cables con la otra estación. Cuentan con unas guías (“zapatas”) que permiten ligeros desplazamientos verticales y longitudinales de los mismos, generados por el desplazamiento de las cabinas sobre la línea (variación de catenarias por la carga puntual)</w:t>
      </w:r>
    </w:p>
    <w:p w14:paraId="3212F1C9" w14:textId="77777777" w:rsidR="001F600C" w:rsidRPr="00285D58" w:rsidRDefault="001F600C"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1BD27168"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E067F78" wp14:editId="7A54EF23">
            <wp:extent cx="3124200" cy="2085975"/>
            <wp:effectExtent l="0" t="0" r="0" b="0"/>
            <wp:docPr id="2133617453" name="image93.jpg" descr="12"/>
            <wp:cNvGraphicFramePr/>
            <a:graphic xmlns:a="http://schemas.openxmlformats.org/drawingml/2006/main">
              <a:graphicData uri="http://schemas.openxmlformats.org/drawingml/2006/picture">
                <pic:pic xmlns:pic="http://schemas.openxmlformats.org/drawingml/2006/picture">
                  <pic:nvPicPr>
                    <pic:cNvPr id="0" name="image93.jpg" descr="12"/>
                    <pic:cNvPicPr preferRelativeResize="0"/>
                  </pic:nvPicPr>
                  <pic:blipFill>
                    <a:blip r:embed="rId26"/>
                    <a:srcRect/>
                    <a:stretch>
                      <a:fillRect/>
                    </a:stretch>
                  </pic:blipFill>
                  <pic:spPr>
                    <a:xfrm>
                      <a:off x="0" y="0"/>
                      <a:ext cx="3124200" cy="2085975"/>
                    </a:xfrm>
                    <a:prstGeom prst="rect">
                      <a:avLst/>
                    </a:prstGeom>
                    <a:ln/>
                  </pic:spPr>
                </pic:pic>
              </a:graphicData>
            </a:graphic>
          </wp:inline>
        </w:drawing>
      </w:r>
    </w:p>
    <w:p w14:paraId="73555D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Visión de un par de “zapatas” guiando los 2 cables portadores a la salida de una estación.</w:t>
      </w:r>
    </w:p>
    <w:p w14:paraId="79D0318A"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Grupo motor</w:t>
      </w:r>
    </w:p>
    <w:p w14:paraId="43096F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Genera y transmite el movimiento de los vehículos mediante:</w:t>
      </w:r>
    </w:p>
    <w:p w14:paraId="5C0A185E" w14:textId="77777777" w:rsidR="001F600C" w:rsidRPr="00285D58" w:rsidRDefault="001F600C" w:rsidP="008D1FFF">
      <w:pPr>
        <w:spacing w:line="276" w:lineRule="auto"/>
        <w:jc w:val="both"/>
        <w:rPr>
          <w:rFonts w:asciiTheme="minorHAnsi" w:eastAsia="Calibri" w:hAnsiTheme="minorHAnsi" w:cstheme="minorHAnsi"/>
        </w:rPr>
      </w:pPr>
    </w:p>
    <w:p w14:paraId="0A55B04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Poleas de guiado del cable tractor (que lo desvían hacia la polea motriz). Las poleas de guiado dispondrán de una redundancia de los rodamientos principales para permitir la evacuación de la instalación en caso de avería sobre éstos. La redundancia podrá ser asegurada por casquillos de teflón, copolímeros o similar.</w:t>
      </w:r>
    </w:p>
    <w:p w14:paraId="1459783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Motores principales: eléctricos, con regulación de velocidad mediante variador de frecuencia (en caso de motor de corriente alterna) o puente de tiristores (corriente continua). Cada teleférico contará con 2 motores principales, funcionando según la técnica “master/slave” (maestro/esclavo). Esta técnica permite operar normalmente en condiciones óptimas, y a media carga si uno de los 2 motores estuviera fuera de servicio.</w:t>
      </w:r>
    </w:p>
    <w:p w14:paraId="4766256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Reductores y árboles de transmisión: los reductores (uno para cada motor) asegurarán la desmultiplicación de velocidad entre el motor y la polea. La transmisión del movimiento entre el eje saliente de cada motor y el árbol rápido del reductor será directa por cardán. Se preverá un sistema de sencilla manipulación para desacoplar uno de los dos reductores de la polea motriz en caso de avería.</w:t>
      </w:r>
    </w:p>
    <w:p w14:paraId="34B4F20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motrices: cada reductor estará acoplado a una polea motriz, que se caracterizará por tener una garganta recubierta con una banda de caucho de máxima adherencia, encargada de transmitir el movimiento al cable portador-tractor. Cada polea motriz dispondrá de una redundancia de los rodamientos principales para permitir la evacuación de la instalación en caso de avería sobre éstos. La redundancia podrá ser asegurada por casquillos de teflón, copolímeros o similar.</w:t>
      </w:r>
    </w:p>
    <w:p w14:paraId="1CB6A13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Motor secundario de emergencia: generalmente térmico (para permitir la evacuación en caso de avería de la motorización principal o corte en el suministro eléctrico) y con trasmisión directa a una de las poleas motrices, mediante piñón que se engrava a una corona dentada.</w:t>
      </w:r>
    </w:p>
    <w:p w14:paraId="255348D8" w14:textId="77777777" w:rsidR="001F600C" w:rsidRPr="00285D58" w:rsidRDefault="001F600C" w:rsidP="008D1FFF">
      <w:pPr>
        <w:spacing w:line="276" w:lineRule="auto"/>
        <w:jc w:val="both"/>
        <w:rPr>
          <w:rFonts w:asciiTheme="minorHAnsi" w:eastAsia="Calibri" w:hAnsiTheme="minorHAnsi" w:cstheme="minorHAnsi"/>
        </w:rPr>
      </w:pPr>
    </w:p>
    <w:tbl>
      <w:tblPr>
        <w:tblW w:w="9287" w:type="dxa"/>
        <w:tblLayout w:type="fixed"/>
        <w:tblLook w:val="0400" w:firstRow="0" w:lastRow="0" w:firstColumn="0" w:lastColumn="0" w:noHBand="0" w:noVBand="1"/>
      </w:tblPr>
      <w:tblGrid>
        <w:gridCol w:w="4644"/>
        <w:gridCol w:w="4643"/>
      </w:tblGrid>
      <w:tr w:rsidR="001F600C" w:rsidRPr="00285D58" w14:paraId="4DE38619" w14:textId="77777777" w:rsidTr="00242093">
        <w:tc>
          <w:tcPr>
            <w:tcW w:w="4644" w:type="dxa"/>
          </w:tcPr>
          <w:p w14:paraId="071E51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7671C09" wp14:editId="39AB44BC">
                  <wp:extent cx="2771775" cy="2076450"/>
                  <wp:effectExtent l="0" t="0" r="0" b="0"/>
                  <wp:docPr id="2133617456" name="image98.jpg" descr="IMG_4626"/>
                  <wp:cNvGraphicFramePr/>
                  <a:graphic xmlns:a="http://schemas.openxmlformats.org/drawingml/2006/main">
                    <a:graphicData uri="http://schemas.openxmlformats.org/drawingml/2006/picture">
                      <pic:pic xmlns:pic="http://schemas.openxmlformats.org/drawingml/2006/picture">
                        <pic:nvPicPr>
                          <pic:cNvPr id="0" name="image98.jpg" descr="IMG_4626"/>
                          <pic:cNvPicPr preferRelativeResize="0"/>
                        </pic:nvPicPr>
                        <pic:blipFill>
                          <a:blip r:embed="rId27"/>
                          <a:srcRect/>
                          <a:stretch>
                            <a:fillRect/>
                          </a:stretch>
                        </pic:blipFill>
                        <pic:spPr>
                          <a:xfrm>
                            <a:off x="0" y="0"/>
                            <a:ext cx="2771775" cy="2076450"/>
                          </a:xfrm>
                          <a:prstGeom prst="rect">
                            <a:avLst/>
                          </a:prstGeom>
                          <a:ln/>
                        </pic:spPr>
                      </pic:pic>
                    </a:graphicData>
                  </a:graphic>
                </wp:inline>
              </w:drawing>
            </w:r>
          </w:p>
        </w:tc>
        <w:tc>
          <w:tcPr>
            <w:tcW w:w="4643" w:type="dxa"/>
          </w:tcPr>
          <w:p w14:paraId="311A02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A78B45D" wp14:editId="03AC4C59">
                  <wp:extent cx="2800350" cy="2095500"/>
                  <wp:effectExtent l="0" t="0" r="0" b="0"/>
                  <wp:docPr id="2133617455" name="image99.jpg" descr="IMG_4624"/>
                  <wp:cNvGraphicFramePr/>
                  <a:graphic xmlns:a="http://schemas.openxmlformats.org/drawingml/2006/main">
                    <a:graphicData uri="http://schemas.openxmlformats.org/drawingml/2006/picture">
                      <pic:pic xmlns:pic="http://schemas.openxmlformats.org/drawingml/2006/picture">
                        <pic:nvPicPr>
                          <pic:cNvPr id="0" name="image99.jpg" descr="IMG_4624"/>
                          <pic:cNvPicPr preferRelativeResize="0"/>
                        </pic:nvPicPr>
                        <pic:blipFill>
                          <a:blip r:embed="rId28"/>
                          <a:srcRect/>
                          <a:stretch>
                            <a:fillRect/>
                          </a:stretch>
                        </pic:blipFill>
                        <pic:spPr>
                          <a:xfrm>
                            <a:off x="0" y="0"/>
                            <a:ext cx="2800350" cy="2095500"/>
                          </a:xfrm>
                          <a:prstGeom prst="rect">
                            <a:avLst/>
                          </a:prstGeom>
                          <a:ln/>
                        </pic:spPr>
                      </pic:pic>
                    </a:graphicData>
                  </a:graphic>
                </wp:inline>
              </w:drawing>
            </w:r>
          </w:p>
        </w:tc>
      </w:tr>
    </w:tbl>
    <w:p w14:paraId="2C9C3BFC" w14:textId="77777777" w:rsidR="001F600C" w:rsidRPr="00285D58" w:rsidRDefault="001F600C" w:rsidP="008D1FFF">
      <w:pPr>
        <w:spacing w:line="276" w:lineRule="auto"/>
        <w:ind w:left="570" w:hanging="2"/>
        <w:jc w:val="both"/>
        <w:rPr>
          <w:rFonts w:asciiTheme="minorHAnsi" w:eastAsia="Calibri" w:hAnsiTheme="minorHAnsi" w:cstheme="minorHAnsi"/>
        </w:rPr>
      </w:pPr>
      <w:r w:rsidRPr="00285D58">
        <w:rPr>
          <w:rFonts w:asciiTheme="minorHAnsi" w:eastAsia="Calibri" w:hAnsiTheme="minorHAnsi" w:cstheme="minorHAnsi"/>
        </w:rPr>
        <w:t>Ejemplos de motor térmico secundario (izquierda) y motor eléctrico principal (derecha) en La Massana, Andorra.</w:t>
      </w:r>
    </w:p>
    <w:p w14:paraId="00B5F04B" w14:textId="77777777" w:rsidR="001F600C" w:rsidRPr="00285D58" w:rsidRDefault="001F600C" w:rsidP="008D1FFF">
      <w:pPr>
        <w:spacing w:line="276" w:lineRule="auto"/>
        <w:jc w:val="both"/>
        <w:rPr>
          <w:rFonts w:asciiTheme="minorHAnsi" w:eastAsia="Calibri" w:hAnsiTheme="minorHAnsi" w:cstheme="minorHAnsi"/>
        </w:rPr>
      </w:pPr>
    </w:p>
    <w:p w14:paraId="5ED014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6FA1409B"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Dispositivos de frenado</w:t>
      </w:r>
    </w:p>
    <w:p w14:paraId="183860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instalarán tres dispositivos de parada y frenada que actuarán según la naturaleza del defecto detectado:</w:t>
      </w:r>
    </w:p>
    <w:p w14:paraId="45EC9183" w14:textId="77777777" w:rsidR="001F600C" w:rsidRPr="00285D58" w:rsidRDefault="001F600C" w:rsidP="008D1FFF">
      <w:pPr>
        <w:spacing w:line="276" w:lineRule="auto"/>
        <w:jc w:val="both"/>
        <w:rPr>
          <w:rFonts w:asciiTheme="minorHAnsi" w:eastAsia="Calibri" w:hAnsiTheme="minorHAnsi" w:cstheme="minorHAnsi"/>
        </w:rPr>
      </w:pPr>
    </w:p>
    <w:p w14:paraId="1F9727C2"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Parada eléctrica: La deceleración será efectuada por los motores principales, modulada por una rampa electrónica del variador de velocidad. El control de esta rampa será realizado por el sistema de automatismos de seguridad.</w:t>
      </w:r>
    </w:p>
    <w:p w14:paraId="04DCF6CD" w14:textId="77777777" w:rsidR="001F600C" w:rsidRPr="00285D58" w:rsidRDefault="001F600C" w:rsidP="008D1FFF">
      <w:pPr>
        <w:spacing w:line="276" w:lineRule="auto"/>
        <w:jc w:val="both"/>
        <w:rPr>
          <w:rFonts w:asciiTheme="minorHAnsi" w:eastAsia="Calibri" w:hAnsiTheme="minorHAnsi" w:cstheme="minorHAnsi"/>
        </w:rPr>
      </w:pPr>
    </w:p>
    <w:p w14:paraId="2BF4C8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funcionamiento incorrecto de este dispositivo, el freno de emergencia parará la instalación.</w:t>
      </w:r>
    </w:p>
    <w:p w14:paraId="68B223EC" w14:textId="77777777" w:rsidR="001F600C" w:rsidRPr="00285D58" w:rsidRDefault="001F600C" w:rsidP="008D1FFF">
      <w:pPr>
        <w:spacing w:line="276" w:lineRule="auto"/>
        <w:jc w:val="both"/>
        <w:rPr>
          <w:rFonts w:asciiTheme="minorHAnsi" w:eastAsia="Calibri" w:hAnsiTheme="minorHAnsi" w:cstheme="minorHAnsi"/>
        </w:rPr>
      </w:pPr>
    </w:p>
    <w:p w14:paraId="1519002F"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Freno de servicio: La parada de este freno implicará el corte de suministro del motor principal. Este freno (electromagnético o hidráulico) se describe a continuación:</w:t>
      </w:r>
    </w:p>
    <w:p w14:paraId="7B28D0AE" w14:textId="77777777" w:rsidR="001F600C" w:rsidRPr="00285D58" w:rsidRDefault="001F600C" w:rsidP="008D1FFF">
      <w:pPr>
        <w:spacing w:line="276" w:lineRule="auto"/>
        <w:jc w:val="both"/>
        <w:rPr>
          <w:rFonts w:asciiTheme="minorHAnsi" w:eastAsia="Calibri" w:hAnsiTheme="minorHAnsi" w:cstheme="minorHAnsi"/>
        </w:rPr>
      </w:pPr>
    </w:p>
    <w:p w14:paraId="67DA9998" w14:textId="77777777" w:rsidR="001F600C" w:rsidRPr="00285D58" w:rsidRDefault="001F600C" w:rsidP="008D1FFF">
      <w:pPr>
        <w:spacing w:line="276" w:lineRule="auto"/>
        <w:ind w:firstLine="708"/>
        <w:jc w:val="both"/>
        <w:rPr>
          <w:rFonts w:asciiTheme="minorHAnsi" w:eastAsia="Calibri" w:hAnsiTheme="minorHAnsi" w:cstheme="minorHAnsi"/>
        </w:rPr>
      </w:pPr>
      <w:r w:rsidRPr="00285D58">
        <w:rPr>
          <w:rFonts w:asciiTheme="minorHAnsi" w:eastAsia="Calibri" w:hAnsiTheme="minorHAnsi" w:cstheme="minorHAnsi"/>
        </w:rPr>
        <w:t>Funcionará en marcha normal y de emergencia.</w:t>
      </w:r>
    </w:p>
    <w:p w14:paraId="48435C1F"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mordazas actuarán automáticamente sobre un disco solidario del árbol rápido del reductor cuando se produzca un corte en la alimentación eléctrica del dispositivo. Se podrá prever asimismo acción directa de este freno sobre la polea motriz.</w:t>
      </w:r>
    </w:p>
    <w:p w14:paraId="5B31ED6C"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presión de cierre de las dos mordazas se producirá por un apilamiento de arandelas elásticas, mientras que la fuerza de apertura se efectuará por un sistema electromagnético o hidráulico.</w:t>
      </w:r>
    </w:p>
    <w:p w14:paraId="256E321C"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equipará este dispositivo con un sistema manual de desbloqueo y un mando eléctrico de apertura para el funcionamiento con el motor de emergencia.</w:t>
      </w:r>
    </w:p>
    <w:p w14:paraId="0F8528E7"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detectores de seguridad informarán sobre la posición del freno, autorizando o impidiendo la puesta en marcha del teleférico.</w:t>
      </w:r>
    </w:p>
    <w:p w14:paraId="027ED966"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 obtener una deceleración constante independientemente del estado de carga del aparato, y para determinar cualquier defecto en la deceleración, la frenada será pilotada por el sistema de autómatas.</w:t>
      </w:r>
    </w:p>
    <w:p w14:paraId="5766C95D" w14:textId="77777777" w:rsidR="001F600C" w:rsidRPr="00285D58" w:rsidRDefault="001F600C" w:rsidP="008D1FFF">
      <w:pPr>
        <w:widowControl/>
        <w:pBdr>
          <w:top w:val="nil"/>
          <w:left w:val="nil"/>
          <w:bottom w:val="nil"/>
          <w:right w:val="nil"/>
          <w:between w:val="nil"/>
        </w:pBdr>
        <w:spacing w:line="276" w:lineRule="auto"/>
        <w:ind w:left="1080"/>
        <w:jc w:val="both"/>
        <w:rPr>
          <w:rFonts w:asciiTheme="minorHAnsi" w:eastAsia="Calibri" w:hAnsiTheme="minorHAnsi" w:cstheme="minorHAnsi"/>
          <w:color w:val="000000"/>
        </w:rPr>
      </w:pPr>
    </w:p>
    <w:p w14:paraId="1D47CE2E" w14:textId="77777777" w:rsidR="001F600C" w:rsidRPr="00285D58" w:rsidRDefault="001F600C" w:rsidP="00A3732C">
      <w:pPr>
        <w:widowControl/>
        <w:numPr>
          <w:ilvl w:val="0"/>
          <w:numId w:val="2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Freno de seguridad (sobre polea motriz): </w:t>
      </w:r>
      <w:sdt>
        <w:sdtPr>
          <w:rPr>
            <w:rFonts w:asciiTheme="minorHAnsi" w:eastAsia="Calibri" w:hAnsiTheme="minorHAnsi" w:cstheme="minorHAnsi"/>
            <w:color w:val="000000"/>
          </w:rPr>
          <w:tag w:val="goog_rdk_96"/>
          <w:id w:val="-277036151"/>
        </w:sdtPr>
        <w:sdtContent>
          <w:sdt>
            <w:sdtPr>
              <w:rPr>
                <w:rFonts w:asciiTheme="minorHAnsi" w:eastAsia="Calibri" w:hAnsiTheme="minorHAnsi" w:cstheme="minorHAnsi"/>
                <w:color w:val="000000"/>
              </w:rPr>
              <w:tag w:val="goog_rdk_97"/>
              <w:id w:val="855081934"/>
            </w:sdtPr>
            <w:sdtContent/>
          </w:sdt>
        </w:sdtContent>
      </w:sdt>
      <w:sdt>
        <w:sdtPr>
          <w:rPr>
            <w:rFonts w:asciiTheme="minorHAnsi" w:eastAsia="Calibri" w:hAnsiTheme="minorHAnsi" w:cstheme="minorHAnsi"/>
            <w:color w:val="000000"/>
          </w:rPr>
          <w:tag w:val="goog_rdk_99"/>
          <w:id w:val="-1088772146"/>
        </w:sdtPr>
        <w:sdtContent>
          <w:r w:rsidRPr="00285D58">
            <w:rPr>
              <w:rFonts w:asciiTheme="minorHAnsi" w:eastAsia="Calibri" w:hAnsiTheme="minorHAnsi" w:cstheme="minorHAnsi"/>
              <w:color w:val="000000"/>
            </w:rPr>
            <w:t>Se activará</w:t>
          </w:r>
        </w:sdtContent>
      </w:sdt>
      <w:r w:rsidRPr="00285D58">
        <w:rPr>
          <w:rFonts w:asciiTheme="minorHAnsi" w:eastAsia="Calibri" w:hAnsiTheme="minorHAnsi" w:cstheme="minorHAnsi"/>
          <w:color w:val="000000"/>
        </w:rPr>
        <w:t xml:space="preserve"> automáticamente en los casos siguientes:</w:t>
      </w:r>
    </w:p>
    <w:p w14:paraId="66BD7993"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sobrevelocidad o inversión intempestiva del sentido de marcha.</w:t>
      </w:r>
    </w:p>
    <w:p w14:paraId="0DEDE575"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freno de servicio bloqueado o abierto al final de una parada eléctrica.</w:t>
      </w:r>
    </w:p>
    <w:p w14:paraId="7A885FF0" w14:textId="77777777" w:rsidR="001F600C" w:rsidRPr="00285D58" w:rsidRDefault="001F600C" w:rsidP="008D1FFF">
      <w:pPr>
        <w:widowControl/>
        <w:numPr>
          <w:ilvl w:val="1"/>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Detección de un defecto de deceleración durante una parada con motor eléctrico o freno de servicio.</w:t>
      </w:r>
    </w:p>
    <w:p w14:paraId="5CD5815B" w14:textId="77777777" w:rsidR="001F600C" w:rsidRPr="00285D58" w:rsidRDefault="001F600C" w:rsidP="008D1FFF">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05D073FA" w14:textId="77777777" w:rsidR="001F600C" w:rsidRPr="00285D58" w:rsidRDefault="001F600C" w:rsidP="008D1FFF">
      <w:pPr>
        <w:spacing w:line="276" w:lineRule="auto"/>
        <w:ind w:left="708"/>
        <w:jc w:val="both"/>
        <w:rPr>
          <w:rFonts w:asciiTheme="minorHAnsi" w:eastAsia="Calibri" w:hAnsiTheme="minorHAnsi" w:cstheme="minorHAnsi"/>
        </w:rPr>
      </w:pPr>
      <w:r w:rsidRPr="00285D58">
        <w:rPr>
          <w:rFonts w:asciiTheme="minorHAnsi" w:eastAsia="Calibri" w:hAnsiTheme="minorHAnsi" w:cstheme="minorHAnsi"/>
        </w:rPr>
        <w:t>La actuación de este freno se podrá provocar manualmente mediante varios botones de parada y por el accionamiento de una válvula de la central hidráulica de éste (en caso de ser hidráulico).</w:t>
      </w:r>
    </w:p>
    <w:p w14:paraId="28FDF139" w14:textId="77777777" w:rsidR="001F600C" w:rsidRPr="00285D58" w:rsidRDefault="001F600C" w:rsidP="008D1FFF">
      <w:pPr>
        <w:spacing w:line="276" w:lineRule="auto"/>
        <w:ind w:firstLine="708"/>
        <w:jc w:val="both"/>
        <w:rPr>
          <w:rFonts w:asciiTheme="minorHAnsi" w:eastAsia="Calibri" w:hAnsiTheme="minorHAnsi" w:cstheme="minorHAnsi"/>
        </w:rPr>
      </w:pPr>
    </w:p>
    <w:p w14:paraId="311BE269" w14:textId="77777777" w:rsidR="001F600C" w:rsidRPr="00285D58" w:rsidRDefault="001F600C" w:rsidP="008D1FFF">
      <w:pPr>
        <w:spacing w:line="276" w:lineRule="auto"/>
        <w:ind w:left="708"/>
        <w:jc w:val="both"/>
        <w:rPr>
          <w:rFonts w:asciiTheme="minorHAnsi" w:eastAsia="Calibri" w:hAnsiTheme="minorHAnsi" w:cstheme="minorHAnsi"/>
        </w:rPr>
      </w:pPr>
      <w:r w:rsidRPr="00285D58">
        <w:rPr>
          <w:rFonts w:asciiTheme="minorHAnsi" w:eastAsia="Calibri" w:hAnsiTheme="minorHAnsi" w:cstheme="minorHAnsi"/>
        </w:rPr>
        <w:t xml:space="preserve">La actuación de este freno inducirá el corte de suministro del motor y la caída temporizada </w:t>
      </w:r>
      <w:r w:rsidRPr="00285D58">
        <w:rPr>
          <w:rFonts w:asciiTheme="minorHAnsi" w:eastAsia="Calibri" w:hAnsiTheme="minorHAnsi" w:cstheme="minorHAnsi"/>
        </w:rPr>
        <w:lastRenderedPageBreak/>
        <w:t>del freno de servicio.</w:t>
      </w:r>
    </w:p>
    <w:p w14:paraId="15C9B3A8" w14:textId="77777777" w:rsidR="001F600C" w:rsidRPr="00285D58" w:rsidRDefault="001F600C" w:rsidP="008D1FFF">
      <w:pPr>
        <w:spacing w:line="276" w:lineRule="auto"/>
        <w:jc w:val="both"/>
        <w:rPr>
          <w:rFonts w:asciiTheme="minorHAnsi" w:eastAsia="Calibri" w:hAnsiTheme="minorHAnsi" w:cstheme="minorHAnsi"/>
        </w:rPr>
      </w:pPr>
    </w:p>
    <w:p w14:paraId="75FE01E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3F9AFDA" wp14:editId="1CDBF68B">
            <wp:extent cx="5514294" cy="4125355"/>
            <wp:effectExtent l="0" t="0" r="0" b="0"/>
            <wp:docPr id="213361745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29"/>
                    <a:srcRect l="28217" t="28931" r="27631" b="12321"/>
                    <a:stretch>
                      <a:fillRect/>
                    </a:stretch>
                  </pic:blipFill>
                  <pic:spPr>
                    <a:xfrm>
                      <a:off x="0" y="0"/>
                      <a:ext cx="5514294" cy="4125355"/>
                    </a:xfrm>
                    <a:prstGeom prst="rect">
                      <a:avLst/>
                    </a:prstGeom>
                    <a:ln/>
                  </pic:spPr>
                </pic:pic>
              </a:graphicData>
            </a:graphic>
          </wp:inline>
        </w:drawing>
      </w:r>
    </w:p>
    <w:p w14:paraId="2C9B0A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Ejemplo de grupo tractor en La Massana, Andorra.</w:t>
      </w:r>
    </w:p>
    <w:p w14:paraId="52E9E59B" w14:textId="77777777" w:rsidR="001F600C" w:rsidRPr="00285D58" w:rsidRDefault="001F600C" w:rsidP="008D1FFF">
      <w:pPr>
        <w:spacing w:line="276" w:lineRule="auto"/>
        <w:jc w:val="both"/>
        <w:rPr>
          <w:rFonts w:asciiTheme="minorHAnsi" w:eastAsia="Calibri" w:hAnsiTheme="minorHAnsi" w:cstheme="minorHAnsi"/>
        </w:rPr>
      </w:pPr>
    </w:p>
    <w:p w14:paraId="77B8937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Armario e seguridad y de mando</w:t>
      </w:r>
    </w:p>
    <w:p w14:paraId="7EFF5F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arquitectura eléctrica de seguridad y pilotaje de los teleféricos estará basada en una arquitectura separada:</w:t>
      </w:r>
    </w:p>
    <w:p w14:paraId="260F08FF" w14:textId="77777777" w:rsidR="001F600C" w:rsidRPr="00285D58" w:rsidRDefault="001F600C" w:rsidP="008D1FFF">
      <w:pPr>
        <w:spacing w:line="276" w:lineRule="auto"/>
        <w:jc w:val="both"/>
        <w:rPr>
          <w:rFonts w:asciiTheme="minorHAnsi" w:eastAsia="Calibri" w:hAnsiTheme="minorHAnsi" w:cstheme="minorHAnsi"/>
        </w:rPr>
      </w:pPr>
    </w:p>
    <w:p w14:paraId="29D8DD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autómata de pilotaje asegurará las funciones “normales”</w:t>
      </w:r>
    </w:p>
    <w:p w14:paraId="7FBC204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autómata de seguridad será el encargado de tratar todas las informaciones relativas a las seguridades (línea, supervisión de la velocidad, supervisión de la aceleración y frenado, apertura de puertas, entre otras)</w:t>
      </w:r>
    </w:p>
    <w:p w14:paraId="6F2FA1CE" w14:textId="77777777" w:rsidR="001F600C" w:rsidRPr="00285D58" w:rsidRDefault="001F600C" w:rsidP="008D1FFF">
      <w:pPr>
        <w:spacing w:line="276" w:lineRule="auto"/>
        <w:jc w:val="both"/>
        <w:rPr>
          <w:rFonts w:asciiTheme="minorHAnsi" w:eastAsia="Calibri" w:hAnsiTheme="minorHAnsi" w:cstheme="minorHAnsi"/>
        </w:rPr>
      </w:pPr>
    </w:p>
    <w:p w14:paraId="115F3D78"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Instalación eléctrica</w:t>
      </w:r>
    </w:p>
    <w:p w14:paraId="0DC5F22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Transformadores: de la misma manera que los motores eléctricos, los transformadores serán redundantes. Para ello, cada motor principal tendrá un transformador dedicado.</w:t>
      </w:r>
    </w:p>
    <w:p w14:paraId="7DE74F3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Todas las instalaciones eléctricas se diseñarán y dimensionarán según la Reglamentación vigente en Perú.</w:t>
      </w:r>
    </w:p>
    <w:p w14:paraId="2DD66EF5" w14:textId="77777777" w:rsidR="001F600C" w:rsidRPr="00285D58" w:rsidRDefault="001F600C" w:rsidP="008D1FFF">
      <w:pPr>
        <w:spacing w:line="276" w:lineRule="auto"/>
        <w:jc w:val="both"/>
        <w:rPr>
          <w:rFonts w:asciiTheme="minorHAnsi" w:eastAsia="Calibri" w:hAnsiTheme="minorHAnsi" w:cstheme="minorHAnsi"/>
        </w:rPr>
      </w:pPr>
    </w:p>
    <w:p w14:paraId="166B8A98"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Estación de retorno</w:t>
      </w:r>
    </w:p>
    <w:p w14:paraId="36B097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estación contiene, además de todos los elementos necesarios para el embarque y desembarque de pasajeros, los mecanismos que permiten mantener la tensión de los cables. Se distinguen los siguientes elementos:</w:t>
      </w:r>
    </w:p>
    <w:p w14:paraId="2FB79301" w14:textId="77777777" w:rsidR="001F600C" w:rsidRPr="00285D58" w:rsidRDefault="001F600C" w:rsidP="008D1FFF">
      <w:pPr>
        <w:spacing w:line="276" w:lineRule="auto"/>
        <w:jc w:val="both"/>
        <w:rPr>
          <w:rFonts w:asciiTheme="minorHAnsi" w:eastAsia="Calibri" w:hAnsiTheme="minorHAnsi" w:cstheme="minorHAnsi"/>
        </w:rPr>
      </w:pPr>
    </w:p>
    <w:p w14:paraId="308F47F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Zapatas de soporte y guía de los cables portadores</w:t>
      </w:r>
    </w:p>
    <w:p w14:paraId="03C85D7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Andenes de embarque, desembarque y espera de los pasajeros. El diseño de los andenes permite diferenciar las circulaciones de acceso y salida del teleférico. Este concepto es muy útil para la explotación, pues facilita tanto las operaciones por parte de la empresa gestora, como la orientación del cliente.</w:t>
      </w:r>
    </w:p>
    <w:p w14:paraId="38B77C4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andenes contaran con barandillas de seguridad y delimitación en todo su perímetro. Asimismo, se dispondrán puertas automáticas que se abrirán automáticamente cuando el conductor autorice el embarque y/o desembarque.</w:t>
      </w:r>
    </w:p>
    <w:p w14:paraId="72283B0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Muelles de estacionamiento de los vehículos (uno para cada vehículo). Los muelles cuentan con raíles electrificados que transmiten electricidad a las cabinas para la carga de las baterías</w:t>
      </w:r>
    </w:p>
    <w:p w14:paraId="0C6EAB4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Pistones de final de carrera que mantienen el vehículo estable cuando está estacionado para garantizar un embarque y desembarque de pasajeros en total seguridad</w:t>
      </w:r>
    </w:p>
    <w:p w14:paraId="0CADB45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Locales técnicos (en la planta inferior) que albergan todos los sistemas electromecánicos</w:t>
      </w:r>
    </w:p>
    <w:p w14:paraId="7EEB1B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desviación del cable tractor y sistema de tensión fija: las poleas de desviación inferiores estarán montadas sobre un chasis desplazable, que tendrá como objetivo mantener la tensión en el cable tractor, a medida que éste se alargue. En funcionamiento normal, las poleas de desviación son fijas (hablamos de cable tractor anclado), para que éste tenga las mismas flechas que los cables portadores, y se dilate o contraiga en las mismas proporciones.</w:t>
      </w:r>
    </w:p>
    <w:p w14:paraId="1C90D785" w14:textId="77777777" w:rsidR="001F600C" w:rsidRPr="00285D58" w:rsidRDefault="001F600C" w:rsidP="008D1FFF">
      <w:pPr>
        <w:spacing w:line="276" w:lineRule="auto"/>
        <w:jc w:val="both"/>
        <w:rPr>
          <w:rFonts w:asciiTheme="minorHAnsi" w:eastAsia="Calibri" w:hAnsiTheme="minorHAnsi" w:cstheme="minorHAnsi"/>
        </w:rPr>
      </w:pPr>
    </w:p>
    <w:p w14:paraId="17E3156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Zapatas de soporte y guía de los cables portadores</w:t>
      </w:r>
    </w:p>
    <w:p w14:paraId="7DB9EF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w:t>
      </w:r>
    </w:p>
    <w:p w14:paraId="611E7513" w14:textId="77777777" w:rsidR="001F600C" w:rsidRPr="00285D58" w:rsidRDefault="001F600C" w:rsidP="008D1FFF">
      <w:pPr>
        <w:spacing w:line="276" w:lineRule="auto"/>
        <w:jc w:val="both"/>
        <w:rPr>
          <w:rFonts w:asciiTheme="minorHAnsi" w:eastAsia="Calibri" w:hAnsiTheme="minorHAnsi" w:cstheme="minorHAnsi"/>
        </w:rPr>
      </w:pPr>
    </w:p>
    <w:p w14:paraId="687E4FEA"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de anclaje de los cables portadores a la superestructura. Cuentan además con detectores de la tensión de los cables.</w:t>
      </w:r>
    </w:p>
    <w:p w14:paraId="50CCA111"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Tambores para el almacenamiento del excedente de cable necesario para la realización de sus desplazamientos reglamentarios durante 50 años, según apartado 5.3 de la EN12927-7 (desplazamiento cada 12 años de una longitud al menos igual a la zona de contacto más 3 metros).</w:t>
      </w:r>
    </w:p>
    <w:p w14:paraId="554BF9F1" w14:textId="77777777" w:rsidR="001F600C" w:rsidRPr="00285D58" w:rsidRDefault="001F600C" w:rsidP="008D1FFF">
      <w:pPr>
        <w:widowControl/>
        <w:numPr>
          <w:ilvl w:val="0"/>
          <w:numId w:val="31"/>
        </w:numPr>
        <w:pBdr>
          <w:top w:val="nil"/>
          <w:left w:val="nil"/>
          <w:bottom w:val="nil"/>
          <w:right w:val="nil"/>
          <w:between w:val="nil"/>
        </w:pBdr>
        <w:spacing w:line="276" w:lineRule="auto"/>
        <w:ind w:left="708"/>
        <w:jc w:val="both"/>
        <w:rPr>
          <w:rFonts w:asciiTheme="minorHAnsi" w:eastAsia="Calibri" w:hAnsiTheme="minorHAnsi" w:cstheme="minorHAnsi"/>
          <w:color w:val="000000"/>
        </w:rPr>
      </w:pPr>
      <w:r w:rsidRPr="00285D58">
        <w:rPr>
          <w:rFonts w:asciiTheme="minorHAnsi" w:eastAsia="Calibri" w:hAnsiTheme="minorHAnsi" w:cstheme="minorHAnsi"/>
          <w:color w:val="000000"/>
        </w:rPr>
        <w:t>Estructuras de soporte y guiado de los cables portadores: levantan y alinean los cables con la otra estación. Cuentan con unas guías (“zapatas”) que permiten ligeros desplazamientos verticales y longitudinales de los mismos, generados por el desplazamiento de las cabinas sobre la línea (variación de catenarias por la carga puntual)</w:t>
      </w:r>
    </w:p>
    <w:p w14:paraId="5EC07A8D" w14:textId="77777777" w:rsidR="001F600C" w:rsidRPr="00285D58" w:rsidRDefault="001F600C" w:rsidP="008D1FFF">
      <w:pPr>
        <w:spacing w:line="276" w:lineRule="auto"/>
        <w:jc w:val="both"/>
        <w:rPr>
          <w:rFonts w:asciiTheme="minorHAnsi" w:eastAsia="Calibri" w:hAnsiTheme="minorHAnsi" w:cstheme="minorHAnsi"/>
        </w:rPr>
      </w:pPr>
    </w:p>
    <w:p w14:paraId="192A518F"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Desviación y tensión del cable tractor</w:t>
      </w:r>
    </w:p>
    <w:p w14:paraId="0787A8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estación es necesario desviar el cable tractor, para reenviarlo desde la “ida” hacia la “vuelta”. Componen pues este componente los elementos siguientes:</w:t>
      </w:r>
    </w:p>
    <w:p w14:paraId="7A60AFDF" w14:textId="77777777" w:rsidR="001F600C" w:rsidRPr="00285D58" w:rsidRDefault="001F600C" w:rsidP="008D1FFF">
      <w:pPr>
        <w:spacing w:line="276" w:lineRule="auto"/>
        <w:jc w:val="both"/>
        <w:rPr>
          <w:rFonts w:asciiTheme="minorHAnsi" w:eastAsia="Calibri" w:hAnsiTheme="minorHAnsi" w:cstheme="minorHAnsi"/>
        </w:rPr>
      </w:pPr>
    </w:p>
    <w:p w14:paraId="6A48091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de guía del cable tractor. Las poleas de guiado dispondrán de una redundancia de los rodamientos principales para permitir la evacuación de la instalación en caso de avería sobre éstos. La redundancia podrá ser asegurada por casquillos de teflón, copolímeros, o similar.</w:t>
      </w:r>
    </w:p>
    <w:p w14:paraId="689122E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Poleas de reenvío: las poleas de desviación inferiores estarán montadas sobre un chasis desplazable, que tendrá como objetivo mantener la tensión en el cable tractor, a medida que éste se alargue. El desplazamiento del carro será manual, con la ayuda de unos pistones hidráulicos. En funcionamiento normal, hablamos de cable tractor anclado (por oposición a mecanismo de tensión constante).</w:t>
      </w:r>
    </w:p>
    <w:p w14:paraId="22F4BB35"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t>Resumen de Estaciones</w:t>
      </w:r>
    </w:p>
    <w:p w14:paraId="21BE981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Cada teleférico contará con 2 estaciones extremas.</w:t>
      </w:r>
    </w:p>
    <w:p w14:paraId="27DCF71B" w14:textId="77777777" w:rsidR="001F600C" w:rsidRPr="00285D58" w:rsidRDefault="001F600C" w:rsidP="008D1FFF">
      <w:pPr>
        <w:spacing w:line="276" w:lineRule="auto"/>
        <w:jc w:val="both"/>
        <w:rPr>
          <w:rFonts w:asciiTheme="minorHAnsi" w:eastAsia="Calibri" w:hAnsiTheme="minorHAnsi" w:cstheme="minorHAnsi"/>
        </w:rPr>
      </w:pPr>
    </w:p>
    <w:p w14:paraId="6300975B" w14:textId="0D5C9E0A"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CARACTERÍSTICAS DE LAS ESTACIONES (SUR).</w:t>
      </w:r>
    </w:p>
    <w:tbl>
      <w:tblPr>
        <w:tblW w:w="850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3119"/>
        <w:gridCol w:w="2396"/>
        <w:gridCol w:w="2990"/>
      </w:tblGrid>
      <w:tr w:rsidR="001F600C" w:rsidRPr="00285D58" w14:paraId="37ABF2C5" w14:textId="77777777" w:rsidTr="00242093">
        <w:trPr>
          <w:trHeight w:val="480"/>
          <w:jc w:val="center"/>
        </w:trPr>
        <w:tc>
          <w:tcPr>
            <w:tcW w:w="8505" w:type="dxa"/>
            <w:gridSpan w:val="3"/>
            <w:shd w:val="clear" w:color="auto" w:fill="E7E6E6" w:themeFill="background2"/>
          </w:tcPr>
          <w:p w14:paraId="28BB6204"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“sur”</w:t>
            </w:r>
          </w:p>
        </w:tc>
      </w:tr>
      <w:tr w:rsidR="001F600C" w:rsidRPr="00285D58" w14:paraId="799A8573" w14:textId="77777777" w:rsidTr="00242093">
        <w:trPr>
          <w:trHeight w:val="480"/>
          <w:jc w:val="center"/>
        </w:trPr>
        <w:tc>
          <w:tcPr>
            <w:tcW w:w="3119" w:type="dxa"/>
            <w:shd w:val="clear" w:color="auto" w:fill="E7E6E6" w:themeFill="background2"/>
          </w:tcPr>
          <w:p w14:paraId="5A8D35B3"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2396" w:type="dxa"/>
            <w:shd w:val="clear" w:color="auto" w:fill="E7E6E6" w:themeFill="background2"/>
          </w:tcPr>
          <w:p w14:paraId="7651EE76"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Kiuñalla</w:t>
            </w:r>
          </w:p>
        </w:tc>
        <w:tc>
          <w:tcPr>
            <w:tcW w:w="2990" w:type="dxa"/>
            <w:shd w:val="clear" w:color="auto" w:fill="E7E6E6" w:themeFill="background2"/>
          </w:tcPr>
          <w:p w14:paraId="40362E4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Unión</w:t>
            </w:r>
          </w:p>
        </w:tc>
      </w:tr>
      <w:tr w:rsidR="001F600C" w:rsidRPr="00285D58" w14:paraId="09E226AF" w14:textId="77777777" w:rsidTr="00242093">
        <w:trPr>
          <w:trHeight w:val="720"/>
          <w:jc w:val="center"/>
        </w:trPr>
        <w:tc>
          <w:tcPr>
            <w:tcW w:w="3119" w:type="dxa"/>
          </w:tcPr>
          <w:p w14:paraId="37FE9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Tipo de estación</w:t>
            </w:r>
          </w:p>
        </w:tc>
        <w:tc>
          <w:tcPr>
            <w:tcW w:w="2396" w:type="dxa"/>
          </w:tcPr>
          <w:p w14:paraId="3C3F61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2990" w:type="dxa"/>
          </w:tcPr>
          <w:p w14:paraId="6698AA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r>
      <w:tr w:rsidR="001F600C" w:rsidRPr="00285D58" w14:paraId="7755A8D8" w14:textId="77777777" w:rsidTr="00242093">
        <w:trPr>
          <w:trHeight w:val="240"/>
          <w:jc w:val="center"/>
        </w:trPr>
        <w:tc>
          <w:tcPr>
            <w:tcW w:w="3119" w:type="dxa"/>
          </w:tcPr>
          <w:p w14:paraId="43F2C0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Ocupación total en planta</w:t>
            </w:r>
          </w:p>
        </w:tc>
        <w:tc>
          <w:tcPr>
            <w:tcW w:w="2396" w:type="dxa"/>
          </w:tcPr>
          <w:p w14:paraId="52C50A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1.165 m²</w:t>
            </w:r>
          </w:p>
        </w:tc>
        <w:tc>
          <w:tcPr>
            <w:tcW w:w="2990" w:type="dxa"/>
          </w:tcPr>
          <w:p w14:paraId="6C2F8D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485 m²</w:t>
            </w:r>
          </w:p>
        </w:tc>
      </w:tr>
      <w:tr w:rsidR="001F600C" w:rsidRPr="00285D58" w14:paraId="1CDEDE43" w14:textId="77777777" w:rsidTr="00242093">
        <w:trPr>
          <w:trHeight w:val="368"/>
          <w:jc w:val="center"/>
        </w:trPr>
        <w:tc>
          <w:tcPr>
            <w:tcW w:w="3119" w:type="dxa"/>
          </w:tcPr>
          <w:p w14:paraId="2C3B4B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aproximada:</w:t>
            </w:r>
          </w:p>
        </w:tc>
        <w:tc>
          <w:tcPr>
            <w:tcW w:w="2396" w:type="dxa"/>
          </w:tcPr>
          <w:p w14:paraId="79D99487" w14:textId="77777777" w:rsidR="001F600C" w:rsidRPr="00285D58" w:rsidRDefault="001F600C" w:rsidP="008D1FFF">
            <w:pPr>
              <w:spacing w:line="276" w:lineRule="auto"/>
              <w:jc w:val="both"/>
              <w:rPr>
                <w:rFonts w:asciiTheme="minorHAnsi" w:eastAsia="Calibri" w:hAnsiTheme="minorHAnsi" w:cstheme="minorHAnsi"/>
              </w:rPr>
            </w:pPr>
          </w:p>
        </w:tc>
        <w:tc>
          <w:tcPr>
            <w:tcW w:w="2990" w:type="dxa"/>
          </w:tcPr>
          <w:p w14:paraId="2B23F0F0"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34A79B33" w14:textId="77777777" w:rsidTr="00242093">
        <w:trPr>
          <w:trHeight w:val="365"/>
          <w:jc w:val="center"/>
        </w:trPr>
        <w:tc>
          <w:tcPr>
            <w:tcW w:w="3119" w:type="dxa"/>
          </w:tcPr>
          <w:p w14:paraId="2D017739" w14:textId="28A50079"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w:t>
            </w:r>
            <w:r w:rsidR="001F600C" w:rsidRPr="00285D58">
              <w:rPr>
                <w:rFonts w:asciiTheme="minorHAnsi" w:eastAsia="Calibri" w:hAnsiTheme="minorHAnsi" w:cstheme="minorHAnsi"/>
              </w:rPr>
              <w:t>uelles</w:t>
            </w:r>
          </w:p>
        </w:tc>
        <w:tc>
          <w:tcPr>
            <w:tcW w:w="2396" w:type="dxa"/>
          </w:tcPr>
          <w:p w14:paraId="2C4799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 m²</w:t>
            </w:r>
          </w:p>
        </w:tc>
        <w:tc>
          <w:tcPr>
            <w:tcW w:w="2990" w:type="dxa"/>
          </w:tcPr>
          <w:p w14:paraId="51C95A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124 m²</w:t>
            </w:r>
          </w:p>
        </w:tc>
      </w:tr>
      <w:tr w:rsidR="001F600C" w:rsidRPr="00285D58" w14:paraId="4B36CFA2" w14:textId="77777777" w:rsidTr="00242093">
        <w:trPr>
          <w:trHeight w:val="365"/>
          <w:jc w:val="center"/>
        </w:trPr>
        <w:tc>
          <w:tcPr>
            <w:tcW w:w="3119" w:type="dxa"/>
          </w:tcPr>
          <w:p w14:paraId="1CF9C7E6" w14:textId="45F4388B"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Estacionamientos pasajeros</w:t>
            </w:r>
          </w:p>
        </w:tc>
        <w:tc>
          <w:tcPr>
            <w:tcW w:w="2396" w:type="dxa"/>
          </w:tcPr>
          <w:p w14:paraId="35768A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 m²</w:t>
            </w:r>
          </w:p>
        </w:tc>
        <w:tc>
          <w:tcPr>
            <w:tcW w:w="2990" w:type="dxa"/>
          </w:tcPr>
          <w:p w14:paraId="1FA2FF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 m²</w:t>
            </w:r>
          </w:p>
        </w:tc>
      </w:tr>
      <w:tr w:rsidR="001F600C" w:rsidRPr="00285D58" w14:paraId="2655B8BB" w14:textId="77777777" w:rsidTr="00242093">
        <w:trPr>
          <w:trHeight w:val="365"/>
          <w:jc w:val="center"/>
        </w:trPr>
        <w:tc>
          <w:tcPr>
            <w:tcW w:w="3119" w:type="dxa"/>
          </w:tcPr>
          <w:p w14:paraId="10C86082" w14:textId="7A4D0B60"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w:t>
            </w:r>
            <w:r w:rsidR="001F600C" w:rsidRPr="00285D58">
              <w:rPr>
                <w:rFonts w:asciiTheme="minorHAnsi" w:eastAsia="Calibri" w:hAnsiTheme="minorHAnsi" w:cstheme="minorHAnsi"/>
              </w:rPr>
              <w:t>ocales técnicos</w:t>
            </w:r>
          </w:p>
        </w:tc>
        <w:tc>
          <w:tcPr>
            <w:tcW w:w="2396" w:type="dxa"/>
          </w:tcPr>
          <w:p w14:paraId="722B08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660 m²</w:t>
            </w:r>
          </w:p>
        </w:tc>
        <w:tc>
          <w:tcPr>
            <w:tcW w:w="2990" w:type="dxa"/>
          </w:tcPr>
          <w:p w14:paraId="77FFAB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361 m²</w:t>
            </w:r>
          </w:p>
        </w:tc>
      </w:tr>
      <w:tr w:rsidR="001F600C" w:rsidRPr="00285D58" w14:paraId="64777BFA" w14:textId="77777777" w:rsidTr="00242093">
        <w:trPr>
          <w:trHeight w:val="365"/>
          <w:jc w:val="center"/>
        </w:trPr>
        <w:tc>
          <w:tcPr>
            <w:tcW w:w="3119" w:type="dxa"/>
          </w:tcPr>
          <w:p w14:paraId="419CB560" w14:textId="1E159043" w:rsidR="001F600C" w:rsidRPr="00285D58" w:rsidRDefault="003B55C6"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w:t>
            </w:r>
            <w:r w:rsidR="001F600C" w:rsidRPr="00285D58">
              <w:rPr>
                <w:rFonts w:asciiTheme="minorHAnsi" w:eastAsia="Calibri" w:hAnsiTheme="minorHAnsi" w:cstheme="minorHAnsi"/>
              </w:rPr>
              <w:t>ervicios/tienda pasajeros</w:t>
            </w:r>
          </w:p>
        </w:tc>
        <w:tc>
          <w:tcPr>
            <w:tcW w:w="2396" w:type="dxa"/>
          </w:tcPr>
          <w:p w14:paraId="33E6FC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640 m²</w:t>
            </w:r>
          </w:p>
        </w:tc>
        <w:tc>
          <w:tcPr>
            <w:tcW w:w="2990" w:type="dxa"/>
          </w:tcPr>
          <w:p w14:paraId="3F7AC8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 m²</w:t>
            </w:r>
          </w:p>
        </w:tc>
      </w:tr>
      <w:tr w:rsidR="001F600C" w:rsidRPr="00285D58" w14:paraId="4F8BBD1C" w14:textId="77777777" w:rsidTr="00242093">
        <w:trPr>
          <w:trHeight w:val="240"/>
          <w:jc w:val="center"/>
        </w:trPr>
        <w:tc>
          <w:tcPr>
            <w:tcW w:w="3119" w:type="dxa"/>
          </w:tcPr>
          <w:p w14:paraId="56DC15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superior</w:t>
            </w:r>
          </w:p>
        </w:tc>
        <w:tc>
          <w:tcPr>
            <w:tcW w:w="2396" w:type="dxa"/>
          </w:tcPr>
          <w:p w14:paraId="54332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2990" w:type="dxa"/>
          </w:tcPr>
          <w:p w14:paraId="48B7D5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r>
      <w:tr w:rsidR="001F600C" w:rsidRPr="00285D58" w14:paraId="61428AD0" w14:textId="77777777" w:rsidTr="00242093">
        <w:trPr>
          <w:trHeight w:val="421"/>
          <w:jc w:val="center"/>
        </w:trPr>
        <w:tc>
          <w:tcPr>
            <w:tcW w:w="3119" w:type="dxa"/>
          </w:tcPr>
          <w:p w14:paraId="3EE2AE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inferior</w:t>
            </w:r>
          </w:p>
        </w:tc>
        <w:tc>
          <w:tcPr>
            <w:tcW w:w="2396" w:type="dxa"/>
          </w:tcPr>
          <w:p w14:paraId="194A11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2990" w:type="dxa"/>
          </w:tcPr>
          <w:p w14:paraId="49807C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r>
    </w:tbl>
    <w:p w14:paraId="50D442AD" w14:textId="77777777" w:rsidR="001F600C" w:rsidRPr="00285D58" w:rsidRDefault="001F600C" w:rsidP="008D1FFF">
      <w:pPr>
        <w:spacing w:line="276" w:lineRule="auto"/>
        <w:jc w:val="both"/>
        <w:rPr>
          <w:rFonts w:asciiTheme="minorHAnsi" w:eastAsia="Calibri" w:hAnsiTheme="minorHAnsi" w:cstheme="minorHAnsi"/>
        </w:rPr>
      </w:pPr>
    </w:p>
    <w:p w14:paraId="7A0EBD03" w14:textId="20F7D6AE"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13</w:t>
      </w:r>
      <w:r w:rsidR="00F20B19" w:rsidRPr="00285D58">
        <w:rPr>
          <w:rFonts w:asciiTheme="minorHAnsi" w:hAnsiTheme="minorHAnsi" w:cstheme="minorHAnsi"/>
          <w:noProof/>
        </w:rPr>
        <w:fldChar w:fldCharType="end"/>
      </w:r>
      <w:r w:rsidRPr="00285D58">
        <w:rPr>
          <w:rFonts w:asciiTheme="minorHAnsi" w:hAnsiTheme="minorHAnsi" w:cstheme="minorHAnsi"/>
        </w:rPr>
        <w:t>. CARACTERÍSTICAS DE LAS ESTACIONES (NORTE).</w:t>
      </w:r>
    </w:p>
    <w:tbl>
      <w:tblPr>
        <w:tblW w:w="8964"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2036"/>
        <w:gridCol w:w="1702"/>
        <w:gridCol w:w="1702"/>
        <w:gridCol w:w="1702"/>
        <w:gridCol w:w="1822"/>
      </w:tblGrid>
      <w:tr w:rsidR="001F600C" w:rsidRPr="00285D58" w14:paraId="4D639F32" w14:textId="77777777" w:rsidTr="00242093">
        <w:trPr>
          <w:trHeight w:val="480"/>
          <w:jc w:val="center"/>
        </w:trPr>
        <w:tc>
          <w:tcPr>
            <w:tcW w:w="2036" w:type="dxa"/>
            <w:shd w:val="clear" w:color="auto" w:fill="E7E6E6" w:themeFill="background2"/>
          </w:tcPr>
          <w:p w14:paraId="227617F3"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3404" w:type="dxa"/>
            <w:gridSpan w:val="2"/>
            <w:shd w:val="clear" w:color="auto" w:fill="E7E6E6" w:themeFill="background2"/>
          </w:tcPr>
          <w:p w14:paraId="2781827F"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1</w:t>
            </w:r>
          </w:p>
        </w:tc>
        <w:tc>
          <w:tcPr>
            <w:tcW w:w="3524" w:type="dxa"/>
            <w:gridSpan w:val="2"/>
            <w:shd w:val="clear" w:color="auto" w:fill="E7E6E6" w:themeFill="background2"/>
          </w:tcPr>
          <w:p w14:paraId="2E7804F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Teleférico “norte”, sección 2</w:t>
            </w:r>
          </w:p>
        </w:tc>
      </w:tr>
      <w:tr w:rsidR="001F600C" w:rsidRPr="00285D58" w14:paraId="7C113BF3" w14:textId="77777777" w:rsidTr="00242093">
        <w:trPr>
          <w:trHeight w:val="480"/>
          <w:jc w:val="center"/>
        </w:trPr>
        <w:tc>
          <w:tcPr>
            <w:tcW w:w="2036" w:type="dxa"/>
            <w:shd w:val="clear" w:color="auto" w:fill="E7E6E6" w:themeFill="background2"/>
          </w:tcPr>
          <w:p w14:paraId="01DF19BC" w14:textId="77777777" w:rsidR="001F600C" w:rsidRPr="00285D58" w:rsidRDefault="001F600C" w:rsidP="008D1FFF">
            <w:pPr>
              <w:spacing w:line="276" w:lineRule="auto"/>
              <w:ind w:firstLine="567"/>
              <w:jc w:val="both"/>
              <w:rPr>
                <w:rFonts w:asciiTheme="minorHAnsi" w:eastAsia="Calibri" w:hAnsiTheme="minorHAnsi" w:cstheme="minorHAnsi"/>
                <w:b/>
                <w:bCs/>
              </w:rPr>
            </w:pPr>
          </w:p>
        </w:tc>
        <w:tc>
          <w:tcPr>
            <w:tcW w:w="1702" w:type="dxa"/>
            <w:shd w:val="clear" w:color="auto" w:fill="E7E6E6" w:themeFill="background2"/>
          </w:tcPr>
          <w:p w14:paraId="66EAE93B"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Abra San Juan</w:t>
            </w:r>
          </w:p>
        </w:tc>
        <w:tc>
          <w:tcPr>
            <w:tcW w:w="1702" w:type="dxa"/>
            <w:shd w:val="clear" w:color="auto" w:fill="E7E6E6" w:themeFill="background2"/>
          </w:tcPr>
          <w:p w14:paraId="5D027585"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Maizal</w:t>
            </w:r>
          </w:p>
        </w:tc>
        <w:tc>
          <w:tcPr>
            <w:tcW w:w="1702" w:type="dxa"/>
            <w:shd w:val="clear" w:color="auto" w:fill="E7E6E6" w:themeFill="background2"/>
          </w:tcPr>
          <w:p w14:paraId="42634E2D"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Maizal</w:t>
            </w:r>
          </w:p>
        </w:tc>
        <w:tc>
          <w:tcPr>
            <w:tcW w:w="1822" w:type="dxa"/>
            <w:shd w:val="clear" w:color="auto" w:fill="E7E6E6" w:themeFill="background2"/>
          </w:tcPr>
          <w:p w14:paraId="76BAEC89"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Estación Choquequirao “cumbre”</w:t>
            </w:r>
          </w:p>
        </w:tc>
      </w:tr>
      <w:tr w:rsidR="001F600C" w:rsidRPr="00285D58" w14:paraId="7E9B562F" w14:textId="77777777" w:rsidTr="00242093">
        <w:trPr>
          <w:trHeight w:val="720"/>
          <w:jc w:val="center"/>
        </w:trPr>
        <w:tc>
          <w:tcPr>
            <w:tcW w:w="2036" w:type="dxa"/>
          </w:tcPr>
          <w:p w14:paraId="3C35E6F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Tipo de estación</w:t>
            </w:r>
          </w:p>
        </w:tc>
        <w:tc>
          <w:tcPr>
            <w:tcW w:w="1702" w:type="dxa"/>
          </w:tcPr>
          <w:p w14:paraId="7AEA7E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1702" w:type="dxa"/>
          </w:tcPr>
          <w:p w14:paraId="10F671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c>
          <w:tcPr>
            <w:tcW w:w="1702" w:type="dxa"/>
          </w:tcPr>
          <w:p w14:paraId="597261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Motriz</w:t>
            </w:r>
          </w:p>
        </w:tc>
        <w:tc>
          <w:tcPr>
            <w:tcW w:w="1822" w:type="dxa"/>
          </w:tcPr>
          <w:p w14:paraId="1414D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Retorno</w:t>
            </w:r>
          </w:p>
        </w:tc>
      </w:tr>
      <w:tr w:rsidR="001F600C" w:rsidRPr="00285D58" w14:paraId="320D04D7" w14:textId="77777777" w:rsidTr="00242093">
        <w:trPr>
          <w:trHeight w:val="240"/>
          <w:jc w:val="center"/>
        </w:trPr>
        <w:tc>
          <w:tcPr>
            <w:tcW w:w="2036" w:type="dxa"/>
          </w:tcPr>
          <w:p w14:paraId="284634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Ocupación total en planta</w:t>
            </w:r>
          </w:p>
        </w:tc>
        <w:tc>
          <w:tcPr>
            <w:tcW w:w="1702" w:type="dxa"/>
          </w:tcPr>
          <w:p w14:paraId="2853FE8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725 m²</w:t>
            </w:r>
          </w:p>
        </w:tc>
        <w:tc>
          <w:tcPr>
            <w:tcW w:w="1702" w:type="dxa"/>
          </w:tcPr>
          <w:p w14:paraId="395919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550 m²</w:t>
            </w:r>
          </w:p>
        </w:tc>
        <w:tc>
          <w:tcPr>
            <w:tcW w:w="1702" w:type="dxa"/>
          </w:tcPr>
          <w:p w14:paraId="2A25B9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807 m²</w:t>
            </w:r>
          </w:p>
        </w:tc>
        <w:tc>
          <w:tcPr>
            <w:tcW w:w="1822" w:type="dxa"/>
          </w:tcPr>
          <w:p w14:paraId="0446FA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695 m²</w:t>
            </w:r>
          </w:p>
        </w:tc>
      </w:tr>
      <w:tr w:rsidR="001F600C" w:rsidRPr="00285D58" w14:paraId="2C63E019" w14:textId="77777777" w:rsidTr="00242093">
        <w:trPr>
          <w:trHeight w:val="368"/>
          <w:jc w:val="center"/>
        </w:trPr>
        <w:tc>
          <w:tcPr>
            <w:tcW w:w="2036" w:type="dxa"/>
          </w:tcPr>
          <w:p w14:paraId="387F7516" w14:textId="3C4C1203"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aproximada</w:t>
            </w:r>
          </w:p>
        </w:tc>
        <w:tc>
          <w:tcPr>
            <w:tcW w:w="1702" w:type="dxa"/>
          </w:tcPr>
          <w:p w14:paraId="0CBBA3B0" w14:textId="77777777" w:rsidR="001F600C" w:rsidRPr="00285D58" w:rsidRDefault="001F600C" w:rsidP="008D1FFF">
            <w:pPr>
              <w:spacing w:line="276" w:lineRule="auto"/>
              <w:jc w:val="both"/>
              <w:rPr>
                <w:rFonts w:asciiTheme="minorHAnsi" w:eastAsia="Calibri" w:hAnsiTheme="minorHAnsi" w:cstheme="minorHAnsi"/>
              </w:rPr>
            </w:pPr>
          </w:p>
        </w:tc>
        <w:tc>
          <w:tcPr>
            <w:tcW w:w="1702" w:type="dxa"/>
          </w:tcPr>
          <w:p w14:paraId="1583507C" w14:textId="77777777" w:rsidR="001F600C" w:rsidRPr="00285D58" w:rsidRDefault="001F600C" w:rsidP="008D1FFF">
            <w:pPr>
              <w:spacing w:line="276" w:lineRule="auto"/>
              <w:jc w:val="both"/>
              <w:rPr>
                <w:rFonts w:asciiTheme="minorHAnsi" w:eastAsia="Calibri" w:hAnsiTheme="minorHAnsi" w:cstheme="minorHAnsi"/>
              </w:rPr>
            </w:pPr>
          </w:p>
        </w:tc>
        <w:tc>
          <w:tcPr>
            <w:tcW w:w="1702" w:type="dxa"/>
          </w:tcPr>
          <w:p w14:paraId="69B36BB4" w14:textId="77777777" w:rsidR="001F600C" w:rsidRPr="00285D58" w:rsidRDefault="001F600C" w:rsidP="008D1FFF">
            <w:pPr>
              <w:spacing w:line="276" w:lineRule="auto"/>
              <w:jc w:val="both"/>
              <w:rPr>
                <w:rFonts w:asciiTheme="minorHAnsi" w:eastAsia="Calibri" w:hAnsiTheme="minorHAnsi" w:cstheme="minorHAnsi"/>
              </w:rPr>
            </w:pPr>
          </w:p>
        </w:tc>
        <w:tc>
          <w:tcPr>
            <w:tcW w:w="1822" w:type="dxa"/>
          </w:tcPr>
          <w:p w14:paraId="2337BD3F"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18024CF2" w14:textId="77777777" w:rsidTr="00242093">
        <w:trPr>
          <w:trHeight w:val="365"/>
          <w:jc w:val="center"/>
        </w:trPr>
        <w:tc>
          <w:tcPr>
            <w:tcW w:w="2036" w:type="dxa"/>
          </w:tcPr>
          <w:p w14:paraId="0E98DA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muelles</w:t>
            </w:r>
          </w:p>
        </w:tc>
        <w:tc>
          <w:tcPr>
            <w:tcW w:w="1702" w:type="dxa"/>
          </w:tcPr>
          <w:p w14:paraId="18F4DC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115 m²</w:t>
            </w:r>
          </w:p>
        </w:tc>
        <w:tc>
          <w:tcPr>
            <w:tcW w:w="1702" w:type="dxa"/>
          </w:tcPr>
          <w:p w14:paraId="04BE39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115 m²</w:t>
            </w:r>
          </w:p>
        </w:tc>
        <w:tc>
          <w:tcPr>
            <w:tcW w:w="1702" w:type="dxa"/>
          </w:tcPr>
          <w:p w14:paraId="10A1B4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140 m²</w:t>
            </w:r>
          </w:p>
        </w:tc>
        <w:tc>
          <w:tcPr>
            <w:tcW w:w="1822" w:type="dxa"/>
          </w:tcPr>
          <w:p w14:paraId="26A4B6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140 m²</w:t>
            </w:r>
          </w:p>
        </w:tc>
      </w:tr>
      <w:tr w:rsidR="001F600C" w:rsidRPr="00285D58" w14:paraId="6C9A803F" w14:textId="77777777" w:rsidTr="00242093">
        <w:trPr>
          <w:trHeight w:val="365"/>
          <w:jc w:val="center"/>
        </w:trPr>
        <w:tc>
          <w:tcPr>
            <w:tcW w:w="2036" w:type="dxa"/>
          </w:tcPr>
          <w:p w14:paraId="2B4E97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estacionamientos pasajeros</w:t>
            </w:r>
          </w:p>
        </w:tc>
        <w:tc>
          <w:tcPr>
            <w:tcW w:w="1702" w:type="dxa"/>
          </w:tcPr>
          <w:p w14:paraId="0122CD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90 m²</w:t>
            </w:r>
          </w:p>
        </w:tc>
        <w:tc>
          <w:tcPr>
            <w:tcW w:w="1702" w:type="dxa"/>
          </w:tcPr>
          <w:p w14:paraId="2F2D81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90 m²</w:t>
            </w:r>
          </w:p>
        </w:tc>
        <w:tc>
          <w:tcPr>
            <w:tcW w:w="1702" w:type="dxa"/>
          </w:tcPr>
          <w:p w14:paraId="7FDEB8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 m²</w:t>
            </w:r>
          </w:p>
        </w:tc>
        <w:tc>
          <w:tcPr>
            <w:tcW w:w="1822" w:type="dxa"/>
          </w:tcPr>
          <w:p w14:paraId="1E598D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 m²</w:t>
            </w:r>
          </w:p>
        </w:tc>
      </w:tr>
      <w:tr w:rsidR="001F600C" w:rsidRPr="00285D58" w14:paraId="6AE5AA7F" w14:textId="77777777" w:rsidTr="00242093">
        <w:trPr>
          <w:trHeight w:val="365"/>
          <w:jc w:val="center"/>
        </w:trPr>
        <w:tc>
          <w:tcPr>
            <w:tcW w:w="2036" w:type="dxa"/>
          </w:tcPr>
          <w:p w14:paraId="7E36E4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locales técnicos</w:t>
            </w:r>
          </w:p>
        </w:tc>
        <w:tc>
          <w:tcPr>
            <w:tcW w:w="1702" w:type="dxa"/>
          </w:tcPr>
          <w:p w14:paraId="1AE047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535 m²</w:t>
            </w:r>
          </w:p>
        </w:tc>
        <w:tc>
          <w:tcPr>
            <w:tcW w:w="1702" w:type="dxa"/>
          </w:tcPr>
          <w:p w14:paraId="291617B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285 m²</w:t>
            </w:r>
          </w:p>
        </w:tc>
        <w:tc>
          <w:tcPr>
            <w:tcW w:w="1702" w:type="dxa"/>
          </w:tcPr>
          <w:p w14:paraId="4F9836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570 m²</w:t>
            </w:r>
          </w:p>
        </w:tc>
        <w:tc>
          <w:tcPr>
            <w:tcW w:w="1822" w:type="dxa"/>
          </w:tcPr>
          <w:p w14:paraId="1D65F1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360 m²</w:t>
            </w:r>
          </w:p>
        </w:tc>
      </w:tr>
      <w:tr w:rsidR="001F600C" w:rsidRPr="00285D58" w14:paraId="50BC6336" w14:textId="77777777" w:rsidTr="00242093">
        <w:trPr>
          <w:trHeight w:val="365"/>
          <w:jc w:val="center"/>
        </w:trPr>
        <w:tc>
          <w:tcPr>
            <w:tcW w:w="2036" w:type="dxa"/>
          </w:tcPr>
          <w:p w14:paraId="07CAC0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servicios/tienda pasajeros</w:t>
            </w:r>
          </w:p>
        </w:tc>
        <w:tc>
          <w:tcPr>
            <w:tcW w:w="1702" w:type="dxa"/>
          </w:tcPr>
          <w:p w14:paraId="0845CE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702" w:type="dxa"/>
          </w:tcPr>
          <w:p w14:paraId="790CEC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702" w:type="dxa"/>
          </w:tcPr>
          <w:p w14:paraId="7FD936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c>
          <w:tcPr>
            <w:tcW w:w="1822" w:type="dxa"/>
          </w:tcPr>
          <w:p w14:paraId="4B09C4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5BFEF21" w14:textId="77777777" w:rsidTr="00242093">
        <w:trPr>
          <w:trHeight w:val="240"/>
          <w:jc w:val="center"/>
        </w:trPr>
        <w:tc>
          <w:tcPr>
            <w:tcW w:w="2036" w:type="dxa"/>
          </w:tcPr>
          <w:p w14:paraId="6636F3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superior</w:t>
            </w:r>
          </w:p>
        </w:tc>
        <w:tc>
          <w:tcPr>
            <w:tcW w:w="1702" w:type="dxa"/>
          </w:tcPr>
          <w:p w14:paraId="6515EFF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702" w:type="dxa"/>
          </w:tcPr>
          <w:p w14:paraId="15A2C4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702" w:type="dxa"/>
          </w:tcPr>
          <w:p w14:paraId="20525A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c>
          <w:tcPr>
            <w:tcW w:w="1822" w:type="dxa"/>
          </w:tcPr>
          <w:p w14:paraId="1265C8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Zona de espera, taquillas y muelles</w:t>
            </w:r>
          </w:p>
        </w:tc>
      </w:tr>
      <w:tr w:rsidR="001F600C" w:rsidRPr="00285D58" w14:paraId="4F89B4DE" w14:textId="77777777" w:rsidTr="00242093">
        <w:trPr>
          <w:trHeight w:val="421"/>
          <w:jc w:val="center"/>
        </w:trPr>
        <w:tc>
          <w:tcPr>
            <w:tcW w:w="2036" w:type="dxa"/>
          </w:tcPr>
          <w:p w14:paraId="0F45A1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Planta inferior</w:t>
            </w:r>
          </w:p>
        </w:tc>
        <w:tc>
          <w:tcPr>
            <w:tcW w:w="1702" w:type="dxa"/>
          </w:tcPr>
          <w:p w14:paraId="7D4F98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702" w:type="dxa"/>
          </w:tcPr>
          <w:p w14:paraId="718D3F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702" w:type="dxa"/>
          </w:tcPr>
          <w:p w14:paraId="52C9EC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c>
          <w:tcPr>
            <w:tcW w:w="1822" w:type="dxa"/>
          </w:tcPr>
          <w:p w14:paraId="278FB7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Maquinaria</w:t>
            </w:r>
          </w:p>
        </w:tc>
      </w:tr>
    </w:tbl>
    <w:p w14:paraId="70EC7A3E" w14:textId="77777777" w:rsidR="001F600C" w:rsidRPr="00285D58" w:rsidRDefault="001F600C" w:rsidP="008D1FFF">
      <w:pPr>
        <w:spacing w:line="276" w:lineRule="auto"/>
        <w:jc w:val="both"/>
        <w:rPr>
          <w:rFonts w:asciiTheme="minorHAnsi" w:eastAsia="Calibri" w:hAnsiTheme="minorHAnsi" w:cstheme="minorHAnsi"/>
        </w:rPr>
      </w:pPr>
    </w:p>
    <w:p w14:paraId="3B1A954F"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892"/>
        <w:gridCol w:w="4136"/>
      </w:tblGrid>
      <w:tr w:rsidR="001F600C" w:rsidRPr="00285D58" w14:paraId="66EE9728" w14:textId="77777777" w:rsidTr="00242093">
        <w:trPr>
          <w:jc w:val="center"/>
        </w:trPr>
        <w:tc>
          <w:tcPr>
            <w:tcW w:w="4892" w:type="dxa"/>
          </w:tcPr>
          <w:p w14:paraId="05DECA0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D8DFCC0" wp14:editId="0B262BD1">
                  <wp:extent cx="2700000" cy="1039103"/>
                  <wp:effectExtent l="0" t="0" r="0" b="0"/>
                  <wp:docPr id="213361736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
                          <a:srcRect/>
                          <a:stretch>
                            <a:fillRect/>
                          </a:stretch>
                        </pic:blipFill>
                        <pic:spPr>
                          <a:xfrm>
                            <a:off x="0" y="0"/>
                            <a:ext cx="2700000" cy="1039103"/>
                          </a:xfrm>
                          <a:prstGeom prst="rect">
                            <a:avLst/>
                          </a:prstGeom>
                          <a:ln/>
                        </pic:spPr>
                      </pic:pic>
                    </a:graphicData>
                  </a:graphic>
                </wp:inline>
              </w:drawing>
            </w:r>
          </w:p>
        </w:tc>
        <w:tc>
          <w:tcPr>
            <w:tcW w:w="4136" w:type="dxa"/>
          </w:tcPr>
          <w:p w14:paraId="4EF9F9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26BB123" wp14:editId="08777F1C">
                  <wp:extent cx="2239893" cy="1597631"/>
                  <wp:effectExtent l="0" t="0" r="0" b="0"/>
                  <wp:docPr id="213361736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2239893" cy="1597631"/>
                          </a:xfrm>
                          <a:prstGeom prst="rect">
                            <a:avLst/>
                          </a:prstGeom>
                          <a:ln/>
                        </pic:spPr>
                      </pic:pic>
                    </a:graphicData>
                  </a:graphic>
                </wp:inline>
              </w:drawing>
            </w:r>
          </w:p>
        </w:tc>
      </w:tr>
      <w:tr w:rsidR="001F600C" w:rsidRPr="00285D58" w14:paraId="60F7C576" w14:textId="77777777" w:rsidTr="00242093">
        <w:trPr>
          <w:jc w:val="center"/>
        </w:trPr>
        <w:tc>
          <w:tcPr>
            <w:tcW w:w="9028" w:type="dxa"/>
            <w:gridSpan w:val="2"/>
          </w:tcPr>
          <w:p w14:paraId="6A29CF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de Kiuñalla</w:t>
            </w:r>
          </w:p>
        </w:tc>
      </w:tr>
    </w:tbl>
    <w:p w14:paraId="1C5F271F"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956"/>
        <w:gridCol w:w="4072"/>
      </w:tblGrid>
      <w:tr w:rsidR="001F600C" w:rsidRPr="00285D58" w14:paraId="2AA9386F" w14:textId="77777777" w:rsidTr="00242093">
        <w:trPr>
          <w:jc w:val="center"/>
        </w:trPr>
        <w:tc>
          <w:tcPr>
            <w:tcW w:w="4956" w:type="dxa"/>
          </w:tcPr>
          <w:p w14:paraId="096C8F4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B53FE28" wp14:editId="104A2C16">
                  <wp:extent cx="2700000" cy="1351042"/>
                  <wp:effectExtent l="0" t="0" r="0" b="0"/>
                  <wp:docPr id="213361736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2"/>
                          <a:srcRect/>
                          <a:stretch>
                            <a:fillRect/>
                          </a:stretch>
                        </pic:blipFill>
                        <pic:spPr>
                          <a:xfrm>
                            <a:off x="0" y="0"/>
                            <a:ext cx="2700000" cy="1351042"/>
                          </a:xfrm>
                          <a:prstGeom prst="rect">
                            <a:avLst/>
                          </a:prstGeom>
                          <a:ln/>
                        </pic:spPr>
                      </pic:pic>
                    </a:graphicData>
                  </a:graphic>
                </wp:inline>
              </w:drawing>
            </w:r>
          </w:p>
        </w:tc>
        <w:tc>
          <w:tcPr>
            <w:tcW w:w="4072" w:type="dxa"/>
          </w:tcPr>
          <w:p w14:paraId="24C167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889FCAC" wp14:editId="30AEFA33">
                  <wp:extent cx="2160185" cy="2230675"/>
                  <wp:effectExtent l="0" t="0" r="0" b="0"/>
                  <wp:docPr id="21336173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3"/>
                          <a:srcRect/>
                          <a:stretch>
                            <a:fillRect/>
                          </a:stretch>
                        </pic:blipFill>
                        <pic:spPr>
                          <a:xfrm>
                            <a:off x="0" y="0"/>
                            <a:ext cx="2160185" cy="2230675"/>
                          </a:xfrm>
                          <a:prstGeom prst="rect">
                            <a:avLst/>
                          </a:prstGeom>
                          <a:ln/>
                        </pic:spPr>
                      </pic:pic>
                    </a:graphicData>
                  </a:graphic>
                </wp:inline>
              </w:drawing>
            </w:r>
          </w:p>
        </w:tc>
      </w:tr>
      <w:tr w:rsidR="001F600C" w:rsidRPr="00285D58" w14:paraId="05CE75D4" w14:textId="77777777" w:rsidTr="00242093">
        <w:trPr>
          <w:jc w:val="center"/>
        </w:trPr>
        <w:tc>
          <w:tcPr>
            <w:tcW w:w="9028" w:type="dxa"/>
            <w:gridSpan w:val="2"/>
          </w:tcPr>
          <w:p w14:paraId="38E6B5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Simulación de la fachada frontal y la planta de la estación Choquequirao “Unión”</w:t>
            </w:r>
          </w:p>
        </w:tc>
      </w:tr>
    </w:tbl>
    <w:p w14:paraId="5C8AF691"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514"/>
        <w:gridCol w:w="4514"/>
      </w:tblGrid>
      <w:tr w:rsidR="001F600C" w:rsidRPr="00285D58" w14:paraId="42085327" w14:textId="77777777" w:rsidTr="00242093">
        <w:trPr>
          <w:jc w:val="center"/>
        </w:trPr>
        <w:tc>
          <w:tcPr>
            <w:tcW w:w="4514" w:type="dxa"/>
          </w:tcPr>
          <w:p w14:paraId="5A220D7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3C13458" wp14:editId="6601E830">
                  <wp:extent cx="2700000" cy="1777279"/>
                  <wp:effectExtent l="0" t="0" r="0" b="0"/>
                  <wp:docPr id="213361737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4"/>
                          <a:srcRect/>
                          <a:stretch>
                            <a:fillRect/>
                          </a:stretch>
                        </pic:blipFill>
                        <pic:spPr>
                          <a:xfrm>
                            <a:off x="0" y="0"/>
                            <a:ext cx="2700000" cy="1777279"/>
                          </a:xfrm>
                          <a:prstGeom prst="rect">
                            <a:avLst/>
                          </a:prstGeom>
                          <a:ln/>
                        </pic:spPr>
                      </pic:pic>
                    </a:graphicData>
                  </a:graphic>
                </wp:inline>
              </w:drawing>
            </w:r>
          </w:p>
        </w:tc>
        <w:tc>
          <w:tcPr>
            <w:tcW w:w="4514" w:type="dxa"/>
          </w:tcPr>
          <w:p w14:paraId="676C551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2355991" wp14:editId="03BA119B">
                  <wp:extent cx="2700000" cy="2726193"/>
                  <wp:effectExtent l="0" t="0" r="0" b="0"/>
                  <wp:docPr id="213361737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5"/>
                          <a:srcRect/>
                          <a:stretch>
                            <a:fillRect/>
                          </a:stretch>
                        </pic:blipFill>
                        <pic:spPr>
                          <a:xfrm>
                            <a:off x="0" y="0"/>
                            <a:ext cx="2700000" cy="2726193"/>
                          </a:xfrm>
                          <a:prstGeom prst="rect">
                            <a:avLst/>
                          </a:prstGeom>
                          <a:ln/>
                        </pic:spPr>
                      </pic:pic>
                    </a:graphicData>
                  </a:graphic>
                </wp:inline>
              </w:drawing>
            </w:r>
          </w:p>
        </w:tc>
      </w:tr>
      <w:tr w:rsidR="001F600C" w:rsidRPr="00285D58" w14:paraId="234D454E" w14:textId="77777777" w:rsidTr="00242093">
        <w:trPr>
          <w:jc w:val="center"/>
        </w:trPr>
        <w:tc>
          <w:tcPr>
            <w:tcW w:w="9028" w:type="dxa"/>
            <w:gridSpan w:val="2"/>
          </w:tcPr>
          <w:p w14:paraId="546AE1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Abra San Juan</w:t>
            </w:r>
          </w:p>
        </w:tc>
      </w:tr>
    </w:tbl>
    <w:p w14:paraId="66687F86"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514"/>
        <w:gridCol w:w="4514"/>
      </w:tblGrid>
      <w:tr w:rsidR="001F600C" w:rsidRPr="00285D58" w14:paraId="508AD0A8" w14:textId="77777777" w:rsidTr="00242093">
        <w:trPr>
          <w:jc w:val="center"/>
        </w:trPr>
        <w:tc>
          <w:tcPr>
            <w:tcW w:w="4514" w:type="dxa"/>
          </w:tcPr>
          <w:p w14:paraId="51F12E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4421997" wp14:editId="46DC64C3">
                  <wp:extent cx="2700000" cy="2018973"/>
                  <wp:effectExtent l="0" t="0" r="0" b="0"/>
                  <wp:docPr id="213361737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2700000" cy="2018973"/>
                          </a:xfrm>
                          <a:prstGeom prst="rect">
                            <a:avLst/>
                          </a:prstGeom>
                          <a:ln/>
                        </pic:spPr>
                      </pic:pic>
                    </a:graphicData>
                  </a:graphic>
                </wp:inline>
              </w:drawing>
            </w:r>
          </w:p>
        </w:tc>
        <w:tc>
          <w:tcPr>
            <w:tcW w:w="4514" w:type="dxa"/>
          </w:tcPr>
          <w:p w14:paraId="2C9AFA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0125B71" wp14:editId="2B4AC649">
                  <wp:extent cx="2700000" cy="2843468"/>
                  <wp:effectExtent l="0" t="0" r="0" b="0"/>
                  <wp:docPr id="213361737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7"/>
                          <a:srcRect/>
                          <a:stretch>
                            <a:fillRect/>
                          </a:stretch>
                        </pic:blipFill>
                        <pic:spPr>
                          <a:xfrm>
                            <a:off x="0" y="0"/>
                            <a:ext cx="2700000" cy="2843468"/>
                          </a:xfrm>
                          <a:prstGeom prst="rect">
                            <a:avLst/>
                          </a:prstGeom>
                          <a:ln/>
                        </pic:spPr>
                      </pic:pic>
                    </a:graphicData>
                  </a:graphic>
                </wp:inline>
              </w:drawing>
            </w:r>
          </w:p>
        </w:tc>
      </w:tr>
      <w:tr w:rsidR="001F600C" w:rsidRPr="00285D58" w14:paraId="08583931" w14:textId="77777777" w:rsidTr="00242093">
        <w:trPr>
          <w:jc w:val="center"/>
        </w:trPr>
        <w:tc>
          <w:tcPr>
            <w:tcW w:w="9028" w:type="dxa"/>
            <w:gridSpan w:val="2"/>
          </w:tcPr>
          <w:p w14:paraId="7873AA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Maizal (sección 1)</w:t>
            </w:r>
          </w:p>
        </w:tc>
      </w:tr>
    </w:tbl>
    <w:p w14:paraId="3B96C6B9"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956"/>
        <w:gridCol w:w="4072"/>
      </w:tblGrid>
      <w:tr w:rsidR="001F600C" w:rsidRPr="00285D58" w14:paraId="307E666D" w14:textId="77777777" w:rsidTr="00242093">
        <w:trPr>
          <w:jc w:val="center"/>
        </w:trPr>
        <w:tc>
          <w:tcPr>
            <w:tcW w:w="4956" w:type="dxa"/>
          </w:tcPr>
          <w:p w14:paraId="22526A5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6EA595E4" wp14:editId="61742E95">
                  <wp:extent cx="2989428" cy="2039640"/>
                  <wp:effectExtent l="0" t="0" r="0" b="0"/>
                  <wp:docPr id="213361737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8"/>
                          <a:srcRect/>
                          <a:stretch>
                            <a:fillRect/>
                          </a:stretch>
                        </pic:blipFill>
                        <pic:spPr>
                          <a:xfrm>
                            <a:off x="0" y="0"/>
                            <a:ext cx="2989428" cy="2039640"/>
                          </a:xfrm>
                          <a:prstGeom prst="rect">
                            <a:avLst/>
                          </a:prstGeom>
                          <a:ln/>
                        </pic:spPr>
                      </pic:pic>
                    </a:graphicData>
                  </a:graphic>
                </wp:inline>
              </w:drawing>
            </w:r>
          </w:p>
        </w:tc>
        <w:tc>
          <w:tcPr>
            <w:tcW w:w="4072" w:type="dxa"/>
          </w:tcPr>
          <w:p w14:paraId="4EC6823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12BF38E" wp14:editId="4E2B57DE">
                  <wp:extent cx="2351650" cy="2688156"/>
                  <wp:effectExtent l="0" t="0" r="0" b="0"/>
                  <wp:docPr id="213361737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9"/>
                          <a:srcRect/>
                          <a:stretch>
                            <a:fillRect/>
                          </a:stretch>
                        </pic:blipFill>
                        <pic:spPr>
                          <a:xfrm>
                            <a:off x="0" y="0"/>
                            <a:ext cx="2351650" cy="2688156"/>
                          </a:xfrm>
                          <a:prstGeom prst="rect">
                            <a:avLst/>
                          </a:prstGeom>
                          <a:ln/>
                        </pic:spPr>
                      </pic:pic>
                    </a:graphicData>
                  </a:graphic>
                </wp:inline>
              </w:drawing>
            </w:r>
          </w:p>
        </w:tc>
      </w:tr>
      <w:tr w:rsidR="001F600C" w:rsidRPr="00285D58" w14:paraId="46BC94B0" w14:textId="77777777" w:rsidTr="00242093">
        <w:trPr>
          <w:jc w:val="center"/>
        </w:trPr>
        <w:tc>
          <w:tcPr>
            <w:tcW w:w="9028" w:type="dxa"/>
            <w:gridSpan w:val="2"/>
          </w:tcPr>
          <w:p w14:paraId="7C2C33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Maizal (sección 2)</w:t>
            </w:r>
          </w:p>
        </w:tc>
      </w:tr>
    </w:tbl>
    <w:p w14:paraId="4BA10C76" w14:textId="77777777" w:rsidR="001F600C" w:rsidRPr="00285D58" w:rsidRDefault="001F600C" w:rsidP="008D1FFF">
      <w:pPr>
        <w:spacing w:line="276" w:lineRule="auto"/>
        <w:jc w:val="both"/>
        <w:rPr>
          <w:rFonts w:asciiTheme="minorHAnsi" w:eastAsia="Calibri" w:hAnsiTheme="minorHAnsi" w:cstheme="minorHAnsi"/>
        </w:rPr>
      </w:pP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4791"/>
        <w:gridCol w:w="4237"/>
      </w:tblGrid>
      <w:tr w:rsidR="001F600C" w:rsidRPr="00285D58" w14:paraId="1C08104E" w14:textId="77777777" w:rsidTr="00242093">
        <w:trPr>
          <w:jc w:val="center"/>
        </w:trPr>
        <w:tc>
          <w:tcPr>
            <w:tcW w:w="4791" w:type="dxa"/>
          </w:tcPr>
          <w:p w14:paraId="7C67F39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FD6ABD9" wp14:editId="198B999F">
                  <wp:extent cx="2927773" cy="2066644"/>
                  <wp:effectExtent l="0" t="0" r="0" b="0"/>
                  <wp:docPr id="213361735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0"/>
                          <a:srcRect/>
                          <a:stretch>
                            <a:fillRect/>
                          </a:stretch>
                        </pic:blipFill>
                        <pic:spPr>
                          <a:xfrm>
                            <a:off x="0" y="0"/>
                            <a:ext cx="2927773" cy="2066644"/>
                          </a:xfrm>
                          <a:prstGeom prst="rect">
                            <a:avLst/>
                          </a:prstGeom>
                          <a:ln/>
                        </pic:spPr>
                      </pic:pic>
                    </a:graphicData>
                  </a:graphic>
                </wp:inline>
              </w:drawing>
            </w:r>
          </w:p>
        </w:tc>
        <w:tc>
          <w:tcPr>
            <w:tcW w:w="4237" w:type="dxa"/>
          </w:tcPr>
          <w:p w14:paraId="3AF9CBB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B9130EC" wp14:editId="2C0E7E24">
                  <wp:extent cx="2530703" cy="2722089"/>
                  <wp:effectExtent l="0" t="0" r="0" b="0"/>
                  <wp:docPr id="213361735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1"/>
                          <a:srcRect/>
                          <a:stretch>
                            <a:fillRect/>
                          </a:stretch>
                        </pic:blipFill>
                        <pic:spPr>
                          <a:xfrm>
                            <a:off x="0" y="0"/>
                            <a:ext cx="2530703" cy="2722089"/>
                          </a:xfrm>
                          <a:prstGeom prst="rect">
                            <a:avLst/>
                          </a:prstGeom>
                          <a:ln/>
                        </pic:spPr>
                      </pic:pic>
                    </a:graphicData>
                  </a:graphic>
                </wp:inline>
              </w:drawing>
            </w:r>
          </w:p>
        </w:tc>
      </w:tr>
      <w:tr w:rsidR="001F600C" w:rsidRPr="00285D58" w14:paraId="7C98ADC9" w14:textId="77777777" w:rsidTr="00242093">
        <w:trPr>
          <w:jc w:val="center"/>
        </w:trPr>
        <w:tc>
          <w:tcPr>
            <w:tcW w:w="9028" w:type="dxa"/>
            <w:gridSpan w:val="2"/>
          </w:tcPr>
          <w:p w14:paraId="7C66535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Simulación de la fachada frontal y la planta de la estación Choquequirao “cumbre”</w:t>
            </w:r>
          </w:p>
        </w:tc>
      </w:tr>
    </w:tbl>
    <w:p w14:paraId="084FEF3C" w14:textId="77777777" w:rsidR="001F600C" w:rsidRPr="00285D58" w:rsidRDefault="001F600C" w:rsidP="008D1FFF">
      <w:pPr>
        <w:spacing w:line="276" w:lineRule="auto"/>
        <w:jc w:val="both"/>
        <w:rPr>
          <w:rFonts w:asciiTheme="minorHAnsi" w:eastAsia="Calibri" w:hAnsiTheme="minorHAnsi" w:cstheme="minorHAnsi"/>
        </w:rPr>
      </w:pPr>
    </w:p>
    <w:p w14:paraId="7D9983F8" w14:textId="77777777" w:rsidR="001F600C" w:rsidRPr="00285D58" w:rsidRDefault="001F600C" w:rsidP="008D1FFF">
      <w:pPr>
        <w:spacing w:line="276" w:lineRule="auto"/>
        <w:jc w:val="both"/>
        <w:rPr>
          <w:rFonts w:asciiTheme="minorHAnsi" w:eastAsia="Calibri" w:hAnsiTheme="minorHAnsi" w:cstheme="minorHAnsi"/>
        </w:rPr>
      </w:pPr>
    </w:p>
    <w:p w14:paraId="0568C39F" w14:textId="77777777" w:rsidR="001F600C" w:rsidRPr="00285D58" w:rsidRDefault="001F600C" w:rsidP="008D1FFF">
      <w:pPr>
        <w:spacing w:line="276" w:lineRule="auto"/>
        <w:jc w:val="both"/>
        <w:rPr>
          <w:rFonts w:asciiTheme="minorHAnsi" w:eastAsia="Calibri" w:hAnsiTheme="minorHAnsi" w:cstheme="minorHAnsi"/>
        </w:rPr>
      </w:pPr>
    </w:p>
    <w:p w14:paraId="1F256E6D" w14:textId="77777777" w:rsidR="001F600C" w:rsidRPr="00285D58" w:rsidRDefault="001F600C" w:rsidP="008D1FFF">
      <w:pPr>
        <w:spacing w:line="276" w:lineRule="auto"/>
        <w:jc w:val="both"/>
        <w:rPr>
          <w:rFonts w:asciiTheme="minorHAnsi" w:eastAsia="Calibri" w:hAnsiTheme="minorHAnsi" w:cstheme="minorHAnsi"/>
        </w:rPr>
      </w:pPr>
    </w:p>
    <w:p w14:paraId="7A09FFE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6CAAEC26" w14:textId="77777777" w:rsidR="001F600C" w:rsidRPr="00285D58" w:rsidRDefault="001F600C" w:rsidP="008D1FFF">
      <w:pPr>
        <w:keepNext/>
        <w:keepLines/>
        <w:spacing w:before="280" w:after="8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Vehículos</w:t>
      </w:r>
    </w:p>
    <w:p w14:paraId="743266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vehículos (2 por tramo) dispondrán de cabinas panorámicas con espacio para 100 personas de pie (más un conductor) para cada uno de los 3 teleféricos estudiados.</w:t>
      </w:r>
    </w:p>
    <w:p w14:paraId="4C996126" w14:textId="77777777" w:rsidR="001F600C" w:rsidRPr="00285D58" w:rsidRDefault="001F600C" w:rsidP="008D1FFF">
      <w:pPr>
        <w:spacing w:line="276" w:lineRule="auto"/>
        <w:jc w:val="both"/>
        <w:rPr>
          <w:rFonts w:asciiTheme="minorHAnsi" w:eastAsia="Calibri" w:hAnsiTheme="minorHAnsi" w:cstheme="minorHAnsi"/>
        </w:rPr>
      </w:pPr>
    </w:p>
    <w:p w14:paraId="3330BD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Tendrán puertas de apertura a ambos lados para un embarque y desembarque ordenado y fluido (ver planos de estaciones).</w:t>
      </w:r>
    </w:p>
    <w:p w14:paraId="6FD38787" w14:textId="77777777" w:rsidR="001F600C" w:rsidRPr="00285D58" w:rsidRDefault="001F600C" w:rsidP="008D1FFF">
      <w:pPr>
        <w:spacing w:line="276" w:lineRule="auto"/>
        <w:jc w:val="both"/>
        <w:rPr>
          <w:rFonts w:asciiTheme="minorHAnsi" w:eastAsia="Calibri" w:hAnsiTheme="minorHAnsi" w:cstheme="minorHAnsi"/>
        </w:rPr>
      </w:pPr>
    </w:p>
    <w:p w14:paraId="210334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Sus características orientativas son las siguientes:</w:t>
      </w:r>
    </w:p>
    <w:p w14:paraId="12F8CFAD" w14:textId="77777777" w:rsidR="001F600C" w:rsidRPr="00285D58" w:rsidRDefault="001F600C" w:rsidP="008D1FFF">
      <w:pPr>
        <w:spacing w:line="276" w:lineRule="auto"/>
        <w:jc w:val="both"/>
        <w:rPr>
          <w:rFonts w:asciiTheme="minorHAnsi" w:eastAsia="Calibri" w:hAnsiTheme="minorHAnsi" w:cstheme="minorHAnsi"/>
        </w:rPr>
      </w:pPr>
    </w:p>
    <w:p w14:paraId="6E43D173" w14:textId="20068BC7"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Pr="00285D58">
        <w:rPr>
          <w:rFonts w:asciiTheme="minorHAnsi" w:hAnsiTheme="minorHAnsi" w:cstheme="minorHAnsi"/>
        </w:rPr>
        <w:fldChar w:fldCharType="begin"/>
      </w:r>
      <w:r w:rsidRPr="00285D58">
        <w:rPr>
          <w:rFonts w:asciiTheme="minorHAnsi" w:hAnsiTheme="minorHAnsi" w:cstheme="minorHAnsi"/>
        </w:rPr>
        <w:instrText xml:space="preserve"> SEQ Tabla \* ARABIC </w:instrText>
      </w:r>
      <w:r w:rsidRPr="00285D58">
        <w:rPr>
          <w:rFonts w:asciiTheme="minorHAnsi" w:hAnsiTheme="minorHAnsi" w:cstheme="minorHAnsi"/>
        </w:rPr>
        <w:fldChar w:fldCharType="separate"/>
      </w:r>
      <w:r w:rsidR="007E3A44" w:rsidRPr="00285D58">
        <w:rPr>
          <w:rFonts w:asciiTheme="minorHAnsi" w:hAnsiTheme="minorHAnsi" w:cstheme="minorHAnsi"/>
          <w:noProof/>
        </w:rPr>
        <w:t>14</w:t>
      </w:r>
      <w:r w:rsidRPr="00285D58">
        <w:rPr>
          <w:rFonts w:asciiTheme="minorHAnsi" w:hAnsiTheme="minorHAnsi" w:cstheme="minorHAnsi"/>
          <w:noProof/>
        </w:rPr>
        <w:fldChar w:fldCharType="end"/>
      </w:r>
      <w:r w:rsidRPr="00285D58">
        <w:rPr>
          <w:rFonts w:asciiTheme="minorHAnsi" w:hAnsiTheme="minorHAnsi" w:cstheme="minorHAnsi"/>
        </w:rPr>
        <w:t>. CARACTERÍSTICAS DEL VEHÍCULO</w:t>
      </w:r>
    </w:p>
    <w:tbl>
      <w:tblPr>
        <w:tblW w:w="7508" w:type="dxa"/>
        <w:jc w:val="center"/>
        <w:tblBorders>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3260"/>
      </w:tblGrid>
      <w:tr w:rsidR="001F600C" w:rsidRPr="00285D58" w14:paraId="39913F06" w14:textId="77777777" w:rsidTr="00242093">
        <w:trPr>
          <w:trHeight w:val="247"/>
          <w:jc w:val="center"/>
        </w:trPr>
        <w:tc>
          <w:tcPr>
            <w:tcW w:w="4248" w:type="dxa"/>
            <w:tcBorders>
              <w:top w:val="single" w:sz="4" w:space="0" w:color="000000"/>
              <w:left w:val="single" w:sz="4" w:space="0" w:color="000000"/>
            </w:tcBorders>
          </w:tcPr>
          <w:p w14:paraId="3AC70C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Conexión con cables portadores</w:t>
            </w:r>
          </w:p>
        </w:tc>
        <w:tc>
          <w:tcPr>
            <w:tcW w:w="3260" w:type="dxa"/>
            <w:tcBorders>
              <w:top w:val="single" w:sz="4" w:space="0" w:color="000000"/>
            </w:tcBorders>
          </w:tcPr>
          <w:p w14:paraId="012668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carro</w:t>
            </w:r>
          </w:p>
        </w:tc>
      </w:tr>
      <w:tr w:rsidR="001F600C" w:rsidRPr="00285D58" w14:paraId="1879F1EF" w14:textId="77777777" w:rsidTr="00242093">
        <w:trPr>
          <w:trHeight w:val="755"/>
          <w:jc w:val="center"/>
        </w:trPr>
        <w:tc>
          <w:tcPr>
            <w:tcW w:w="4248" w:type="dxa"/>
            <w:tcBorders>
              <w:top w:val="single" w:sz="4" w:space="0" w:color="000000"/>
              <w:left w:val="single" w:sz="4" w:space="0" w:color="000000"/>
            </w:tcBorders>
          </w:tcPr>
          <w:p w14:paraId="142B9C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Fijación a cable tractor</w:t>
            </w:r>
          </w:p>
        </w:tc>
        <w:tc>
          <w:tcPr>
            <w:tcW w:w="3260" w:type="dxa"/>
            <w:tcBorders>
              <w:top w:val="single" w:sz="4" w:space="0" w:color="000000"/>
            </w:tcBorders>
          </w:tcPr>
          <w:p w14:paraId="68115FD9"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mordaza o</w:t>
            </w:r>
          </w:p>
          <w:p w14:paraId="7D96FB11"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chapeau de gendarme o</w:t>
            </w:r>
          </w:p>
          <w:p w14:paraId="242AC9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terminal de metal fundido</w:t>
            </w:r>
          </w:p>
        </w:tc>
      </w:tr>
      <w:tr w:rsidR="001F600C" w:rsidRPr="00285D58" w14:paraId="61641AB9" w14:textId="77777777" w:rsidTr="00242093">
        <w:trPr>
          <w:trHeight w:val="247"/>
          <w:jc w:val="center"/>
        </w:trPr>
        <w:tc>
          <w:tcPr>
            <w:tcW w:w="4248" w:type="dxa"/>
            <w:tcBorders>
              <w:top w:val="single" w:sz="4" w:space="0" w:color="000000"/>
              <w:left w:val="single" w:sz="4" w:space="0" w:color="000000"/>
            </w:tcBorders>
          </w:tcPr>
          <w:p w14:paraId="194318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de brazo</w:t>
            </w:r>
          </w:p>
        </w:tc>
        <w:tc>
          <w:tcPr>
            <w:tcW w:w="3260" w:type="dxa"/>
            <w:tcBorders>
              <w:top w:val="single" w:sz="4" w:space="0" w:color="000000"/>
            </w:tcBorders>
          </w:tcPr>
          <w:p w14:paraId="3E125C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5,40 m</w:t>
            </w:r>
          </w:p>
        </w:tc>
      </w:tr>
      <w:tr w:rsidR="001F600C" w:rsidRPr="00285D58" w14:paraId="3F3CDF37" w14:textId="77777777" w:rsidTr="00242093">
        <w:trPr>
          <w:trHeight w:val="423"/>
          <w:jc w:val="center"/>
        </w:trPr>
        <w:tc>
          <w:tcPr>
            <w:tcW w:w="4248" w:type="dxa"/>
            <w:tcBorders>
              <w:top w:val="single" w:sz="4" w:space="0" w:color="000000"/>
              <w:left w:val="single" w:sz="4" w:space="0" w:color="000000"/>
            </w:tcBorders>
          </w:tcPr>
          <w:p w14:paraId="58621D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Capacidad de la cabina</w:t>
            </w:r>
          </w:p>
        </w:tc>
        <w:tc>
          <w:tcPr>
            <w:tcW w:w="3260" w:type="dxa"/>
            <w:tcBorders>
              <w:top w:val="single" w:sz="4" w:space="0" w:color="000000"/>
            </w:tcBorders>
          </w:tcPr>
          <w:p w14:paraId="471D04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u w:val="single"/>
              </w:rPr>
              <w:t>100 pasajeros</w:t>
            </w:r>
            <w:r w:rsidRPr="00285D58">
              <w:rPr>
                <w:rFonts w:asciiTheme="minorHAnsi" w:eastAsia="Calibri" w:hAnsiTheme="minorHAnsi" w:cstheme="minorHAnsi"/>
              </w:rPr>
              <w:t xml:space="preserve"> (+1 conductor)</w:t>
            </w:r>
          </w:p>
        </w:tc>
      </w:tr>
      <w:tr w:rsidR="001F600C" w:rsidRPr="00285D58" w14:paraId="724ADC26" w14:textId="77777777" w:rsidTr="00242093">
        <w:trPr>
          <w:trHeight w:val="247"/>
          <w:jc w:val="center"/>
        </w:trPr>
        <w:tc>
          <w:tcPr>
            <w:tcW w:w="4248" w:type="dxa"/>
            <w:tcBorders>
              <w:top w:val="single" w:sz="4" w:space="0" w:color="000000"/>
              <w:left w:val="single" w:sz="4" w:space="0" w:color="000000"/>
            </w:tcBorders>
          </w:tcPr>
          <w:p w14:paraId="1D4C17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Dimensiones orientativas de la cabina:</w:t>
            </w:r>
          </w:p>
          <w:p w14:paraId="0B37E1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w:t>
            </w:r>
          </w:p>
          <w:p w14:paraId="79C9B0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Anchura</w:t>
            </w:r>
          </w:p>
          <w:p w14:paraId="497AF9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Altura</w:t>
            </w:r>
          </w:p>
        </w:tc>
        <w:tc>
          <w:tcPr>
            <w:tcW w:w="3260" w:type="dxa"/>
            <w:tcBorders>
              <w:top w:val="single" w:sz="4" w:space="0" w:color="000000"/>
            </w:tcBorders>
          </w:tcPr>
          <w:p w14:paraId="0DBE3418" w14:textId="77777777" w:rsidR="001F600C" w:rsidRPr="00285D58" w:rsidRDefault="001F600C" w:rsidP="008D1FFF">
            <w:pPr>
              <w:spacing w:line="276" w:lineRule="auto"/>
              <w:jc w:val="both"/>
              <w:rPr>
                <w:rFonts w:asciiTheme="minorHAnsi" w:eastAsia="Calibri" w:hAnsiTheme="minorHAnsi" w:cstheme="minorHAnsi"/>
              </w:rPr>
            </w:pPr>
          </w:p>
          <w:p w14:paraId="54E12A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 m</w:t>
            </w:r>
          </w:p>
          <w:p w14:paraId="5D19EA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 m</w:t>
            </w:r>
          </w:p>
          <w:p w14:paraId="463ECC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2,83 m</w:t>
            </w:r>
          </w:p>
        </w:tc>
      </w:tr>
      <w:tr w:rsidR="001F600C" w:rsidRPr="00285D58" w14:paraId="5D68505B" w14:textId="77777777" w:rsidTr="00242093">
        <w:trPr>
          <w:trHeight w:val="247"/>
          <w:jc w:val="center"/>
        </w:trPr>
        <w:tc>
          <w:tcPr>
            <w:tcW w:w="4248" w:type="dxa"/>
            <w:tcBorders>
              <w:top w:val="single" w:sz="4" w:space="0" w:color="000000"/>
              <w:left w:val="single" w:sz="4" w:space="0" w:color="000000"/>
            </w:tcBorders>
          </w:tcPr>
          <w:p w14:paraId="3CECA0A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Densidad de cálculo (0,23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/pasajero + 0,4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 xml:space="preserve"> para el conductor)</w:t>
            </w:r>
          </w:p>
        </w:tc>
        <w:tc>
          <w:tcPr>
            <w:tcW w:w="3260" w:type="dxa"/>
            <w:tcBorders>
              <w:top w:val="single" w:sz="4" w:space="0" w:color="000000"/>
            </w:tcBorders>
          </w:tcPr>
          <w:p w14:paraId="5CDB20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 x 0,23 + 0,4 = 23,4 m</w:t>
            </w:r>
            <w:r w:rsidRPr="00285D58">
              <w:rPr>
                <w:rFonts w:asciiTheme="minorHAnsi" w:eastAsia="Calibri" w:hAnsiTheme="minorHAnsi" w:cstheme="minorHAnsi"/>
                <w:vertAlign w:val="superscript"/>
              </w:rPr>
              <w:t>2</w:t>
            </w:r>
          </w:p>
        </w:tc>
      </w:tr>
      <w:tr w:rsidR="001F600C" w:rsidRPr="00285D58" w14:paraId="630C8951" w14:textId="77777777" w:rsidTr="00242093">
        <w:trPr>
          <w:trHeight w:val="247"/>
          <w:jc w:val="center"/>
        </w:trPr>
        <w:tc>
          <w:tcPr>
            <w:tcW w:w="4248" w:type="dxa"/>
            <w:tcBorders>
              <w:top w:val="single" w:sz="4" w:space="0" w:color="000000"/>
              <w:left w:val="single" w:sz="4" w:space="0" w:color="000000"/>
            </w:tcBorders>
          </w:tcPr>
          <w:p w14:paraId="05DFAC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Superficie interior útil</w:t>
            </w:r>
          </w:p>
        </w:tc>
        <w:tc>
          <w:tcPr>
            <w:tcW w:w="3260" w:type="dxa"/>
            <w:tcBorders>
              <w:top w:val="single" w:sz="4" w:space="0" w:color="000000"/>
            </w:tcBorders>
          </w:tcPr>
          <w:p w14:paraId="70EA2E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24,3 m</w:t>
            </w:r>
            <w:r w:rsidRPr="00285D58">
              <w:rPr>
                <w:rFonts w:asciiTheme="minorHAnsi" w:eastAsia="Calibri" w:hAnsiTheme="minorHAnsi" w:cstheme="minorHAnsi"/>
                <w:vertAlign w:val="superscript"/>
              </w:rPr>
              <w:t>2</w:t>
            </w:r>
            <w:r w:rsidRPr="00285D58">
              <w:rPr>
                <w:rFonts w:asciiTheme="minorHAnsi" w:eastAsia="Calibri" w:hAnsiTheme="minorHAnsi" w:cstheme="minorHAnsi"/>
              </w:rPr>
              <w:t xml:space="preserve"> (&gt; 23,4)</w:t>
            </w:r>
          </w:p>
        </w:tc>
      </w:tr>
    </w:tbl>
    <w:p w14:paraId="72FCE1BB" w14:textId="77777777" w:rsidR="001F600C" w:rsidRPr="00285D58" w:rsidRDefault="001F600C" w:rsidP="008D1FFF">
      <w:pPr>
        <w:spacing w:line="276" w:lineRule="auto"/>
        <w:jc w:val="both"/>
        <w:rPr>
          <w:rFonts w:asciiTheme="minorHAnsi" w:eastAsia="Calibri" w:hAnsiTheme="minorHAnsi" w:cstheme="minorHAnsi"/>
        </w:rPr>
      </w:pPr>
    </w:p>
    <w:p w14:paraId="6A6CC6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309EB97" wp14:editId="6E9FE8C1">
            <wp:extent cx="4869092" cy="2902108"/>
            <wp:effectExtent l="0" t="0" r="0" b="0"/>
            <wp:docPr id="2133617359" name="image3.jpg" descr="800px-Vermuntbahn_Rifawerk_III"/>
            <wp:cNvGraphicFramePr/>
            <a:graphic xmlns:a="http://schemas.openxmlformats.org/drawingml/2006/main">
              <a:graphicData uri="http://schemas.openxmlformats.org/drawingml/2006/picture">
                <pic:pic xmlns:pic="http://schemas.openxmlformats.org/drawingml/2006/picture">
                  <pic:nvPicPr>
                    <pic:cNvPr id="0" name="image3.jpg" descr="800px-Vermuntbahn_Rifawerk_III"/>
                    <pic:cNvPicPr preferRelativeResize="0"/>
                  </pic:nvPicPr>
                  <pic:blipFill>
                    <a:blip r:embed="rId42"/>
                    <a:srcRect/>
                    <a:stretch>
                      <a:fillRect/>
                    </a:stretch>
                  </pic:blipFill>
                  <pic:spPr>
                    <a:xfrm>
                      <a:off x="0" y="0"/>
                      <a:ext cx="4869092" cy="2902108"/>
                    </a:xfrm>
                    <a:prstGeom prst="rect">
                      <a:avLst/>
                    </a:prstGeom>
                    <a:ln/>
                  </pic:spPr>
                </pic:pic>
              </a:graphicData>
            </a:graphic>
          </wp:inline>
        </w:drawing>
      </w:r>
    </w:p>
    <w:p w14:paraId="69F7027E"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cabina de teleférico con ventanales panorámicos y apertura lateral.</w:t>
      </w:r>
    </w:p>
    <w:p w14:paraId="44277BD5" w14:textId="77777777" w:rsidR="001F600C" w:rsidRPr="00285D58" w:rsidRDefault="001F600C" w:rsidP="008D1FFF">
      <w:pPr>
        <w:spacing w:line="276" w:lineRule="auto"/>
        <w:ind w:firstLine="566"/>
        <w:jc w:val="both"/>
        <w:rPr>
          <w:rFonts w:asciiTheme="minorHAnsi" w:eastAsia="Calibri" w:hAnsiTheme="minorHAnsi" w:cstheme="minorHAnsi"/>
        </w:rPr>
      </w:pPr>
    </w:p>
    <w:p w14:paraId="39C66E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Podrán acomodar a los pasajeros de pie, si bien se preverán </w:t>
      </w:r>
      <w:sdt>
        <w:sdtPr>
          <w:rPr>
            <w:rFonts w:asciiTheme="minorHAnsi" w:eastAsia="Calibri" w:hAnsiTheme="minorHAnsi" w:cstheme="minorHAnsi"/>
          </w:rPr>
          <w:tag w:val="goog_rdk_100"/>
          <w:id w:val="766200649"/>
        </w:sdtPr>
        <w:sdtContent/>
      </w:sdt>
      <w:sdt>
        <w:sdtPr>
          <w:rPr>
            <w:rFonts w:asciiTheme="minorHAnsi" w:eastAsia="Calibri" w:hAnsiTheme="minorHAnsi" w:cstheme="minorHAnsi"/>
          </w:rPr>
          <w:tag w:val="goog_rdk_101"/>
          <w:id w:val="2029058482"/>
        </w:sdtPr>
        <w:sdtContent/>
      </w:sdt>
      <w:r w:rsidRPr="00285D58">
        <w:rPr>
          <w:rFonts w:asciiTheme="minorHAnsi" w:eastAsia="Calibri" w:hAnsiTheme="minorHAnsi" w:cstheme="minorHAnsi"/>
        </w:rPr>
        <w:t>asientos plegables en el perímetro interior para que, en momentos de poca ocupación, los pasajeros puedan respaldarse.</w:t>
      </w:r>
    </w:p>
    <w:p w14:paraId="0C9C2312" w14:textId="77777777" w:rsidR="001F600C" w:rsidRPr="00285D58" w:rsidRDefault="001F600C" w:rsidP="008D1FFF">
      <w:pPr>
        <w:spacing w:line="276" w:lineRule="auto"/>
        <w:jc w:val="both"/>
        <w:rPr>
          <w:rFonts w:asciiTheme="minorHAnsi" w:eastAsia="Calibri" w:hAnsiTheme="minorHAnsi" w:cstheme="minorHAnsi"/>
        </w:rPr>
      </w:pPr>
    </w:p>
    <w:p w14:paraId="5CFA307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7B11958" wp14:editId="302607BB">
            <wp:extent cx="4088735" cy="3066551"/>
            <wp:effectExtent l="0" t="0" r="0" b="0"/>
            <wp:docPr id="2133617360" name="image19.jpg" descr="IMG_0443"/>
            <wp:cNvGraphicFramePr/>
            <a:graphic xmlns:a="http://schemas.openxmlformats.org/drawingml/2006/main">
              <a:graphicData uri="http://schemas.openxmlformats.org/drawingml/2006/picture">
                <pic:pic xmlns:pic="http://schemas.openxmlformats.org/drawingml/2006/picture">
                  <pic:nvPicPr>
                    <pic:cNvPr id="0" name="image19.jpg" descr="IMG_0443"/>
                    <pic:cNvPicPr preferRelativeResize="0"/>
                  </pic:nvPicPr>
                  <pic:blipFill>
                    <a:blip r:embed="rId43"/>
                    <a:srcRect/>
                    <a:stretch>
                      <a:fillRect/>
                    </a:stretch>
                  </pic:blipFill>
                  <pic:spPr>
                    <a:xfrm>
                      <a:off x="0" y="0"/>
                      <a:ext cx="4088735" cy="3066551"/>
                    </a:xfrm>
                    <a:prstGeom prst="rect">
                      <a:avLst/>
                    </a:prstGeom>
                    <a:ln/>
                  </pic:spPr>
                </pic:pic>
              </a:graphicData>
            </a:graphic>
          </wp:inline>
        </w:drawing>
      </w:r>
    </w:p>
    <w:p w14:paraId="05235281"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Interior de cabina del teleférico de Roosevelt Island (Nueva York, EUA) con asientos plegables en los laterales y cristaleras panorámicas.</w:t>
      </w:r>
    </w:p>
    <w:p w14:paraId="3720D496" w14:textId="77777777" w:rsidR="001F600C" w:rsidRPr="00285D58" w:rsidRDefault="001F600C" w:rsidP="008D1FFF">
      <w:pPr>
        <w:spacing w:line="276" w:lineRule="auto"/>
        <w:jc w:val="both"/>
        <w:rPr>
          <w:rFonts w:asciiTheme="minorHAnsi" w:eastAsia="Calibri" w:hAnsiTheme="minorHAnsi" w:cstheme="minorHAnsi"/>
        </w:rPr>
      </w:pPr>
    </w:p>
    <w:p w14:paraId="01886167" w14:textId="77777777" w:rsidR="001F600C" w:rsidRPr="00285D58" w:rsidRDefault="001F600C" w:rsidP="008D1FFF">
      <w:pPr>
        <w:spacing w:line="276" w:lineRule="auto"/>
        <w:jc w:val="both"/>
        <w:rPr>
          <w:rFonts w:asciiTheme="minorHAnsi" w:eastAsia="Calibri" w:hAnsiTheme="minorHAnsi" w:cstheme="minorHAnsi"/>
        </w:rPr>
      </w:pPr>
    </w:p>
    <w:p w14:paraId="680D56E6"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Cabina</w:t>
      </w:r>
    </w:p>
    <w:p w14:paraId="62CBB5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Generalmente cerradas y de planta rectangular con los lados más largos paralelos al sentido de circulación. Están construidas con un chasis y cerramiento metálicos (en piso y techo) y acristalado de plexiglás en los laterales (permitiendo una visión global alrededor). </w:t>
      </w:r>
    </w:p>
    <w:p w14:paraId="3BFA5142" w14:textId="77777777" w:rsidR="001F600C" w:rsidRPr="00285D58" w:rsidRDefault="001F600C" w:rsidP="008D1FFF">
      <w:pPr>
        <w:spacing w:line="276" w:lineRule="auto"/>
        <w:jc w:val="both"/>
        <w:rPr>
          <w:rFonts w:asciiTheme="minorHAnsi" w:eastAsia="Calibri" w:hAnsiTheme="minorHAnsi" w:cstheme="minorHAnsi"/>
        </w:rPr>
      </w:pPr>
    </w:p>
    <w:p w14:paraId="0D0C36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Cuentan con los siguientes elementos:</w:t>
      </w:r>
    </w:p>
    <w:p w14:paraId="28A510A6" w14:textId="77777777" w:rsidR="001F600C" w:rsidRPr="00285D58" w:rsidRDefault="001F600C" w:rsidP="008D1FFF">
      <w:pPr>
        <w:spacing w:line="276" w:lineRule="auto"/>
        <w:jc w:val="both"/>
        <w:rPr>
          <w:rFonts w:asciiTheme="minorHAnsi" w:eastAsia="Calibri" w:hAnsiTheme="minorHAnsi" w:cstheme="minorHAnsi"/>
        </w:rPr>
      </w:pPr>
    </w:p>
    <w:p w14:paraId="5F7C7A4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Puesto de conducción: con sitio para acomodar un trabajador, controles y elementos de seguridad y comunicación con las estaciones. Sólo necesario normativamente para cabinas de 50 personas o más. </w:t>
      </w:r>
    </w:p>
    <w:p w14:paraId="456B1A8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Puertas de acceso: generalmente corredizas y en los laterales largos, posibilitando el embarque por un lado y el desembarque por otro. De cierre electromagnético automático.</w:t>
      </w:r>
    </w:p>
    <w:p w14:paraId="38E5A41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Barras o asas de sujeción: para permitir el agarre de los pasajeros en caso de oscilaciones.</w:t>
      </w:r>
    </w:p>
    <w:p w14:paraId="5CD56B5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Asientos: optativos. Por lo general situados en los extremos y de tipo abatible (para aumentar la capacidad de transporte en momentos de alta afluencia de público). Los pasajeros viajan generalmente de pie.</w:t>
      </w:r>
    </w:p>
    <w:p w14:paraId="02839FAF" w14:textId="77777777" w:rsidR="001F600C" w:rsidRPr="00285D58" w:rsidRDefault="001F600C" w:rsidP="008D1FFF">
      <w:pPr>
        <w:spacing w:line="276" w:lineRule="auto"/>
        <w:jc w:val="both"/>
        <w:rPr>
          <w:rFonts w:asciiTheme="minorHAnsi" w:eastAsia="Calibri" w:hAnsiTheme="minorHAnsi" w:cstheme="minorHAnsi"/>
        </w:rPr>
      </w:pPr>
    </w:p>
    <w:p w14:paraId="0E919D1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3E0364B4" wp14:editId="233B2A14">
            <wp:extent cx="2795794" cy="5009131"/>
            <wp:effectExtent l="0" t="0" r="0" b="0"/>
            <wp:docPr id="2133617361" name="image14.jpg" descr="IMG_4628"/>
            <wp:cNvGraphicFramePr/>
            <a:graphic xmlns:a="http://schemas.openxmlformats.org/drawingml/2006/main">
              <a:graphicData uri="http://schemas.openxmlformats.org/drawingml/2006/picture">
                <pic:pic xmlns:pic="http://schemas.openxmlformats.org/drawingml/2006/picture">
                  <pic:nvPicPr>
                    <pic:cNvPr id="0" name="image14.jpg" descr="IMG_4628"/>
                    <pic:cNvPicPr preferRelativeResize="0"/>
                  </pic:nvPicPr>
                  <pic:blipFill>
                    <a:blip r:embed="rId44"/>
                    <a:srcRect/>
                    <a:stretch>
                      <a:fillRect/>
                    </a:stretch>
                  </pic:blipFill>
                  <pic:spPr>
                    <a:xfrm>
                      <a:off x="0" y="0"/>
                      <a:ext cx="2795794" cy="5009131"/>
                    </a:xfrm>
                    <a:prstGeom prst="rect">
                      <a:avLst/>
                    </a:prstGeom>
                    <a:ln/>
                  </pic:spPr>
                </pic:pic>
              </a:graphicData>
            </a:graphic>
          </wp:inline>
        </w:drawing>
      </w:r>
    </w:p>
    <w:p w14:paraId="0344751F"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puesto de conducción (La Massana, Andorra).</w:t>
      </w:r>
    </w:p>
    <w:p w14:paraId="744DD0BE" w14:textId="77777777" w:rsidR="001F600C" w:rsidRPr="00285D58" w:rsidRDefault="001F600C" w:rsidP="008D1FFF">
      <w:pPr>
        <w:spacing w:line="276" w:lineRule="auto"/>
        <w:jc w:val="both"/>
        <w:rPr>
          <w:rFonts w:asciiTheme="minorHAnsi" w:eastAsia="Calibri" w:hAnsiTheme="minorHAnsi" w:cstheme="minorHAnsi"/>
        </w:rPr>
      </w:pPr>
    </w:p>
    <w:p w14:paraId="684E08DA"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Brazo</w:t>
      </w:r>
    </w:p>
    <w:p w14:paraId="14B67F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Estructura tubular metálica que liga la cabina al carro. Generalmente cuenta con amortiguadores para reducir las vibraciones transmitidas a la cabina. En su extremo superior se engancha al carro mediante una rótula que permite una posición horizontal de la cabina sea cual sea la inclinación del cable.</w:t>
      </w:r>
    </w:p>
    <w:p w14:paraId="3844E421" w14:textId="77777777" w:rsidR="001F600C" w:rsidRPr="00285D58" w:rsidRDefault="001F600C" w:rsidP="008D1FFF">
      <w:pPr>
        <w:spacing w:line="276" w:lineRule="auto"/>
        <w:jc w:val="both"/>
        <w:rPr>
          <w:rFonts w:asciiTheme="minorHAnsi" w:eastAsia="Calibri" w:hAnsiTheme="minorHAnsi" w:cstheme="minorHAnsi"/>
        </w:rPr>
      </w:pPr>
    </w:p>
    <w:p w14:paraId="45F08F0B" w14:textId="77777777" w:rsidR="001F600C" w:rsidRPr="00285D58" w:rsidRDefault="001F600C" w:rsidP="008D1FFF">
      <w:pPr>
        <w:keepNext/>
        <w:keepLines/>
        <w:spacing w:before="240" w:after="40" w:line="276" w:lineRule="auto"/>
        <w:jc w:val="both"/>
        <w:rPr>
          <w:rFonts w:asciiTheme="minorHAnsi" w:eastAsia="Calibri" w:hAnsiTheme="minorHAnsi" w:cstheme="minorHAnsi"/>
          <w:b/>
        </w:rPr>
      </w:pPr>
      <w:r w:rsidRPr="00285D58">
        <w:rPr>
          <w:rFonts w:asciiTheme="minorHAnsi" w:eastAsia="Calibri" w:hAnsiTheme="minorHAnsi" w:cstheme="minorHAnsi"/>
          <w:b/>
        </w:rPr>
        <w:t>Carro</w:t>
      </w:r>
    </w:p>
    <w:p w14:paraId="38AC76A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enganche entre vehículo y cable tractor es permanente, garantizando un movimiento totalmente solidario entre ambos. </w:t>
      </w:r>
    </w:p>
    <w:p w14:paraId="4B50E6D1" w14:textId="77777777" w:rsidR="001F600C" w:rsidRPr="00285D58" w:rsidRDefault="001F600C" w:rsidP="008D1FFF">
      <w:pPr>
        <w:spacing w:line="276" w:lineRule="auto"/>
        <w:jc w:val="both"/>
        <w:rPr>
          <w:rFonts w:asciiTheme="minorHAnsi" w:eastAsia="Calibri" w:hAnsiTheme="minorHAnsi" w:cstheme="minorHAnsi"/>
        </w:rPr>
      </w:pPr>
    </w:p>
    <w:p w14:paraId="79B3CD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unión se puede conseguir de tres formas:</w:t>
      </w:r>
    </w:p>
    <w:p w14:paraId="01D8A420" w14:textId="77777777" w:rsidR="001F600C" w:rsidRPr="00285D58" w:rsidRDefault="001F600C" w:rsidP="008D1FFF">
      <w:pPr>
        <w:spacing w:line="276" w:lineRule="auto"/>
        <w:jc w:val="both"/>
        <w:rPr>
          <w:rFonts w:asciiTheme="minorHAnsi" w:eastAsia="Calibri" w:hAnsiTheme="minorHAnsi" w:cstheme="minorHAnsi"/>
        </w:rPr>
      </w:pPr>
    </w:p>
    <w:p w14:paraId="6F1D114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mediante una mordaza que “muerde” el cable</w:t>
      </w:r>
    </w:p>
    <w:p w14:paraId="492DA13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mediante una torcedura del cable llamada “chapeau de gendarme”</w:t>
      </w:r>
    </w:p>
    <w:p w14:paraId="768EE7F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mediante interrupción del cable y puesta en obra de terminales fundidos, que se alojan en el carro.</w:t>
      </w:r>
    </w:p>
    <w:p w14:paraId="6366BE68" w14:textId="77777777" w:rsidR="001F600C" w:rsidRPr="00285D58" w:rsidRDefault="001F600C" w:rsidP="008D1FFF">
      <w:pPr>
        <w:spacing w:line="276" w:lineRule="auto"/>
        <w:jc w:val="both"/>
        <w:rPr>
          <w:rFonts w:asciiTheme="minorHAnsi" w:eastAsia="Calibri" w:hAnsiTheme="minorHAnsi" w:cstheme="minorHAnsi"/>
        </w:rPr>
      </w:pPr>
    </w:p>
    <w:p w14:paraId="77A392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FCA0F31" wp14:editId="75B5A10A">
            <wp:extent cx="5346785" cy="3620588"/>
            <wp:effectExtent l="0" t="0" r="0" b="0"/>
            <wp:docPr id="2133617362" name="image16.jpg" descr="pinça telefèric"/>
            <wp:cNvGraphicFramePr/>
            <a:graphic xmlns:a="http://schemas.openxmlformats.org/drawingml/2006/main">
              <a:graphicData uri="http://schemas.openxmlformats.org/drawingml/2006/picture">
                <pic:pic xmlns:pic="http://schemas.openxmlformats.org/drawingml/2006/picture">
                  <pic:nvPicPr>
                    <pic:cNvPr id="0" name="image16.jpg" descr="pinça telefèric"/>
                    <pic:cNvPicPr preferRelativeResize="0"/>
                  </pic:nvPicPr>
                  <pic:blipFill>
                    <a:blip r:embed="rId45"/>
                    <a:srcRect/>
                    <a:stretch>
                      <a:fillRect/>
                    </a:stretch>
                  </pic:blipFill>
                  <pic:spPr>
                    <a:xfrm>
                      <a:off x="0" y="0"/>
                      <a:ext cx="5346785" cy="3620588"/>
                    </a:xfrm>
                    <a:prstGeom prst="rect">
                      <a:avLst/>
                    </a:prstGeom>
                    <a:ln/>
                  </pic:spPr>
                </pic:pic>
              </a:graphicData>
            </a:graphic>
          </wp:inline>
        </w:drawing>
      </w:r>
    </w:p>
    <w:p w14:paraId="5933F4C5" w14:textId="77777777"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Ejemplo de carro de enganche entre cabina y cables en un teleférico de 2 cables. Puede observarse, arriba el cable portador (sobre el que circulan las ruedas del carro) y abajo el cable tractor, que transmite su movimiento al vehículo mediante la pinza.</w:t>
      </w:r>
    </w:p>
    <w:p w14:paraId="39421FE1" w14:textId="77777777" w:rsidR="001F600C" w:rsidRPr="00285D58" w:rsidRDefault="001F600C" w:rsidP="008D1FFF">
      <w:pPr>
        <w:spacing w:line="276" w:lineRule="auto"/>
        <w:jc w:val="center"/>
        <w:rPr>
          <w:rFonts w:asciiTheme="minorHAnsi" w:eastAsia="Calibri" w:hAnsiTheme="minorHAnsi" w:cstheme="minorHAnsi"/>
        </w:rPr>
      </w:pPr>
    </w:p>
    <w:p w14:paraId="38CDCD4F" w14:textId="77777777" w:rsidR="001F600C" w:rsidRPr="00285D58" w:rsidRDefault="001F600C" w:rsidP="008D1FFF">
      <w:pPr>
        <w:spacing w:line="276" w:lineRule="auto"/>
        <w:jc w:val="center"/>
        <w:rPr>
          <w:rFonts w:asciiTheme="minorHAnsi" w:eastAsia="Calibri" w:hAnsiTheme="minorHAnsi" w:cstheme="minorHAnsi"/>
        </w:rPr>
      </w:pPr>
    </w:p>
    <w:p w14:paraId="4A4A2FF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3EFFF75" wp14:editId="39280B0A">
            <wp:extent cx="4078138" cy="3070323"/>
            <wp:effectExtent l="0" t="0" r="0" b="0"/>
            <wp:docPr id="2133617363" name="image4.jpg" descr="P1010038"/>
            <wp:cNvGraphicFramePr/>
            <a:graphic xmlns:a="http://schemas.openxmlformats.org/drawingml/2006/main">
              <a:graphicData uri="http://schemas.openxmlformats.org/drawingml/2006/picture">
                <pic:pic xmlns:pic="http://schemas.openxmlformats.org/drawingml/2006/picture">
                  <pic:nvPicPr>
                    <pic:cNvPr id="0" name="image4.jpg" descr="P1010038"/>
                    <pic:cNvPicPr preferRelativeResize="0"/>
                  </pic:nvPicPr>
                  <pic:blipFill>
                    <a:blip r:embed="rId46"/>
                    <a:srcRect/>
                    <a:stretch>
                      <a:fillRect/>
                    </a:stretch>
                  </pic:blipFill>
                  <pic:spPr>
                    <a:xfrm>
                      <a:off x="0" y="0"/>
                      <a:ext cx="4078138" cy="3070323"/>
                    </a:xfrm>
                    <a:prstGeom prst="rect">
                      <a:avLst/>
                    </a:prstGeom>
                    <a:ln/>
                  </pic:spPr>
                </pic:pic>
              </a:graphicData>
            </a:graphic>
          </wp:inline>
        </w:drawing>
      </w:r>
    </w:p>
    <w:p w14:paraId="1B1F99AF" w14:textId="77777777" w:rsidR="001F600C" w:rsidRPr="00285D58" w:rsidRDefault="001F600C" w:rsidP="008D1FFF">
      <w:pPr>
        <w:spacing w:line="276" w:lineRule="auto"/>
        <w:ind w:left="570" w:hanging="2"/>
        <w:jc w:val="center"/>
        <w:rPr>
          <w:rFonts w:asciiTheme="minorHAnsi" w:eastAsia="Calibri" w:hAnsiTheme="minorHAnsi" w:cstheme="minorHAnsi"/>
        </w:rPr>
      </w:pPr>
      <w:r w:rsidRPr="00285D58">
        <w:rPr>
          <w:rFonts w:asciiTheme="minorHAnsi" w:eastAsia="Calibri" w:hAnsiTheme="minorHAnsi" w:cstheme="minorHAnsi"/>
        </w:rPr>
        <w:t>Ejemplo de terminal fundido en extremidad de cable tractor</w:t>
      </w:r>
    </w:p>
    <w:p w14:paraId="0FEA86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carro asegura el soporte y movimiento del conjunto del vehículo mediante los siguientes elementos:</w:t>
      </w:r>
    </w:p>
    <w:p w14:paraId="33433E05" w14:textId="77777777" w:rsidR="001F600C" w:rsidRPr="00285D58" w:rsidRDefault="001F600C" w:rsidP="008D1FFF">
      <w:pPr>
        <w:spacing w:line="276" w:lineRule="auto"/>
        <w:jc w:val="both"/>
        <w:rPr>
          <w:rFonts w:asciiTheme="minorHAnsi" w:eastAsia="Calibri" w:hAnsiTheme="minorHAnsi" w:cstheme="minorHAnsi"/>
        </w:rPr>
      </w:pPr>
    </w:p>
    <w:p w14:paraId="35AF18D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Ruedas: circulan por encima de los cables portadores.</w:t>
      </w:r>
    </w:p>
    <w:p w14:paraId="1958AD7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Bogies: estructura articulada que agrupa las ruedas con el fin de garantizar que cada una de ellas soporta la misma carga.</w:t>
      </w:r>
    </w:p>
    <w:p w14:paraId="7A03CBB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Fijación con el cable. Basado en uno de los 3 sistemas previamente expuestos.</w:t>
      </w:r>
    </w:p>
    <w:p w14:paraId="7EAB976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Freno: solo obligatorio según qué normativa se aplique. Actúa sobre los cables portadores en caso de ruptura del cable tractor.</w:t>
      </w:r>
    </w:p>
    <w:p w14:paraId="17DD305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Chasis: estructura metálica que une todos los elementos anteriores.</w:t>
      </w:r>
    </w:p>
    <w:p w14:paraId="1B94BAFF" w14:textId="77777777" w:rsidR="001F600C" w:rsidRPr="00285D58" w:rsidRDefault="001F600C" w:rsidP="008D1FFF">
      <w:pPr>
        <w:spacing w:line="276" w:lineRule="auto"/>
        <w:jc w:val="both"/>
        <w:rPr>
          <w:rFonts w:asciiTheme="minorHAnsi" w:eastAsia="Calibri" w:hAnsiTheme="minorHAnsi" w:cstheme="minorHAnsi"/>
        </w:rPr>
      </w:pPr>
    </w:p>
    <w:p w14:paraId="33D69B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diseño del carro deberá envolver los cables portadores para que un hipotético descarrilamiento sea imposible.</w:t>
      </w:r>
    </w:p>
    <w:p w14:paraId="4B12E047" w14:textId="77777777" w:rsidR="001F600C" w:rsidRPr="00285D58" w:rsidRDefault="001F600C" w:rsidP="008D1FFF">
      <w:pPr>
        <w:spacing w:line="276" w:lineRule="auto"/>
        <w:ind w:firstLine="566"/>
        <w:jc w:val="both"/>
        <w:rPr>
          <w:rFonts w:asciiTheme="minorHAnsi" w:eastAsia="Calibri" w:hAnsiTheme="minorHAnsi" w:cstheme="minorHAnsi"/>
        </w:rPr>
      </w:pPr>
    </w:p>
    <w:p w14:paraId="2E32E5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de Choquequirao, puesto que se ha optado por un salvamento integrado, y que esta característica implica un control periódico del cable tractor, la única tecnología admitida por Reglamento es la de mordaza.</w:t>
      </w:r>
    </w:p>
    <w:p w14:paraId="7189F4B8" w14:textId="77777777" w:rsidR="001F600C" w:rsidRPr="00285D58" w:rsidRDefault="001F600C" w:rsidP="008D1FFF">
      <w:pPr>
        <w:spacing w:line="276" w:lineRule="auto"/>
        <w:jc w:val="both"/>
        <w:rPr>
          <w:rFonts w:asciiTheme="minorHAnsi" w:eastAsia="Calibri" w:hAnsiTheme="minorHAnsi" w:cstheme="minorHAnsi"/>
        </w:rPr>
      </w:pPr>
    </w:p>
    <w:p w14:paraId="547E1E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Siempre con el objetivo primordial de poder recuperar los vehículos en estación en caso de avería, el carro material de recubrimiento de las ruedas del carro deberá permitir llevar los vehículos en estación incluso en el caso de gripaje de los rodamientos de una de las ruedas. </w:t>
      </w:r>
    </w:p>
    <w:p w14:paraId="055B23D8" w14:textId="77777777" w:rsidR="001F600C" w:rsidRPr="00285D58" w:rsidRDefault="001F600C" w:rsidP="008D1FFF">
      <w:pPr>
        <w:spacing w:line="276" w:lineRule="auto"/>
        <w:jc w:val="both"/>
        <w:rPr>
          <w:rFonts w:asciiTheme="minorHAnsi" w:eastAsia="Calibri" w:hAnsiTheme="minorHAnsi" w:cstheme="minorHAnsi"/>
        </w:rPr>
      </w:pPr>
    </w:p>
    <w:p w14:paraId="147AB77D"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Elementos de seguridad</w:t>
      </w:r>
    </w:p>
    <w:p w14:paraId="42DDFB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el fin de monitorear en todo momento el sistema, así como prever posibles riesgos, </w:t>
      </w:r>
      <w:r w:rsidRPr="00285D58">
        <w:rPr>
          <w:rFonts w:asciiTheme="minorHAnsi" w:eastAsia="Calibri" w:hAnsiTheme="minorHAnsi" w:cstheme="minorHAnsi"/>
        </w:rPr>
        <w:lastRenderedPageBreak/>
        <w:t>generalmente se cuenta con los siguientes dispositivos:</w:t>
      </w:r>
    </w:p>
    <w:p w14:paraId="590E9C5B" w14:textId="77777777" w:rsidR="001F600C" w:rsidRPr="00285D58" w:rsidRDefault="001F600C" w:rsidP="008D1FFF">
      <w:pPr>
        <w:spacing w:line="276" w:lineRule="auto"/>
        <w:jc w:val="both"/>
        <w:rPr>
          <w:rFonts w:asciiTheme="minorHAnsi" w:eastAsia="Calibri" w:hAnsiTheme="minorHAnsi" w:cstheme="minorHAnsi"/>
        </w:rPr>
      </w:pPr>
    </w:p>
    <w:p w14:paraId="2091391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detección de posición de la cabina (en estaciones)</w:t>
      </w:r>
    </w:p>
    <w:p w14:paraId="7E47B54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detección de posición de la cabina (en línea)</w:t>
      </w:r>
    </w:p>
    <w:p w14:paraId="2002CFD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fin de carrera (en los muelles de estación)</w:t>
      </w:r>
    </w:p>
    <w:p w14:paraId="26EC63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Sensores de velocidad</w:t>
      </w:r>
    </w:p>
    <w:p w14:paraId="55C3D40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Anemómetros (en torres y/o estaciones)</w:t>
      </w:r>
    </w:p>
    <w:p w14:paraId="54AA979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de tensión en los cables portadores</w:t>
      </w:r>
    </w:p>
    <w:p w14:paraId="2F875846"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de tensión en el cable tractor</w:t>
      </w:r>
    </w:p>
    <w:p w14:paraId="7652410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Control magnetográfico del cable tractor (en estación)</w:t>
      </w:r>
    </w:p>
    <w:p w14:paraId="4C95B44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Detectores de incendio </w:t>
      </w:r>
    </w:p>
    <w:p w14:paraId="263323D3"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Inclinómetro (en el vehículo)</w:t>
      </w:r>
    </w:p>
    <w:p w14:paraId="12F2296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Acelerómetro (en el vehículo)</w:t>
      </w:r>
    </w:p>
    <w:p w14:paraId="6F2BF0E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Anemómetros (en los lugares más expuestos)</w:t>
      </w:r>
    </w:p>
    <w:p w14:paraId="03C65BAA" w14:textId="77777777" w:rsidR="001F600C" w:rsidRPr="00285D58" w:rsidRDefault="001F600C" w:rsidP="008D1FFF">
      <w:pPr>
        <w:spacing w:line="276" w:lineRule="auto"/>
        <w:jc w:val="both"/>
        <w:rPr>
          <w:rFonts w:asciiTheme="minorHAnsi" w:eastAsia="Calibri" w:hAnsiTheme="minorHAnsi" w:cstheme="minorHAnsi"/>
        </w:rPr>
      </w:pPr>
    </w:p>
    <w:p w14:paraId="6BB738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todos ellos (así como para otros eventuales) se establecen umbrales que encienden alarmas (o ralentizan el sistema) así como valores límites que conllevan una parada automática.</w:t>
      </w:r>
    </w:p>
    <w:p w14:paraId="6F04A1AC" w14:textId="77777777" w:rsidR="001F600C" w:rsidRPr="00285D58" w:rsidRDefault="001F600C" w:rsidP="008D1FFF">
      <w:pPr>
        <w:spacing w:line="276" w:lineRule="auto"/>
        <w:jc w:val="both"/>
        <w:rPr>
          <w:rFonts w:asciiTheme="minorHAnsi" w:eastAsia="Calibri" w:hAnsiTheme="minorHAnsi" w:cstheme="minorHAnsi"/>
        </w:rPr>
      </w:pPr>
    </w:p>
    <w:p w14:paraId="1FBB49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la presencia de un conductor en las cabinas, encargado del monitoreo constante de las condiciones de explotación, agrega al sistema otro nivel de seguridad de carácter muy importante.</w:t>
      </w:r>
    </w:p>
    <w:p w14:paraId="6EFAFED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Elementos de recuperación de los pasajeros</w:t>
      </w:r>
    </w:p>
    <w:p w14:paraId="2E0FF1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Usualmente, en caso de avería mecánica de las motorizaciones principal (eléctrica) y de emergencia (térmica), la recuperación de pasajeros se realiza con vehículos auxiliares de funcionamiento de emergencia.</w:t>
      </w:r>
    </w:p>
    <w:p w14:paraId="34B5477D" w14:textId="77777777" w:rsidR="001F600C" w:rsidRPr="00285D58" w:rsidRDefault="001F600C" w:rsidP="008D1FFF">
      <w:pPr>
        <w:spacing w:line="276" w:lineRule="auto"/>
        <w:jc w:val="both"/>
        <w:rPr>
          <w:rFonts w:asciiTheme="minorHAnsi" w:eastAsia="Calibri" w:hAnsiTheme="minorHAnsi" w:cstheme="minorHAnsi"/>
        </w:rPr>
      </w:pPr>
    </w:p>
    <w:p w14:paraId="298461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de Choquequirao, debido al gran sobrevuelo de ambos teleféricos, se tomarán medidas que permitan evitar un salvamento como el descrito en el punto anterior. Para ello, es necesario que todos los elementos mecánicos y eléctricos sean redundantes. Muchos de estos sistemas redundantes ya se han descrito en los apartados correspondientes, pero, debido a la importancia que el equipo redactor aporta a este punto, se listan de nuevo estos criterios de diseño a continuación. Para cada tramo de teleférico se tomarán las condiciones técnicas siguientes:</w:t>
      </w:r>
    </w:p>
    <w:p w14:paraId="569866FB" w14:textId="77777777" w:rsidR="001F600C" w:rsidRPr="00285D58" w:rsidRDefault="001F600C" w:rsidP="008D1FFF">
      <w:pPr>
        <w:spacing w:line="276" w:lineRule="auto"/>
        <w:jc w:val="both"/>
        <w:rPr>
          <w:rFonts w:asciiTheme="minorHAnsi" w:eastAsia="Calibri" w:hAnsiTheme="minorHAnsi" w:cstheme="minorHAnsi"/>
        </w:rPr>
      </w:pPr>
    </w:p>
    <w:p w14:paraId="2FB3937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motor principal redundante: arquitectura con 2 motores eléctricos funcionando como maestro y esclavo</w:t>
      </w:r>
    </w:p>
    <w:p w14:paraId="172DCFE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reductores (uno por motor) de fácil desacople en caso de avería</w:t>
      </w:r>
    </w:p>
    <w:p w14:paraId="538D417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dos poleas motrices, fácilmente desacoplables de su reductor</w:t>
      </w:r>
    </w:p>
    <w:p w14:paraId="6D15FBD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cada motor dispondrá de un transformador dedicado</w:t>
      </w:r>
    </w:p>
    <w:p w14:paraId="7F6BB0CF"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motor de socorro con fuente de energía diferente, de preferencia térmico (o bien con grupo electrógeno independiente)</w:t>
      </w:r>
    </w:p>
    <w:p w14:paraId="616AF48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motrices y de desviación del cable tractor con doble sistema de rotación: cojinetes y casquillos de teflón o copolímeros (POM) de alta dureza (por ejemplo)</w:t>
      </w:r>
    </w:p>
    <w:p w14:paraId="5F32C3B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control permanente del cable tractor (por magnetografía)</w:t>
      </w:r>
    </w:p>
    <w:p w14:paraId="398B2EE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línea (en las torres) con doble sistema de rotación o bien con material que permita que el cable tractor deslice por encima en caso de gripaje</w:t>
      </w:r>
    </w:p>
    <w:p w14:paraId="6D85508F" w14:textId="7DF869A9"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poleas de los “caballetes” con doble sistema de rotación o bien con material que permita que el cable tractor deslice por encima en caso de gripaje</w:t>
      </w:r>
      <w:r w:rsidR="003B55C6" w:rsidRPr="00285D58">
        <w:rPr>
          <w:rFonts w:asciiTheme="minorHAnsi" w:eastAsia="Calibri" w:hAnsiTheme="minorHAnsi" w:cstheme="minorHAnsi"/>
          <w:color w:val="000000"/>
        </w:rPr>
        <w:t>.</w:t>
      </w:r>
    </w:p>
    <w:p w14:paraId="4EC5E253" w14:textId="77777777" w:rsidR="003B55C6" w:rsidRPr="00285D58" w:rsidRDefault="003B55C6" w:rsidP="008D1FFF">
      <w:pPr>
        <w:widowControl/>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2E707DD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Suministro Eléctrico</w:t>
      </w:r>
    </w:p>
    <w:p w14:paraId="2C98F0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Suministro Eléctrico en Media Tensión para el funcionamiento de los Teleféricos como el resto de los servicios turísticos de las estaciones, será a través de Electro Sur Este, mediante el punto de diseño correspondiente a media tensión de 22.9 Kv, del alimentador de media tensión TA-O5 que sale de la subestación Tamburco, para lo cual se determinó el siguiente cuadro de cargas:</w:t>
      </w:r>
    </w:p>
    <w:p w14:paraId="024C9CCF" w14:textId="77777777" w:rsidR="001F600C" w:rsidRPr="00285D58" w:rsidRDefault="001F600C" w:rsidP="008D1FFF">
      <w:pPr>
        <w:spacing w:line="276" w:lineRule="auto"/>
        <w:ind w:firstLine="566"/>
        <w:jc w:val="both"/>
        <w:rPr>
          <w:rFonts w:asciiTheme="minorHAnsi" w:eastAsia="Calibri" w:hAnsiTheme="minorHAnsi" w:cstheme="minorHAnsi"/>
        </w:rPr>
      </w:pPr>
    </w:p>
    <w:p w14:paraId="50285371" w14:textId="1754C88A"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rPr>
        <w:t xml:space="preserve">Tabla </w:t>
      </w:r>
      <w:r w:rsidR="00F20B19" w:rsidRPr="00285D58">
        <w:rPr>
          <w:rFonts w:asciiTheme="minorHAnsi" w:hAnsiTheme="minorHAnsi" w:cstheme="minorHAnsi"/>
        </w:rPr>
        <w:fldChar w:fldCharType="begin"/>
      </w:r>
      <w:r w:rsidR="00F20B19" w:rsidRPr="00285D58">
        <w:rPr>
          <w:rFonts w:asciiTheme="minorHAnsi" w:hAnsiTheme="minorHAnsi" w:cstheme="minorHAnsi"/>
        </w:rPr>
        <w:instrText xml:space="preserve"> SEQ Tabla \* ARABIC </w:instrText>
      </w:r>
      <w:r w:rsidR="00F20B19" w:rsidRPr="00285D58">
        <w:rPr>
          <w:rFonts w:asciiTheme="minorHAnsi" w:hAnsiTheme="minorHAnsi" w:cstheme="minorHAnsi"/>
        </w:rPr>
        <w:fldChar w:fldCharType="separate"/>
      </w:r>
      <w:r w:rsidR="007E3A44" w:rsidRPr="00285D58">
        <w:rPr>
          <w:rFonts w:asciiTheme="minorHAnsi" w:hAnsiTheme="minorHAnsi" w:cstheme="minorHAnsi"/>
          <w:noProof/>
        </w:rPr>
        <w:t>15</w:t>
      </w:r>
      <w:r w:rsidR="00F20B19" w:rsidRPr="00285D58">
        <w:rPr>
          <w:rFonts w:asciiTheme="minorHAnsi" w:hAnsiTheme="minorHAnsi" w:cstheme="minorHAnsi"/>
          <w:noProof/>
        </w:rPr>
        <w:fldChar w:fldCharType="end"/>
      </w:r>
      <w:r w:rsidRPr="00285D58">
        <w:rPr>
          <w:rFonts w:asciiTheme="minorHAnsi" w:hAnsiTheme="minorHAnsi" w:cstheme="minorHAnsi"/>
        </w:rPr>
        <w:t>. CARACTERÍSTICAS DEL SUMINISTRO ELÉCTRICO</w:t>
      </w:r>
    </w:p>
    <w:tbl>
      <w:tblPr>
        <w:tblW w:w="895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704"/>
        <w:gridCol w:w="3260"/>
        <w:gridCol w:w="1418"/>
        <w:gridCol w:w="1227"/>
        <w:gridCol w:w="1466"/>
        <w:gridCol w:w="881"/>
      </w:tblGrid>
      <w:tr w:rsidR="001F600C" w:rsidRPr="00285D58" w14:paraId="10CFAF13" w14:textId="77777777" w:rsidTr="00242093">
        <w:trPr>
          <w:jc w:val="center"/>
        </w:trPr>
        <w:tc>
          <w:tcPr>
            <w:tcW w:w="704" w:type="dxa"/>
            <w:shd w:val="clear" w:color="auto" w:fill="E7E6E6" w:themeFill="background2"/>
          </w:tcPr>
          <w:p w14:paraId="3615F04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ÍTEM</w:t>
            </w:r>
          </w:p>
        </w:tc>
        <w:tc>
          <w:tcPr>
            <w:tcW w:w="3260" w:type="dxa"/>
            <w:shd w:val="clear" w:color="auto" w:fill="E7E6E6" w:themeFill="background2"/>
          </w:tcPr>
          <w:p w14:paraId="02AF45DC"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DESCRIPCIÓN</w:t>
            </w:r>
          </w:p>
        </w:tc>
        <w:tc>
          <w:tcPr>
            <w:tcW w:w="1418" w:type="dxa"/>
            <w:shd w:val="clear" w:color="auto" w:fill="E7E6E6" w:themeFill="background2"/>
          </w:tcPr>
          <w:p w14:paraId="1917C4A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POTENCIA INSTALADA (KW)</w:t>
            </w:r>
          </w:p>
        </w:tc>
        <w:tc>
          <w:tcPr>
            <w:tcW w:w="1227" w:type="dxa"/>
            <w:shd w:val="clear" w:color="auto" w:fill="E7E6E6" w:themeFill="background2"/>
          </w:tcPr>
          <w:p w14:paraId="3FDF9881"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CANTIDAD</w:t>
            </w:r>
          </w:p>
        </w:tc>
        <w:tc>
          <w:tcPr>
            <w:tcW w:w="1466" w:type="dxa"/>
            <w:shd w:val="clear" w:color="auto" w:fill="E7E6E6" w:themeFill="background2"/>
          </w:tcPr>
          <w:p w14:paraId="7FEA5DEF"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FACTOR DE SIMULTANEIDAD</w:t>
            </w:r>
          </w:p>
        </w:tc>
        <w:tc>
          <w:tcPr>
            <w:tcW w:w="881" w:type="dxa"/>
            <w:shd w:val="clear" w:color="auto" w:fill="E7E6E6" w:themeFill="background2"/>
          </w:tcPr>
          <w:p w14:paraId="5D228831"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TOTAL (KW)</w:t>
            </w:r>
          </w:p>
        </w:tc>
      </w:tr>
      <w:tr w:rsidR="001F600C" w:rsidRPr="00285D58" w14:paraId="55488F5E" w14:textId="77777777" w:rsidTr="00242093">
        <w:trPr>
          <w:jc w:val="center"/>
        </w:trPr>
        <w:tc>
          <w:tcPr>
            <w:tcW w:w="8956" w:type="dxa"/>
            <w:gridSpan w:val="6"/>
          </w:tcPr>
          <w:p w14:paraId="0A7C154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ACCESO SUR (APURÍMAC)</w:t>
            </w:r>
          </w:p>
        </w:tc>
      </w:tr>
      <w:tr w:rsidR="001F600C" w:rsidRPr="00285D58" w14:paraId="0F50381C" w14:textId="77777777" w:rsidTr="00242093">
        <w:trPr>
          <w:jc w:val="center"/>
        </w:trPr>
        <w:tc>
          <w:tcPr>
            <w:tcW w:w="704" w:type="dxa"/>
          </w:tcPr>
          <w:p w14:paraId="5BB0F5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3260" w:type="dxa"/>
          </w:tcPr>
          <w:p w14:paraId="2ED255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Kiuñalla – Unión (potencia máxima en el arranque) </w:t>
            </w:r>
          </w:p>
        </w:tc>
        <w:tc>
          <w:tcPr>
            <w:tcW w:w="1418" w:type="dxa"/>
          </w:tcPr>
          <w:p w14:paraId="561861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1350</w:t>
            </w:r>
          </w:p>
        </w:tc>
        <w:tc>
          <w:tcPr>
            <w:tcW w:w="1227" w:type="dxa"/>
          </w:tcPr>
          <w:p w14:paraId="0050F5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3CE493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28097E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1350</w:t>
            </w:r>
          </w:p>
        </w:tc>
      </w:tr>
      <w:tr w:rsidR="001F600C" w:rsidRPr="00285D58" w14:paraId="5CC9D190" w14:textId="77777777" w:rsidTr="00242093">
        <w:trPr>
          <w:jc w:val="center"/>
        </w:trPr>
        <w:tc>
          <w:tcPr>
            <w:tcW w:w="704" w:type="dxa"/>
          </w:tcPr>
          <w:p w14:paraId="138552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3260" w:type="dxa"/>
          </w:tcPr>
          <w:p w14:paraId="7CA8B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Estación de tensión </w:t>
            </w:r>
          </w:p>
        </w:tc>
        <w:tc>
          <w:tcPr>
            <w:tcW w:w="1418" w:type="dxa"/>
          </w:tcPr>
          <w:p w14:paraId="6FA00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227" w:type="dxa"/>
          </w:tcPr>
          <w:p w14:paraId="68D857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4E9121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30C0500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r>
      <w:tr w:rsidR="001F600C" w:rsidRPr="00285D58" w14:paraId="2052DA09" w14:textId="77777777" w:rsidTr="00242093">
        <w:trPr>
          <w:jc w:val="center"/>
        </w:trPr>
        <w:tc>
          <w:tcPr>
            <w:tcW w:w="704" w:type="dxa"/>
          </w:tcPr>
          <w:p w14:paraId="457958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3260" w:type="dxa"/>
          </w:tcPr>
          <w:p w14:paraId="5B4BDD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Otros </w:t>
            </w:r>
          </w:p>
        </w:tc>
        <w:tc>
          <w:tcPr>
            <w:tcW w:w="1418" w:type="dxa"/>
          </w:tcPr>
          <w:p w14:paraId="086E43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c>
          <w:tcPr>
            <w:tcW w:w="1227" w:type="dxa"/>
          </w:tcPr>
          <w:p w14:paraId="091124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71B8A7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3F95C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r>
      <w:tr w:rsidR="001F600C" w:rsidRPr="00285D58" w14:paraId="3821CA84" w14:textId="77777777" w:rsidTr="00242093">
        <w:trPr>
          <w:jc w:val="center"/>
        </w:trPr>
        <w:tc>
          <w:tcPr>
            <w:tcW w:w="8956" w:type="dxa"/>
            <w:gridSpan w:val="6"/>
          </w:tcPr>
          <w:p w14:paraId="2583460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1500</w:t>
            </w:r>
          </w:p>
        </w:tc>
      </w:tr>
      <w:tr w:rsidR="001F600C" w:rsidRPr="00285D58" w14:paraId="061A1101" w14:textId="77777777" w:rsidTr="00242093">
        <w:trPr>
          <w:jc w:val="center"/>
        </w:trPr>
        <w:tc>
          <w:tcPr>
            <w:tcW w:w="8956" w:type="dxa"/>
            <w:gridSpan w:val="6"/>
          </w:tcPr>
          <w:p w14:paraId="0362F33D"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ACCESO NORTE (CUSCO)</w:t>
            </w:r>
          </w:p>
        </w:tc>
      </w:tr>
      <w:tr w:rsidR="001F600C" w:rsidRPr="00285D58" w14:paraId="78E40DD8" w14:textId="77777777" w:rsidTr="00242093">
        <w:trPr>
          <w:jc w:val="center"/>
        </w:trPr>
        <w:tc>
          <w:tcPr>
            <w:tcW w:w="704" w:type="dxa"/>
          </w:tcPr>
          <w:p w14:paraId="310AFC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3260" w:type="dxa"/>
          </w:tcPr>
          <w:p w14:paraId="0D82A9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Abra San Juan – Maizal (potencia a régimen) </w:t>
            </w:r>
          </w:p>
        </w:tc>
        <w:tc>
          <w:tcPr>
            <w:tcW w:w="1418" w:type="dxa"/>
          </w:tcPr>
          <w:p w14:paraId="68B727E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750</w:t>
            </w:r>
          </w:p>
        </w:tc>
        <w:tc>
          <w:tcPr>
            <w:tcW w:w="1227" w:type="dxa"/>
          </w:tcPr>
          <w:p w14:paraId="5581C9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6F2074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4B32DA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750</w:t>
            </w:r>
          </w:p>
        </w:tc>
      </w:tr>
      <w:tr w:rsidR="001F600C" w:rsidRPr="00285D58" w14:paraId="5CEF49A4" w14:textId="77777777" w:rsidTr="00242093">
        <w:trPr>
          <w:jc w:val="center"/>
        </w:trPr>
        <w:tc>
          <w:tcPr>
            <w:tcW w:w="704" w:type="dxa"/>
          </w:tcPr>
          <w:p w14:paraId="5FF411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3260" w:type="dxa"/>
          </w:tcPr>
          <w:p w14:paraId="31541D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Teleférico Maizal – Choquequirao cumbre (potencia máxima a régimen) </w:t>
            </w:r>
          </w:p>
        </w:tc>
        <w:tc>
          <w:tcPr>
            <w:tcW w:w="1418" w:type="dxa"/>
          </w:tcPr>
          <w:p w14:paraId="03075D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1450</w:t>
            </w:r>
          </w:p>
        </w:tc>
        <w:tc>
          <w:tcPr>
            <w:tcW w:w="1227" w:type="dxa"/>
          </w:tcPr>
          <w:p w14:paraId="4C9B85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Pr>
          <w:p w14:paraId="05565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B86C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1450</w:t>
            </w:r>
          </w:p>
        </w:tc>
      </w:tr>
      <w:tr w:rsidR="001F600C" w:rsidRPr="00285D58" w14:paraId="40B17135" w14:textId="77777777" w:rsidTr="00242093">
        <w:trPr>
          <w:jc w:val="center"/>
        </w:trPr>
        <w:tc>
          <w:tcPr>
            <w:tcW w:w="704" w:type="dxa"/>
          </w:tcPr>
          <w:p w14:paraId="62E8F8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3260" w:type="dxa"/>
          </w:tcPr>
          <w:p w14:paraId="1E919A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Estaciones de tensión </w:t>
            </w:r>
          </w:p>
        </w:tc>
        <w:tc>
          <w:tcPr>
            <w:tcW w:w="1418" w:type="dxa"/>
          </w:tcPr>
          <w:p w14:paraId="52D063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227" w:type="dxa"/>
          </w:tcPr>
          <w:p w14:paraId="1F73F0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466" w:type="dxa"/>
          </w:tcPr>
          <w:p w14:paraId="3DCF69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Pr>
          <w:p w14:paraId="592021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w:t>
            </w:r>
          </w:p>
        </w:tc>
      </w:tr>
      <w:tr w:rsidR="001F600C" w:rsidRPr="00285D58" w14:paraId="06A20992" w14:textId="77777777" w:rsidTr="00242093">
        <w:trPr>
          <w:jc w:val="center"/>
        </w:trPr>
        <w:tc>
          <w:tcPr>
            <w:tcW w:w="704" w:type="dxa"/>
            <w:tcBorders>
              <w:bottom w:val="single" w:sz="4" w:space="0" w:color="000000"/>
            </w:tcBorders>
          </w:tcPr>
          <w:p w14:paraId="7250CB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3260" w:type="dxa"/>
            <w:tcBorders>
              <w:bottom w:val="single" w:sz="4" w:space="0" w:color="000000"/>
            </w:tcBorders>
          </w:tcPr>
          <w:p w14:paraId="20AD37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Otros</w:t>
            </w:r>
          </w:p>
        </w:tc>
        <w:tc>
          <w:tcPr>
            <w:tcW w:w="1418" w:type="dxa"/>
            <w:tcBorders>
              <w:bottom w:val="single" w:sz="4" w:space="0" w:color="000000"/>
            </w:tcBorders>
          </w:tcPr>
          <w:p w14:paraId="3030ED6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w:t>
            </w:r>
          </w:p>
        </w:tc>
        <w:tc>
          <w:tcPr>
            <w:tcW w:w="1227" w:type="dxa"/>
            <w:tcBorders>
              <w:bottom w:val="single" w:sz="4" w:space="0" w:color="000000"/>
            </w:tcBorders>
          </w:tcPr>
          <w:p w14:paraId="601173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466" w:type="dxa"/>
            <w:tcBorders>
              <w:bottom w:val="single" w:sz="4" w:space="0" w:color="000000"/>
            </w:tcBorders>
          </w:tcPr>
          <w:p w14:paraId="187E18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881" w:type="dxa"/>
            <w:tcBorders>
              <w:bottom w:val="single" w:sz="4" w:space="0" w:color="000000"/>
            </w:tcBorders>
          </w:tcPr>
          <w:p w14:paraId="387F4C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w:t>
            </w:r>
          </w:p>
        </w:tc>
      </w:tr>
      <w:tr w:rsidR="001F600C" w:rsidRPr="00285D58" w14:paraId="26C58046" w14:textId="77777777" w:rsidTr="00242093">
        <w:trPr>
          <w:jc w:val="center"/>
        </w:trPr>
        <w:tc>
          <w:tcPr>
            <w:tcW w:w="8956" w:type="dxa"/>
            <w:gridSpan w:val="6"/>
            <w:tcBorders>
              <w:bottom w:val="single" w:sz="4" w:space="0" w:color="000000"/>
            </w:tcBorders>
          </w:tcPr>
          <w:p w14:paraId="1155E1D6"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2500</w:t>
            </w:r>
          </w:p>
        </w:tc>
      </w:tr>
      <w:tr w:rsidR="001F600C" w:rsidRPr="00285D58" w14:paraId="24AC61B0" w14:textId="77777777" w:rsidTr="00242093">
        <w:trPr>
          <w:jc w:val="center"/>
        </w:trPr>
        <w:tc>
          <w:tcPr>
            <w:tcW w:w="8956" w:type="dxa"/>
            <w:gridSpan w:val="6"/>
            <w:tcBorders>
              <w:top w:val="single" w:sz="4" w:space="0" w:color="000000"/>
              <w:left w:val="nil"/>
              <w:bottom w:val="single" w:sz="4" w:space="0" w:color="000000"/>
              <w:right w:val="nil"/>
            </w:tcBorders>
          </w:tcPr>
          <w:p w14:paraId="01D6B362" w14:textId="77777777" w:rsidR="001F600C" w:rsidRPr="00285D58" w:rsidRDefault="001F600C" w:rsidP="008D1FFF">
            <w:pPr>
              <w:spacing w:line="276" w:lineRule="auto"/>
              <w:jc w:val="both"/>
              <w:rPr>
                <w:rFonts w:asciiTheme="minorHAnsi" w:eastAsia="Calibri" w:hAnsiTheme="minorHAnsi" w:cstheme="minorHAnsi"/>
              </w:rPr>
            </w:pPr>
          </w:p>
        </w:tc>
      </w:tr>
      <w:tr w:rsidR="001F600C" w:rsidRPr="00285D58" w14:paraId="30F64F94" w14:textId="77777777" w:rsidTr="00242093">
        <w:trPr>
          <w:jc w:val="center"/>
        </w:trPr>
        <w:tc>
          <w:tcPr>
            <w:tcW w:w="8075" w:type="dxa"/>
            <w:gridSpan w:val="5"/>
            <w:tcBorders>
              <w:top w:val="single" w:sz="4" w:space="0" w:color="000000"/>
            </w:tcBorders>
          </w:tcPr>
          <w:p w14:paraId="042C616E"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TOTAL ACCESO NORTE Y ACCESO SUR</w:t>
            </w:r>
          </w:p>
        </w:tc>
        <w:tc>
          <w:tcPr>
            <w:tcW w:w="881" w:type="dxa"/>
            <w:tcBorders>
              <w:top w:val="single" w:sz="4" w:space="0" w:color="000000"/>
            </w:tcBorders>
          </w:tcPr>
          <w:p w14:paraId="35A25DD4"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4000</w:t>
            </w:r>
          </w:p>
        </w:tc>
      </w:tr>
    </w:tbl>
    <w:p w14:paraId="643FC23F" w14:textId="77777777" w:rsidR="001F600C" w:rsidRPr="00285D58" w:rsidRDefault="001F600C" w:rsidP="008D1FFF">
      <w:pPr>
        <w:spacing w:line="276" w:lineRule="auto"/>
        <w:jc w:val="both"/>
        <w:rPr>
          <w:rFonts w:asciiTheme="minorHAnsi" w:eastAsia="Calibri" w:hAnsiTheme="minorHAnsi" w:cstheme="minorHAnsi"/>
        </w:rPr>
      </w:pPr>
    </w:p>
    <w:p w14:paraId="7D0BD9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suministro será a través de la línea de 22.9 kV compuesta por los siguientes tramos:</w:t>
      </w:r>
    </w:p>
    <w:p w14:paraId="4A9A81CE"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1:  línea Primaria de 22,9 kV, 3x70mm2 AAAC, que corresponde a la distancia entre el punto de diseño y la primera estación de teleférico Kiuñalla (19.22 km).</w:t>
      </w:r>
    </w:p>
    <w:p w14:paraId="2472AAF5"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2: Línea Primaria de 22,9 kV, 3x70mm2 AAAC, que corresponde a la distancia entre la estación de teleférico Kiuñalla y la estación de teleférico Maizal (9.72 km).</w:t>
      </w:r>
    </w:p>
    <w:p w14:paraId="5E153AC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Tramo 3: Línea Primaria de 22,9 kV, 3x70mm2 AAAC, que corresponde a la distancia entre la estación de teleférico Maizal y la estación de teleférico Abra San Juan (2.76 km).</w:t>
      </w:r>
    </w:p>
    <w:p w14:paraId="6F7D43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4: Línea Primaria de 22,9 kV, 3x70mm2 AAAC, que corresponde a la distancia entre la estación de teleférico Abra San Juan y la estación Yanama (3.44 km).</w:t>
      </w:r>
    </w:p>
    <w:p w14:paraId="3399499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Tramo 5: Línea Primaria de 22,9 kV, 2x35mm2 AAAC, que corresponde a la distancia entre el punto de derivación a 13.25km del Tramo 1 hasta la estación Huanipaca (5.00 km).</w:t>
      </w:r>
    </w:p>
    <w:p w14:paraId="76F81428" w14:textId="77777777" w:rsidR="003B55C6" w:rsidRPr="00285D58" w:rsidRDefault="003B55C6" w:rsidP="008D1FFF">
      <w:pPr>
        <w:spacing w:line="276" w:lineRule="auto"/>
        <w:rPr>
          <w:rFonts w:asciiTheme="minorHAnsi" w:hAnsiTheme="minorHAnsi" w:cstheme="minorHAnsi"/>
        </w:rPr>
      </w:pPr>
    </w:p>
    <w:p w14:paraId="3B63CB98" w14:textId="4288036C"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DESCRIPCIÓN DE LA OBRA Y MONTAJE</w:t>
      </w:r>
    </w:p>
    <w:p w14:paraId="7E866201"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Implantación y estaquillado</w:t>
      </w:r>
    </w:p>
    <w:p w14:paraId="046AAD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primera operación consiste en el estaquillado de las obras, para validar el perfil y también para servir de referencia en la construcción de las cimentaciones. Esta tarea debe ser realizada por un topógrafo, en base al perfil de proyecto. </w:t>
      </w:r>
    </w:p>
    <w:p w14:paraId="0B98CCD0" w14:textId="77777777" w:rsidR="001F600C" w:rsidRPr="00285D58" w:rsidRDefault="001F600C" w:rsidP="008D1FFF">
      <w:pPr>
        <w:spacing w:line="276" w:lineRule="auto"/>
        <w:ind w:firstLine="567"/>
        <w:jc w:val="both"/>
        <w:rPr>
          <w:rFonts w:asciiTheme="minorHAnsi" w:eastAsia="Calibri" w:hAnsiTheme="minorHAnsi" w:cstheme="minorHAnsi"/>
        </w:rPr>
      </w:pPr>
    </w:p>
    <w:p w14:paraId="7FF5F92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3251C4" w:rsidRPr="00285D58">
        <w:rPr>
          <w:rFonts w:asciiTheme="minorHAnsi" w:eastAsia="Calibri" w:hAnsiTheme="minorHAnsi" w:cstheme="minorHAnsi"/>
        </w:rPr>
        <w:fldChar w:fldCharType="begin"/>
      </w:r>
      <w:r w:rsidR="003251C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251C4" w:rsidRPr="00285D58">
        <w:rPr>
          <w:rFonts w:asciiTheme="minorHAnsi" w:eastAsia="Calibri" w:hAnsiTheme="minorHAnsi" w:cstheme="minorHAnsi"/>
        </w:rPr>
        <w:fldChar w:fldCharType="separate"/>
      </w:r>
      <w:r w:rsidR="003E4B18" w:rsidRPr="00285D58">
        <w:rPr>
          <w:rFonts w:asciiTheme="minorHAnsi" w:eastAsia="Calibri" w:hAnsiTheme="minorHAnsi" w:cstheme="minorHAnsi"/>
        </w:rPr>
        <w:fldChar w:fldCharType="begin"/>
      </w:r>
      <w:r w:rsidR="003E4B1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E4B18" w:rsidRPr="00285D58">
        <w:rPr>
          <w:rFonts w:asciiTheme="minorHAnsi" w:eastAsia="Calibri" w:hAnsiTheme="minorHAnsi" w:cstheme="minorHAnsi"/>
        </w:rPr>
        <w:fldChar w:fldCharType="separate"/>
      </w:r>
      <w:r w:rsidR="00DE0804" w:rsidRPr="00285D58">
        <w:rPr>
          <w:rFonts w:asciiTheme="minorHAnsi" w:eastAsia="Calibri" w:hAnsiTheme="minorHAnsi" w:cstheme="minorHAnsi"/>
        </w:rPr>
        <w:fldChar w:fldCharType="begin"/>
      </w:r>
      <w:r w:rsidR="00DE080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DE0804" w:rsidRPr="00285D58">
        <w:rPr>
          <w:rFonts w:asciiTheme="minorHAnsi" w:eastAsia="Calibri" w:hAnsiTheme="minorHAnsi" w:cstheme="minorHAnsi"/>
        </w:rPr>
        <w:fldChar w:fldCharType="separate"/>
      </w:r>
      <w:r w:rsidR="00453AB4" w:rsidRPr="00285D58">
        <w:rPr>
          <w:rFonts w:asciiTheme="minorHAnsi" w:eastAsia="Calibri" w:hAnsiTheme="minorHAnsi" w:cstheme="minorHAnsi"/>
        </w:rPr>
        <w:fldChar w:fldCharType="begin"/>
      </w:r>
      <w:r w:rsidR="00453AB4"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53AB4" w:rsidRPr="00285D58">
        <w:rPr>
          <w:rFonts w:asciiTheme="minorHAnsi" w:eastAsia="Calibri" w:hAnsiTheme="minorHAnsi" w:cstheme="minorHAnsi"/>
        </w:rPr>
        <w:fldChar w:fldCharType="separate"/>
      </w:r>
      <w:r w:rsidR="00501153" w:rsidRPr="00285D58">
        <w:rPr>
          <w:rFonts w:asciiTheme="minorHAnsi" w:eastAsia="Calibri" w:hAnsiTheme="minorHAnsi" w:cstheme="minorHAnsi"/>
        </w:rPr>
        <w:fldChar w:fldCharType="begin"/>
      </w:r>
      <w:r w:rsidR="0050115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01153"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8E0D99" w:rsidRPr="00285D58">
        <w:rPr>
          <w:rFonts w:asciiTheme="minorHAnsi" w:eastAsia="Calibri" w:hAnsiTheme="minorHAnsi" w:cstheme="minorHAnsi"/>
        </w:rPr>
        <w:fldChar w:fldCharType="begin"/>
      </w:r>
      <w:r w:rsidR="008E0D99"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8E0D99" w:rsidRPr="00285D58">
        <w:rPr>
          <w:rFonts w:asciiTheme="minorHAnsi" w:eastAsia="Calibri" w:hAnsiTheme="minorHAnsi" w:cstheme="minorHAnsi"/>
        </w:rPr>
        <w:fldChar w:fldCharType="separate"/>
      </w:r>
      <w:r w:rsidR="00F20B19" w:rsidRPr="00285D58">
        <w:rPr>
          <w:rFonts w:asciiTheme="minorHAnsi" w:eastAsia="Calibri" w:hAnsiTheme="minorHAnsi" w:cstheme="minorHAnsi"/>
        </w:rPr>
        <w:fldChar w:fldCharType="begin"/>
      </w:r>
      <w:r w:rsidR="00F20B19"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20B19" w:rsidRPr="00285D58">
        <w:rPr>
          <w:rFonts w:asciiTheme="minorHAnsi" w:eastAsia="Calibri" w:hAnsiTheme="minorHAnsi" w:cstheme="minorHAnsi"/>
        </w:rPr>
        <w:fldChar w:fldCharType="separate"/>
      </w:r>
      <w:r w:rsidR="00152918" w:rsidRPr="00285D58">
        <w:rPr>
          <w:rFonts w:asciiTheme="minorHAnsi" w:eastAsia="Calibri" w:hAnsiTheme="minorHAnsi" w:cstheme="minorHAnsi"/>
        </w:rPr>
        <w:fldChar w:fldCharType="begin"/>
      </w:r>
      <w:r w:rsidR="0015291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152918" w:rsidRPr="00285D58">
        <w:rPr>
          <w:rFonts w:asciiTheme="minorHAnsi" w:eastAsia="Calibri" w:hAnsiTheme="minorHAnsi" w:cstheme="minorHAnsi"/>
        </w:rPr>
        <w:fldChar w:fldCharType="separate"/>
      </w:r>
      <w:r w:rsidR="000D05DB" w:rsidRPr="00285D58">
        <w:rPr>
          <w:rFonts w:asciiTheme="minorHAnsi" w:eastAsia="Calibri" w:hAnsiTheme="minorHAnsi" w:cstheme="minorHAnsi"/>
        </w:rPr>
        <w:fldChar w:fldCharType="begin"/>
      </w:r>
      <w:r w:rsidR="000D05DB"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0D05DB"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4D2088" w:rsidRPr="00285D58">
        <w:rPr>
          <w:rFonts w:asciiTheme="minorHAnsi" w:eastAsia="Calibri" w:hAnsiTheme="minorHAnsi" w:cstheme="minorHAnsi"/>
        </w:rPr>
        <w:fldChar w:fldCharType="begin"/>
      </w:r>
      <w:r w:rsidR="004D208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D2088"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242093" w:rsidRPr="00285D58">
        <w:rPr>
          <w:rFonts w:asciiTheme="minorHAnsi" w:eastAsia="Calibri" w:hAnsiTheme="minorHAnsi" w:cstheme="minorHAnsi"/>
        </w:rPr>
        <w:fldChar w:fldCharType="begin"/>
      </w:r>
      <w:r w:rsidR="0024209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42093" w:rsidRPr="00285D58">
        <w:rPr>
          <w:rFonts w:asciiTheme="minorHAnsi" w:eastAsia="Calibri" w:hAnsiTheme="minorHAnsi" w:cstheme="minorHAnsi"/>
        </w:rPr>
        <w:fldChar w:fldCharType="separate"/>
      </w:r>
      <w:r w:rsidR="006F3306" w:rsidRPr="00285D58">
        <w:rPr>
          <w:rFonts w:asciiTheme="minorHAnsi" w:eastAsia="Calibri" w:hAnsiTheme="minorHAnsi" w:cstheme="minorHAnsi"/>
        </w:rPr>
        <w:fldChar w:fldCharType="begin"/>
      </w:r>
      <w:r w:rsidR="006F330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6F3306"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B7524B" w:rsidRPr="00285D58">
        <w:rPr>
          <w:rFonts w:asciiTheme="minorHAnsi" w:eastAsia="Calibri" w:hAnsiTheme="minorHAnsi" w:cstheme="minorHAnsi"/>
        </w:rPr>
        <w:fldChar w:fldCharType="begin"/>
      </w:r>
      <w:r w:rsidR="00B7524B"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7524B" w:rsidRPr="00285D58">
        <w:rPr>
          <w:rFonts w:asciiTheme="minorHAnsi" w:eastAsia="Calibri" w:hAnsiTheme="minorHAnsi" w:cstheme="minorHAnsi"/>
        </w:rPr>
        <w:fldChar w:fldCharType="separate"/>
      </w:r>
      <w:r w:rsidR="00237826" w:rsidRPr="00285D58">
        <w:rPr>
          <w:rFonts w:asciiTheme="minorHAnsi" w:eastAsia="Calibri" w:hAnsiTheme="minorHAnsi" w:cstheme="minorHAnsi"/>
        </w:rPr>
        <w:fldChar w:fldCharType="begin"/>
      </w:r>
      <w:r w:rsidR="0023782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37826" w:rsidRPr="00285D58">
        <w:rPr>
          <w:rFonts w:asciiTheme="minorHAnsi" w:eastAsia="Calibri" w:hAnsiTheme="minorHAnsi" w:cstheme="minorHAnsi"/>
        </w:rPr>
        <w:fldChar w:fldCharType="separate"/>
      </w:r>
      <w:r w:rsidR="005D3BD8" w:rsidRPr="00285D58">
        <w:rPr>
          <w:rFonts w:asciiTheme="minorHAnsi" w:eastAsia="Calibri" w:hAnsiTheme="minorHAnsi" w:cstheme="minorHAnsi"/>
        </w:rPr>
        <w:fldChar w:fldCharType="begin"/>
      </w:r>
      <w:r w:rsidR="005D3BD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D3BD8" w:rsidRPr="00285D58">
        <w:rPr>
          <w:rFonts w:asciiTheme="minorHAnsi" w:eastAsia="Calibri" w:hAnsiTheme="minorHAnsi" w:cstheme="minorHAnsi"/>
        </w:rPr>
        <w:fldChar w:fldCharType="separate"/>
      </w:r>
      <w:r w:rsidR="00383A13" w:rsidRPr="00285D58">
        <w:rPr>
          <w:rFonts w:asciiTheme="minorHAnsi" w:eastAsia="Calibri" w:hAnsiTheme="minorHAnsi" w:cstheme="minorHAnsi"/>
        </w:rPr>
        <w:fldChar w:fldCharType="begin"/>
      </w:r>
      <w:r w:rsidR="00383A13"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83A13"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351D96" w:rsidRPr="00285D58">
        <w:rPr>
          <w:rFonts w:asciiTheme="minorHAnsi" w:eastAsia="Calibri" w:hAnsiTheme="minorHAnsi" w:cstheme="minorHAnsi"/>
        </w:rPr>
        <w:fldChar w:fldCharType="begin"/>
      </w:r>
      <w:r w:rsidR="00351D96"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51D96" w:rsidRPr="00285D58">
        <w:rPr>
          <w:rFonts w:asciiTheme="minorHAnsi" w:eastAsia="Calibri" w:hAnsiTheme="minorHAnsi" w:cstheme="minorHAnsi"/>
        </w:rPr>
        <w:fldChar w:fldCharType="separate"/>
      </w:r>
      <w:r w:rsidR="00B00C61" w:rsidRPr="00285D58">
        <w:rPr>
          <w:rFonts w:asciiTheme="minorHAnsi" w:eastAsia="Calibri" w:hAnsiTheme="minorHAnsi" w:cstheme="minorHAnsi"/>
        </w:rPr>
        <w:fldChar w:fldCharType="begin"/>
      </w:r>
      <w:r w:rsidR="00B00C61"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00C61" w:rsidRPr="00285D58">
        <w:rPr>
          <w:rFonts w:asciiTheme="minorHAnsi" w:eastAsia="Calibri" w:hAnsiTheme="minorHAnsi" w:cstheme="minorHAnsi"/>
        </w:rPr>
        <w:fldChar w:fldCharType="separate"/>
      </w:r>
      <w:r w:rsidR="001C5735" w:rsidRPr="00285D58">
        <w:rPr>
          <w:rFonts w:asciiTheme="minorHAnsi" w:eastAsia="Calibri" w:hAnsiTheme="minorHAnsi" w:cstheme="minorHAnsi"/>
        </w:rPr>
        <w:fldChar w:fldCharType="begin"/>
      </w:r>
      <w:r w:rsidR="001C5735"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1C5735" w:rsidRPr="00285D58">
        <w:rPr>
          <w:rFonts w:asciiTheme="minorHAnsi" w:eastAsia="Calibri" w:hAnsiTheme="minorHAnsi" w:cstheme="minorHAnsi"/>
        </w:rPr>
        <w:fldChar w:fldCharType="separate"/>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Pr="00285D58">
        <w:rPr>
          <w:rFonts w:asciiTheme="minorHAnsi" w:eastAsia="Calibri" w:hAnsiTheme="minorHAnsi" w:cstheme="minorHAnsi"/>
        </w:rPr>
        <w:fldChar w:fldCharType="separate"/>
      </w:r>
      <w:r w:rsidR="005807FA" w:rsidRPr="00285D58">
        <w:rPr>
          <w:rFonts w:asciiTheme="minorHAnsi" w:eastAsia="Calibri" w:hAnsiTheme="minorHAnsi" w:cstheme="minorHAnsi"/>
        </w:rPr>
        <w:fldChar w:fldCharType="begin"/>
      </w:r>
      <w:r w:rsidR="005807FA"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807FA" w:rsidRPr="00285D58">
        <w:rPr>
          <w:rFonts w:asciiTheme="minorHAnsi" w:eastAsia="Calibri" w:hAnsiTheme="minorHAnsi" w:cstheme="minorHAnsi"/>
        </w:rPr>
        <w:fldChar w:fldCharType="separate"/>
      </w:r>
      <w:r w:rsidR="002369C1" w:rsidRPr="00285D58">
        <w:rPr>
          <w:rFonts w:asciiTheme="minorHAnsi" w:eastAsia="Calibri" w:hAnsiTheme="minorHAnsi" w:cstheme="minorHAnsi"/>
        </w:rPr>
        <w:fldChar w:fldCharType="begin"/>
      </w:r>
      <w:r w:rsidR="002369C1"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369C1" w:rsidRPr="00285D58">
        <w:rPr>
          <w:rFonts w:asciiTheme="minorHAnsi" w:eastAsia="Calibri" w:hAnsiTheme="minorHAnsi" w:cstheme="minorHAnsi"/>
        </w:rPr>
        <w:fldChar w:fldCharType="separate"/>
      </w:r>
      <w:r w:rsidR="003A25DE" w:rsidRPr="00285D58">
        <w:rPr>
          <w:rFonts w:asciiTheme="minorHAnsi" w:eastAsia="Calibri" w:hAnsiTheme="minorHAnsi" w:cstheme="minorHAnsi"/>
        </w:rPr>
        <w:fldChar w:fldCharType="begin"/>
      </w:r>
      <w:r w:rsidR="003A25DE"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3A25DE" w:rsidRPr="00285D58">
        <w:rPr>
          <w:rFonts w:asciiTheme="minorHAnsi" w:eastAsia="Calibri" w:hAnsiTheme="minorHAnsi" w:cstheme="minorHAnsi"/>
        </w:rPr>
        <w:fldChar w:fldCharType="separate"/>
      </w:r>
      <w:r w:rsidR="00285D58" w:rsidRPr="00285D58">
        <w:rPr>
          <w:rFonts w:asciiTheme="minorHAnsi" w:eastAsia="Calibri" w:hAnsiTheme="minorHAnsi" w:cstheme="minorHAnsi"/>
        </w:rPr>
        <w:fldChar w:fldCharType="begin"/>
      </w:r>
      <w:r w:rsidR="00285D58" w:rsidRPr="00285D58">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285D58" w:rsidRPr="00285D58">
        <w:rPr>
          <w:rFonts w:asciiTheme="minorHAnsi" w:eastAsia="Calibri" w:hAnsiTheme="minorHAnsi" w:cstheme="minorHAnsi"/>
        </w:rPr>
        <w:fldChar w:fldCharType="separate"/>
      </w:r>
      <w:r w:rsidR="00560F02">
        <w:rPr>
          <w:rFonts w:asciiTheme="minorHAnsi" w:eastAsia="Calibri" w:hAnsiTheme="minorHAnsi" w:cstheme="minorHAnsi"/>
        </w:rPr>
        <w:fldChar w:fldCharType="begin"/>
      </w:r>
      <w:r w:rsidR="00560F02">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60F02">
        <w:rPr>
          <w:rFonts w:asciiTheme="minorHAnsi" w:eastAsia="Calibri" w:hAnsiTheme="minorHAnsi" w:cstheme="minorHAnsi"/>
        </w:rPr>
        <w:fldChar w:fldCharType="separate"/>
      </w:r>
      <w:r w:rsidR="00BC3181">
        <w:rPr>
          <w:rFonts w:asciiTheme="minorHAnsi" w:eastAsia="Calibri" w:hAnsiTheme="minorHAnsi" w:cstheme="minorHAnsi"/>
        </w:rPr>
        <w:fldChar w:fldCharType="begin"/>
      </w:r>
      <w:r w:rsidR="00BC318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C3181">
        <w:rPr>
          <w:rFonts w:asciiTheme="minorHAnsi" w:eastAsia="Calibri" w:hAnsiTheme="minorHAnsi" w:cstheme="minorHAnsi"/>
        </w:rPr>
        <w:fldChar w:fldCharType="separate"/>
      </w:r>
      <w:r w:rsidR="00443B3A">
        <w:rPr>
          <w:rFonts w:asciiTheme="minorHAnsi" w:eastAsia="Calibri" w:hAnsiTheme="minorHAnsi" w:cstheme="minorHAnsi"/>
        </w:rPr>
        <w:fldChar w:fldCharType="begin"/>
      </w:r>
      <w:r w:rsidR="00443B3A">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43B3A">
        <w:rPr>
          <w:rFonts w:asciiTheme="minorHAnsi" w:eastAsia="Calibri" w:hAnsiTheme="minorHAnsi" w:cstheme="minorHAnsi"/>
        </w:rPr>
        <w:fldChar w:fldCharType="separate"/>
      </w:r>
      <w:r w:rsidR="00480B40">
        <w:rPr>
          <w:rFonts w:asciiTheme="minorHAnsi" w:eastAsia="Calibri" w:hAnsiTheme="minorHAnsi" w:cstheme="minorHAnsi"/>
        </w:rPr>
        <w:fldChar w:fldCharType="begin"/>
      </w:r>
      <w:r w:rsidR="00480B4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80B40">
        <w:rPr>
          <w:rFonts w:asciiTheme="minorHAnsi" w:eastAsia="Calibri" w:hAnsiTheme="minorHAnsi" w:cstheme="minorHAnsi"/>
        </w:rPr>
        <w:fldChar w:fldCharType="separate"/>
      </w:r>
      <w:r w:rsidR="00480B40">
        <w:rPr>
          <w:rFonts w:asciiTheme="minorHAnsi" w:eastAsia="Calibri" w:hAnsiTheme="minorHAnsi" w:cstheme="minorHAnsi"/>
        </w:rPr>
        <w:fldChar w:fldCharType="begin"/>
      </w:r>
      <w:r w:rsidR="00480B4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80B40">
        <w:rPr>
          <w:rFonts w:asciiTheme="minorHAnsi" w:eastAsia="Calibri" w:hAnsiTheme="minorHAnsi" w:cstheme="minorHAnsi"/>
        </w:rPr>
        <w:fldChar w:fldCharType="separate"/>
      </w:r>
      <w:r w:rsidR="007E7D2C">
        <w:rPr>
          <w:rFonts w:asciiTheme="minorHAnsi" w:eastAsia="Calibri" w:hAnsiTheme="minorHAnsi" w:cstheme="minorHAnsi"/>
        </w:rPr>
        <w:fldChar w:fldCharType="begin"/>
      </w:r>
      <w:r w:rsidR="007E7D2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7E7D2C">
        <w:rPr>
          <w:rFonts w:asciiTheme="minorHAnsi" w:eastAsia="Calibri" w:hAnsiTheme="minorHAnsi" w:cstheme="minorHAnsi"/>
        </w:rPr>
        <w:fldChar w:fldCharType="separate"/>
      </w:r>
      <w:r w:rsidR="00457A67">
        <w:rPr>
          <w:rFonts w:asciiTheme="minorHAnsi" w:eastAsia="Calibri" w:hAnsiTheme="minorHAnsi" w:cstheme="minorHAnsi"/>
        </w:rPr>
        <w:fldChar w:fldCharType="begin"/>
      </w:r>
      <w:r w:rsidR="00457A67">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457A67">
        <w:rPr>
          <w:rFonts w:asciiTheme="minorHAnsi" w:eastAsia="Calibri" w:hAnsiTheme="minorHAnsi" w:cstheme="minorHAnsi"/>
        </w:rPr>
        <w:fldChar w:fldCharType="separate"/>
      </w:r>
      <w:r w:rsidR="00FC499C">
        <w:rPr>
          <w:rFonts w:asciiTheme="minorHAnsi" w:eastAsia="Calibri" w:hAnsiTheme="minorHAnsi" w:cstheme="minorHAnsi"/>
        </w:rPr>
        <w:fldChar w:fldCharType="begin"/>
      </w:r>
      <w:r w:rsidR="00FC499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C499C">
        <w:rPr>
          <w:rFonts w:asciiTheme="minorHAnsi" w:eastAsia="Calibri" w:hAnsiTheme="minorHAnsi" w:cstheme="minorHAnsi"/>
        </w:rPr>
        <w:fldChar w:fldCharType="separate"/>
      </w:r>
      <w:r w:rsidR="0053771C">
        <w:rPr>
          <w:rFonts w:asciiTheme="minorHAnsi" w:eastAsia="Calibri" w:hAnsiTheme="minorHAnsi" w:cstheme="minorHAnsi"/>
        </w:rPr>
        <w:fldChar w:fldCharType="begin"/>
      </w:r>
      <w:r w:rsidR="0053771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53771C">
        <w:rPr>
          <w:rFonts w:asciiTheme="minorHAnsi" w:eastAsia="Calibri" w:hAnsiTheme="minorHAnsi" w:cstheme="minorHAnsi"/>
        </w:rPr>
        <w:fldChar w:fldCharType="separate"/>
      </w:r>
      <w:r>
        <w:rPr>
          <w:rFonts w:asciiTheme="minorHAnsi" w:eastAsia="Calibri" w:hAnsiTheme="minorHAnsi" w:cstheme="minorHAnsi"/>
        </w:rPr>
        <w:fldChar w:fldCharType="begin"/>
      </w:r>
      <w:r>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Pr>
          <w:rFonts w:asciiTheme="minorHAnsi" w:eastAsia="Calibri" w:hAnsiTheme="minorHAnsi" w:cstheme="minorHAnsi"/>
        </w:rPr>
        <w:fldChar w:fldCharType="separate"/>
      </w:r>
      <w:r w:rsidR="00FB01D4">
        <w:rPr>
          <w:rFonts w:asciiTheme="minorHAnsi" w:eastAsia="Calibri" w:hAnsiTheme="minorHAnsi" w:cstheme="minorHAnsi"/>
        </w:rPr>
        <w:fldChar w:fldCharType="begin"/>
      </w:r>
      <w:r w:rsidR="00FB01D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B01D4">
        <w:rPr>
          <w:rFonts w:asciiTheme="minorHAnsi" w:eastAsia="Calibri" w:hAnsiTheme="minorHAnsi" w:cstheme="minorHAnsi"/>
        </w:rPr>
        <w:fldChar w:fldCharType="separate"/>
      </w:r>
      <w:r w:rsidR="00B31104">
        <w:rPr>
          <w:rFonts w:asciiTheme="minorHAnsi" w:eastAsia="Calibri" w:hAnsiTheme="minorHAnsi" w:cstheme="minorHAnsi"/>
        </w:rPr>
        <w:fldChar w:fldCharType="begin"/>
      </w:r>
      <w:r w:rsidR="00B3110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31104">
        <w:rPr>
          <w:rFonts w:asciiTheme="minorHAnsi" w:eastAsia="Calibri" w:hAnsiTheme="minorHAnsi" w:cstheme="minorHAnsi"/>
        </w:rPr>
        <w:fldChar w:fldCharType="separate"/>
      </w:r>
      <w:r w:rsidR="00B31104">
        <w:rPr>
          <w:rFonts w:asciiTheme="minorHAnsi" w:eastAsia="Calibri" w:hAnsiTheme="minorHAnsi" w:cstheme="minorHAnsi"/>
        </w:rPr>
        <w:fldChar w:fldCharType="begin"/>
      </w:r>
      <w:r w:rsidR="00B3110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B31104">
        <w:rPr>
          <w:rFonts w:asciiTheme="minorHAnsi" w:eastAsia="Calibri" w:hAnsiTheme="minorHAnsi" w:cstheme="minorHAnsi"/>
        </w:rPr>
        <w:fldChar w:fldCharType="separate"/>
      </w:r>
      <w:r w:rsidR="00A16D9F">
        <w:rPr>
          <w:rFonts w:asciiTheme="minorHAnsi" w:eastAsia="Calibri" w:hAnsiTheme="minorHAnsi" w:cstheme="minorHAnsi"/>
        </w:rPr>
        <w:fldChar w:fldCharType="begin"/>
      </w:r>
      <w:r w:rsidR="00A16D9F">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16D9F">
        <w:rPr>
          <w:rFonts w:asciiTheme="minorHAnsi" w:eastAsia="Calibri" w:hAnsiTheme="minorHAnsi" w:cstheme="minorHAnsi"/>
        </w:rPr>
        <w:fldChar w:fldCharType="separate"/>
      </w:r>
      <w:r w:rsidR="00F31011">
        <w:rPr>
          <w:rFonts w:asciiTheme="minorHAnsi" w:eastAsia="Calibri" w:hAnsiTheme="minorHAnsi" w:cstheme="minorHAnsi"/>
        </w:rPr>
        <w:fldChar w:fldCharType="begin"/>
      </w:r>
      <w:r w:rsidR="00F3101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31011">
        <w:rPr>
          <w:rFonts w:asciiTheme="minorHAnsi" w:eastAsia="Calibri" w:hAnsiTheme="minorHAnsi" w:cstheme="minorHAnsi"/>
        </w:rPr>
        <w:fldChar w:fldCharType="separate"/>
      </w:r>
      <w:r w:rsidR="00A3732C">
        <w:rPr>
          <w:rFonts w:asciiTheme="minorHAnsi" w:eastAsia="Calibri" w:hAnsiTheme="minorHAnsi" w:cstheme="minorHAnsi"/>
        </w:rPr>
        <w:fldChar w:fldCharType="begin"/>
      </w:r>
      <w:r w:rsidR="00A3732C">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3732C">
        <w:rPr>
          <w:rFonts w:asciiTheme="minorHAnsi" w:eastAsia="Calibri" w:hAnsiTheme="minorHAnsi" w:cstheme="minorHAnsi"/>
        </w:rPr>
        <w:fldChar w:fldCharType="separate"/>
      </w:r>
      <w:r>
        <w:rPr>
          <w:rFonts w:asciiTheme="minorHAnsi" w:eastAsia="Calibri" w:hAnsiTheme="minorHAnsi" w:cstheme="minorHAnsi"/>
        </w:rPr>
        <w:fldChar w:fldCharType="begin"/>
      </w:r>
      <w:r>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Pr>
          <w:rFonts w:asciiTheme="minorHAnsi" w:eastAsia="Calibri" w:hAnsiTheme="minorHAnsi" w:cstheme="minorHAnsi"/>
        </w:rPr>
        <w:fldChar w:fldCharType="separate"/>
      </w:r>
      <w:r w:rsidR="00AD1DF1">
        <w:rPr>
          <w:rFonts w:asciiTheme="minorHAnsi" w:eastAsia="Calibri" w:hAnsiTheme="minorHAnsi" w:cstheme="minorHAnsi"/>
        </w:rPr>
        <w:fldChar w:fldCharType="begin"/>
      </w:r>
      <w:r w:rsidR="00AD1DF1">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D1DF1">
        <w:rPr>
          <w:rFonts w:asciiTheme="minorHAnsi" w:eastAsia="Calibri" w:hAnsiTheme="minorHAnsi" w:cstheme="minorHAnsi"/>
        </w:rPr>
        <w:fldChar w:fldCharType="separate"/>
      </w:r>
      <w:r w:rsidR="00D20964">
        <w:rPr>
          <w:rFonts w:asciiTheme="minorHAnsi" w:eastAsia="Calibri" w:hAnsiTheme="minorHAnsi" w:cstheme="minorHAnsi"/>
        </w:rPr>
        <w:fldChar w:fldCharType="begin"/>
      </w:r>
      <w:r w:rsidR="00D20964">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D20964">
        <w:rPr>
          <w:rFonts w:asciiTheme="minorHAnsi" w:eastAsia="Calibri" w:hAnsiTheme="minorHAnsi" w:cstheme="minorHAnsi"/>
        </w:rPr>
        <w:fldChar w:fldCharType="separate"/>
      </w:r>
      <w:r w:rsidR="00AC7F15">
        <w:rPr>
          <w:rFonts w:asciiTheme="minorHAnsi" w:eastAsia="Calibri" w:hAnsiTheme="minorHAnsi" w:cstheme="minorHAnsi"/>
        </w:rPr>
        <w:fldChar w:fldCharType="begin"/>
      </w:r>
      <w:r w:rsidR="00AC7F15">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AC7F15">
        <w:rPr>
          <w:rFonts w:asciiTheme="minorHAnsi" w:eastAsia="Calibri" w:hAnsiTheme="minorHAnsi" w:cstheme="minorHAnsi"/>
        </w:rPr>
        <w:fldChar w:fldCharType="separate"/>
      </w:r>
      <w:r w:rsidR="00C94ED0">
        <w:rPr>
          <w:rFonts w:asciiTheme="minorHAnsi" w:eastAsia="Calibri" w:hAnsiTheme="minorHAnsi" w:cstheme="minorHAnsi"/>
        </w:rPr>
        <w:fldChar w:fldCharType="begin"/>
      </w:r>
      <w:r w:rsidR="00C94ED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C94ED0">
        <w:rPr>
          <w:rFonts w:asciiTheme="minorHAnsi" w:eastAsia="Calibri" w:hAnsiTheme="minorHAnsi" w:cstheme="minorHAnsi"/>
        </w:rPr>
        <w:fldChar w:fldCharType="separate"/>
      </w:r>
      <w:r>
        <w:rPr>
          <w:rFonts w:asciiTheme="minorHAnsi" w:eastAsia="Calibri" w:hAnsiTheme="minorHAnsi" w:cstheme="minorHAnsi"/>
        </w:rPr>
        <w:fldChar w:fldCharType="begin"/>
      </w:r>
      <w:r>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Pr>
          <w:rFonts w:asciiTheme="minorHAnsi" w:eastAsia="Calibri" w:hAnsiTheme="minorHAnsi" w:cstheme="minorHAnsi"/>
        </w:rPr>
        <w:fldChar w:fldCharType="separate"/>
      </w:r>
      <w:r w:rsidR="00F237EF">
        <w:rPr>
          <w:rFonts w:asciiTheme="minorHAnsi" w:eastAsia="Calibri" w:hAnsiTheme="minorHAnsi" w:cstheme="minorHAnsi"/>
        </w:rPr>
        <w:fldChar w:fldCharType="begin"/>
      </w:r>
      <w:r w:rsidR="00F237EF">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F237EF">
        <w:rPr>
          <w:rFonts w:asciiTheme="minorHAnsi" w:eastAsia="Calibri" w:hAnsiTheme="minorHAnsi" w:cstheme="minorHAnsi"/>
        </w:rPr>
        <w:fldChar w:fldCharType="separate"/>
      </w:r>
      <w:r w:rsidR="001E4AD6">
        <w:rPr>
          <w:rFonts w:asciiTheme="minorHAnsi" w:eastAsia="Calibri" w:hAnsiTheme="minorHAnsi" w:cstheme="minorHAnsi"/>
        </w:rPr>
        <w:fldChar w:fldCharType="begin"/>
      </w:r>
      <w:r w:rsidR="001E4AD6">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1E4AD6">
        <w:rPr>
          <w:rFonts w:asciiTheme="minorHAnsi" w:eastAsia="Calibri" w:hAnsiTheme="minorHAnsi" w:cstheme="minorHAnsi"/>
        </w:rPr>
        <w:fldChar w:fldCharType="separate"/>
      </w:r>
      <w:r w:rsidR="00D223DB">
        <w:rPr>
          <w:rFonts w:asciiTheme="minorHAnsi" w:eastAsia="Calibri" w:hAnsiTheme="minorHAnsi" w:cstheme="minorHAnsi"/>
        </w:rPr>
        <w:fldChar w:fldCharType="begin"/>
      </w:r>
      <w:r w:rsidR="00D223DB">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D223DB">
        <w:rPr>
          <w:rFonts w:asciiTheme="minorHAnsi" w:eastAsia="Calibri" w:hAnsiTheme="minorHAnsi" w:cstheme="minorHAnsi"/>
        </w:rPr>
        <w:fldChar w:fldCharType="separate"/>
      </w:r>
      <w:r w:rsidR="00000000">
        <w:rPr>
          <w:rFonts w:asciiTheme="minorHAnsi" w:eastAsia="Calibri" w:hAnsiTheme="minorHAnsi" w:cstheme="minorHAnsi"/>
        </w:rPr>
        <w:fldChar w:fldCharType="begin"/>
      </w:r>
      <w:r w:rsidR="00000000">
        <w:rPr>
          <w:rFonts w:asciiTheme="minorHAnsi" w:eastAsia="Calibri" w:hAnsiTheme="minorHAnsi" w:cstheme="minorHAnsi"/>
        </w:rPr>
        <w:instrText xml:space="preserve"> INCLUDEPICTURE  "http://en.leitner-ropeways.com/var/ezwebin_site_clean/storage/images/media/images/node_10493/556568-1-ger-DE/_1_fullscreen.png" \* MERGEFORMATINET </w:instrText>
      </w:r>
      <w:r w:rsidR="00000000">
        <w:rPr>
          <w:rFonts w:asciiTheme="minorHAnsi" w:eastAsia="Calibri" w:hAnsiTheme="minorHAnsi" w:cstheme="minorHAnsi"/>
        </w:rPr>
        <w:fldChar w:fldCharType="separate"/>
      </w:r>
      <w:r w:rsidR="00A42C84">
        <w:rPr>
          <w:rFonts w:asciiTheme="minorHAnsi" w:eastAsia="Calibri" w:hAnsiTheme="minorHAnsi" w:cstheme="minorHAnsi"/>
        </w:rPr>
        <w:pict w14:anchorId="6B2FA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2pt;height:264pt">
            <v:imagedata r:id="rId47" r:href="rId48"/>
          </v:shape>
        </w:pict>
      </w:r>
      <w:r w:rsidR="00000000">
        <w:rPr>
          <w:rFonts w:asciiTheme="minorHAnsi" w:eastAsia="Calibri" w:hAnsiTheme="minorHAnsi" w:cstheme="minorHAnsi"/>
        </w:rPr>
        <w:fldChar w:fldCharType="end"/>
      </w:r>
      <w:r w:rsidR="00D223DB">
        <w:rPr>
          <w:rFonts w:asciiTheme="minorHAnsi" w:eastAsia="Calibri" w:hAnsiTheme="minorHAnsi" w:cstheme="minorHAnsi"/>
        </w:rPr>
        <w:fldChar w:fldCharType="end"/>
      </w:r>
      <w:r w:rsidR="001E4AD6">
        <w:rPr>
          <w:rFonts w:asciiTheme="minorHAnsi" w:eastAsia="Calibri" w:hAnsiTheme="minorHAnsi" w:cstheme="minorHAnsi"/>
        </w:rPr>
        <w:fldChar w:fldCharType="end"/>
      </w:r>
      <w:r w:rsidR="00F237EF">
        <w:rPr>
          <w:rFonts w:asciiTheme="minorHAnsi" w:eastAsia="Calibri" w:hAnsiTheme="minorHAnsi" w:cstheme="minorHAnsi"/>
        </w:rPr>
        <w:fldChar w:fldCharType="end"/>
      </w:r>
      <w:r>
        <w:rPr>
          <w:rFonts w:asciiTheme="minorHAnsi" w:eastAsia="Calibri" w:hAnsiTheme="minorHAnsi" w:cstheme="minorHAnsi"/>
        </w:rPr>
        <w:fldChar w:fldCharType="end"/>
      </w:r>
      <w:r w:rsidR="00C94ED0">
        <w:rPr>
          <w:rFonts w:asciiTheme="minorHAnsi" w:eastAsia="Calibri" w:hAnsiTheme="minorHAnsi" w:cstheme="minorHAnsi"/>
        </w:rPr>
        <w:fldChar w:fldCharType="end"/>
      </w:r>
      <w:r w:rsidR="00AC7F15">
        <w:rPr>
          <w:rFonts w:asciiTheme="minorHAnsi" w:eastAsia="Calibri" w:hAnsiTheme="minorHAnsi" w:cstheme="minorHAnsi"/>
        </w:rPr>
        <w:fldChar w:fldCharType="end"/>
      </w:r>
      <w:r w:rsidR="00D20964">
        <w:rPr>
          <w:rFonts w:asciiTheme="minorHAnsi" w:eastAsia="Calibri" w:hAnsiTheme="minorHAnsi" w:cstheme="minorHAnsi"/>
        </w:rPr>
        <w:fldChar w:fldCharType="end"/>
      </w:r>
      <w:r w:rsidR="00AD1DF1">
        <w:rPr>
          <w:rFonts w:asciiTheme="minorHAnsi" w:eastAsia="Calibri" w:hAnsiTheme="minorHAnsi" w:cstheme="minorHAnsi"/>
        </w:rPr>
        <w:fldChar w:fldCharType="end"/>
      </w:r>
      <w:r>
        <w:rPr>
          <w:rFonts w:asciiTheme="minorHAnsi" w:eastAsia="Calibri" w:hAnsiTheme="minorHAnsi" w:cstheme="minorHAnsi"/>
        </w:rPr>
        <w:fldChar w:fldCharType="end"/>
      </w:r>
      <w:r w:rsidR="00A3732C">
        <w:rPr>
          <w:rFonts w:asciiTheme="minorHAnsi" w:eastAsia="Calibri" w:hAnsiTheme="minorHAnsi" w:cstheme="minorHAnsi"/>
        </w:rPr>
        <w:fldChar w:fldCharType="end"/>
      </w:r>
      <w:r w:rsidR="00F31011">
        <w:rPr>
          <w:rFonts w:asciiTheme="minorHAnsi" w:eastAsia="Calibri" w:hAnsiTheme="minorHAnsi" w:cstheme="minorHAnsi"/>
        </w:rPr>
        <w:fldChar w:fldCharType="end"/>
      </w:r>
      <w:r w:rsidR="00A16D9F">
        <w:rPr>
          <w:rFonts w:asciiTheme="minorHAnsi" w:eastAsia="Calibri" w:hAnsiTheme="minorHAnsi" w:cstheme="minorHAnsi"/>
        </w:rPr>
        <w:fldChar w:fldCharType="end"/>
      </w:r>
      <w:r w:rsidR="00B31104">
        <w:rPr>
          <w:rFonts w:asciiTheme="minorHAnsi" w:eastAsia="Calibri" w:hAnsiTheme="minorHAnsi" w:cstheme="minorHAnsi"/>
        </w:rPr>
        <w:fldChar w:fldCharType="end"/>
      </w:r>
      <w:r w:rsidR="00B31104">
        <w:rPr>
          <w:rFonts w:asciiTheme="minorHAnsi" w:eastAsia="Calibri" w:hAnsiTheme="minorHAnsi" w:cstheme="minorHAnsi"/>
        </w:rPr>
        <w:fldChar w:fldCharType="end"/>
      </w:r>
      <w:r w:rsidR="00FB01D4">
        <w:rPr>
          <w:rFonts w:asciiTheme="minorHAnsi" w:eastAsia="Calibri" w:hAnsiTheme="minorHAnsi" w:cstheme="minorHAnsi"/>
        </w:rPr>
        <w:fldChar w:fldCharType="end"/>
      </w:r>
      <w:r>
        <w:rPr>
          <w:rFonts w:asciiTheme="minorHAnsi" w:eastAsia="Calibri" w:hAnsiTheme="minorHAnsi" w:cstheme="minorHAnsi"/>
        </w:rPr>
        <w:fldChar w:fldCharType="end"/>
      </w:r>
      <w:r w:rsidR="0053771C">
        <w:rPr>
          <w:rFonts w:asciiTheme="minorHAnsi" w:eastAsia="Calibri" w:hAnsiTheme="minorHAnsi" w:cstheme="minorHAnsi"/>
        </w:rPr>
        <w:fldChar w:fldCharType="end"/>
      </w:r>
      <w:r w:rsidR="00FC499C">
        <w:rPr>
          <w:rFonts w:asciiTheme="minorHAnsi" w:eastAsia="Calibri" w:hAnsiTheme="minorHAnsi" w:cstheme="minorHAnsi"/>
        </w:rPr>
        <w:fldChar w:fldCharType="end"/>
      </w:r>
      <w:r w:rsidR="00457A67">
        <w:rPr>
          <w:rFonts w:asciiTheme="minorHAnsi" w:eastAsia="Calibri" w:hAnsiTheme="minorHAnsi" w:cstheme="minorHAnsi"/>
        </w:rPr>
        <w:fldChar w:fldCharType="end"/>
      </w:r>
      <w:r w:rsidR="007E7D2C">
        <w:rPr>
          <w:rFonts w:asciiTheme="minorHAnsi" w:eastAsia="Calibri" w:hAnsiTheme="minorHAnsi" w:cstheme="minorHAnsi"/>
        </w:rPr>
        <w:fldChar w:fldCharType="end"/>
      </w:r>
      <w:r w:rsidR="00480B40">
        <w:rPr>
          <w:rFonts w:asciiTheme="minorHAnsi" w:eastAsia="Calibri" w:hAnsiTheme="minorHAnsi" w:cstheme="minorHAnsi"/>
        </w:rPr>
        <w:fldChar w:fldCharType="end"/>
      </w:r>
      <w:r w:rsidR="00480B40">
        <w:rPr>
          <w:rFonts w:asciiTheme="minorHAnsi" w:eastAsia="Calibri" w:hAnsiTheme="minorHAnsi" w:cstheme="minorHAnsi"/>
        </w:rPr>
        <w:fldChar w:fldCharType="end"/>
      </w:r>
      <w:r w:rsidR="00443B3A">
        <w:rPr>
          <w:rFonts w:asciiTheme="minorHAnsi" w:eastAsia="Calibri" w:hAnsiTheme="minorHAnsi" w:cstheme="minorHAnsi"/>
        </w:rPr>
        <w:fldChar w:fldCharType="end"/>
      </w:r>
      <w:r w:rsidR="00BC3181">
        <w:rPr>
          <w:rFonts w:asciiTheme="minorHAnsi" w:eastAsia="Calibri" w:hAnsiTheme="minorHAnsi" w:cstheme="minorHAnsi"/>
        </w:rPr>
        <w:fldChar w:fldCharType="end"/>
      </w:r>
      <w:r w:rsidR="00560F02">
        <w:rPr>
          <w:rFonts w:asciiTheme="minorHAnsi" w:eastAsia="Calibri" w:hAnsiTheme="minorHAnsi" w:cstheme="minorHAnsi"/>
        </w:rPr>
        <w:fldChar w:fldCharType="end"/>
      </w:r>
      <w:r w:rsidR="00285D58" w:rsidRPr="00285D58">
        <w:rPr>
          <w:rFonts w:asciiTheme="minorHAnsi" w:eastAsia="Calibri" w:hAnsiTheme="minorHAnsi" w:cstheme="minorHAnsi"/>
        </w:rPr>
        <w:fldChar w:fldCharType="end"/>
      </w:r>
      <w:r w:rsidR="003A25DE" w:rsidRPr="00285D58">
        <w:rPr>
          <w:rFonts w:asciiTheme="minorHAnsi" w:eastAsia="Calibri" w:hAnsiTheme="minorHAnsi" w:cstheme="minorHAnsi"/>
        </w:rPr>
        <w:fldChar w:fldCharType="end"/>
      </w:r>
      <w:r w:rsidR="002369C1" w:rsidRPr="00285D58">
        <w:rPr>
          <w:rFonts w:asciiTheme="minorHAnsi" w:eastAsia="Calibri" w:hAnsiTheme="minorHAnsi" w:cstheme="minorHAnsi"/>
        </w:rPr>
        <w:fldChar w:fldCharType="end"/>
      </w:r>
      <w:r w:rsidR="005807FA"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1C5735" w:rsidRPr="00285D58">
        <w:rPr>
          <w:rFonts w:asciiTheme="minorHAnsi" w:eastAsia="Calibri" w:hAnsiTheme="minorHAnsi" w:cstheme="minorHAnsi"/>
        </w:rPr>
        <w:fldChar w:fldCharType="end"/>
      </w:r>
      <w:r w:rsidR="00B00C61" w:rsidRPr="00285D58">
        <w:rPr>
          <w:rFonts w:asciiTheme="minorHAnsi" w:eastAsia="Calibri" w:hAnsiTheme="minorHAnsi" w:cstheme="minorHAnsi"/>
        </w:rPr>
        <w:fldChar w:fldCharType="end"/>
      </w:r>
      <w:r w:rsidR="00351D96"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383A13" w:rsidRPr="00285D58">
        <w:rPr>
          <w:rFonts w:asciiTheme="minorHAnsi" w:eastAsia="Calibri" w:hAnsiTheme="minorHAnsi" w:cstheme="minorHAnsi"/>
        </w:rPr>
        <w:fldChar w:fldCharType="end"/>
      </w:r>
      <w:r w:rsidR="005D3BD8" w:rsidRPr="00285D58">
        <w:rPr>
          <w:rFonts w:asciiTheme="minorHAnsi" w:eastAsia="Calibri" w:hAnsiTheme="minorHAnsi" w:cstheme="minorHAnsi"/>
        </w:rPr>
        <w:fldChar w:fldCharType="end"/>
      </w:r>
      <w:r w:rsidR="00237826" w:rsidRPr="00285D58">
        <w:rPr>
          <w:rFonts w:asciiTheme="minorHAnsi" w:eastAsia="Calibri" w:hAnsiTheme="minorHAnsi" w:cstheme="minorHAnsi"/>
        </w:rPr>
        <w:fldChar w:fldCharType="end"/>
      </w:r>
      <w:r w:rsidR="00B7524B"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6F3306" w:rsidRPr="00285D58">
        <w:rPr>
          <w:rFonts w:asciiTheme="minorHAnsi" w:eastAsia="Calibri" w:hAnsiTheme="minorHAnsi" w:cstheme="minorHAnsi"/>
        </w:rPr>
        <w:fldChar w:fldCharType="end"/>
      </w:r>
      <w:r w:rsidR="00242093"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4D2088"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0D05DB" w:rsidRPr="00285D58">
        <w:rPr>
          <w:rFonts w:asciiTheme="minorHAnsi" w:eastAsia="Calibri" w:hAnsiTheme="minorHAnsi" w:cstheme="minorHAnsi"/>
        </w:rPr>
        <w:fldChar w:fldCharType="end"/>
      </w:r>
      <w:r w:rsidR="00152918" w:rsidRPr="00285D58">
        <w:rPr>
          <w:rFonts w:asciiTheme="minorHAnsi" w:eastAsia="Calibri" w:hAnsiTheme="minorHAnsi" w:cstheme="minorHAnsi"/>
        </w:rPr>
        <w:fldChar w:fldCharType="end"/>
      </w:r>
      <w:r w:rsidR="00F20B19" w:rsidRPr="00285D58">
        <w:rPr>
          <w:rFonts w:asciiTheme="minorHAnsi" w:eastAsia="Calibri" w:hAnsiTheme="minorHAnsi" w:cstheme="minorHAnsi"/>
        </w:rPr>
        <w:fldChar w:fldCharType="end"/>
      </w:r>
      <w:r w:rsidR="008E0D99"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00501153" w:rsidRPr="00285D58">
        <w:rPr>
          <w:rFonts w:asciiTheme="minorHAnsi" w:eastAsia="Calibri" w:hAnsiTheme="minorHAnsi" w:cstheme="minorHAnsi"/>
        </w:rPr>
        <w:fldChar w:fldCharType="end"/>
      </w:r>
      <w:r w:rsidR="00453AB4" w:rsidRPr="00285D58">
        <w:rPr>
          <w:rFonts w:asciiTheme="minorHAnsi" w:eastAsia="Calibri" w:hAnsiTheme="minorHAnsi" w:cstheme="minorHAnsi"/>
        </w:rPr>
        <w:fldChar w:fldCharType="end"/>
      </w:r>
      <w:r w:rsidR="00DE0804" w:rsidRPr="00285D58">
        <w:rPr>
          <w:rFonts w:asciiTheme="minorHAnsi" w:eastAsia="Calibri" w:hAnsiTheme="minorHAnsi" w:cstheme="minorHAnsi"/>
        </w:rPr>
        <w:fldChar w:fldCharType="end"/>
      </w:r>
      <w:r w:rsidR="003E4B18" w:rsidRPr="00285D58">
        <w:rPr>
          <w:rFonts w:asciiTheme="minorHAnsi" w:eastAsia="Calibri" w:hAnsiTheme="minorHAnsi" w:cstheme="minorHAnsi"/>
        </w:rPr>
        <w:fldChar w:fldCharType="end"/>
      </w:r>
      <w:r w:rsidR="003251C4"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r w:rsidRPr="00285D58">
        <w:rPr>
          <w:rFonts w:asciiTheme="minorHAnsi" w:eastAsia="Calibri" w:hAnsiTheme="minorHAnsi" w:cstheme="minorHAnsi"/>
        </w:rPr>
        <w:fldChar w:fldCharType="end"/>
      </w:r>
    </w:p>
    <w:p w14:paraId="21E2B2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partir del estaquillado de los elementos constructivos (estaciones y torres), se valida sus localizaciones, o bien, se modifican según las condiciones reales del terreno (por ejemplo, si se coincide con un arroyo o con una zona inestable). </w:t>
      </w:r>
    </w:p>
    <w:p w14:paraId="148C7CC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Obra civil</w:t>
      </w:r>
    </w:p>
    <w:p w14:paraId="6C9CBF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estaciones son estructuras de hormigón armado, de forma paralelepipédica, que alojan en su interior los componentes electromecánicos, y que sirven asimismo de soporte a los andenes y zapatas de soporte de los cables. </w:t>
      </w:r>
    </w:p>
    <w:p w14:paraId="54743B0E" w14:textId="77777777" w:rsidR="001F600C" w:rsidRPr="00285D58" w:rsidRDefault="001F600C" w:rsidP="008D1FFF">
      <w:pPr>
        <w:spacing w:line="276" w:lineRule="auto"/>
        <w:ind w:firstLine="566"/>
        <w:jc w:val="both"/>
        <w:rPr>
          <w:rFonts w:asciiTheme="minorHAnsi" w:eastAsia="Calibri" w:hAnsiTheme="minorHAnsi" w:cstheme="minorHAnsi"/>
        </w:rPr>
      </w:pPr>
    </w:p>
    <w:p w14:paraId="0A0A64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torres de línea se apoyan sobre el terreno natural a través de cimentaciones de hormigón </w:t>
      </w:r>
      <w:r w:rsidRPr="00285D58">
        <w:rPr>
          <w:rFonts w:asciiTheme="minorHAnsi" w:eastAsia="Calibri" w:hAnsiTheme="minorHAnsi" w:cstheme="minorHAnsi"/>
        </w:rPr>
        <w:lastRenderedPageBreak/>
        <w:t>armado, dentro de la que se colocan los pernos de anclaje en número variable, según el esfuerzo de cada pie de éstas.</w:t>
      </w:r>
    </w:p>
    <w:p w14:paraId="4BCE8D99" w14:textId="77777777" w:rsidR="001F600C" w:rsidRPr="00285D58" w:rsidRDefault="001F600C" w:rsidP="008D1FFF">
      <w:pPr>
        <w:spacing w:line="276" w:lineRule="auto"/>
        <w:ind w:firstLine="567"/>
        <w:jc w:val="center"/>
        <w:rPr>
          <w:rFonts w:asciiTheme="minorHAnsi" w:eastAsia="Calibri" w:hAnsiTheme="minorHAnsi" w:cstheme="minorHAnsi"/>
        </w:rPr>
      </w:pPr>
    </w:p>
    <w:p w14:paraId="4E1AF49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03C48D0" wp14:editId="33C226A9">
            <wp:extent cx="5760085" cy="3837940"/>
            <wp:effectExtent l="0" t="0" r="0" b="0"/>
            <wp:docPr id="2133617364" name="image10.jpg" descr="https://www.lovecourmayeur.com/sites/default/files/nodeimages/lucabenedet-cantiere-funivie-monte-bianco-59.jpg?itok=RU_qIJQ6"/>
            <wp:cNvGraphicFramePr/>
            <a:graphic xmlns:a="http://schemas.openxmlformats.org/drawingml/2006/main">
              <a:graphicData uri="http://schemas.openxmlformats.org/drawingml/2006/picture">
                <pic:pic xmlns:pic="http://schemas.openxmlformats.org/drawingml/2006/picture">
                  <pic:nvPicPr>
                    <pic:cNvPr id="0" name="image10.jpg" descr="https://www.lovecourmayeur.com/sites/default/files/nodeimages/lucabenedet-cantiere-funivie-monte-bianco-59.jpg?itok=RU_qIJQ6"/>
                    <pic:cNvPicPr preferRelativeResize="0"/>
                  </pic:nvPicPr>
                  <pic:blipFill>
                    <a:blip r:embed="rId49"/>
                    <a:srcRect/>
                    <a:stretch>
                      <a:fillRect/>
                    </a:stretch>
                  </pic:blipFill>
                  <pic:spPr>
                    <a:xfrm>
                      <a:off x="0" y="0"/>
                      <a:ext cx="5760085" cy="3837940"/>
                    </a:xfrm>
                    <a:prstGeom prst="rect">
                      <a:avLst/>
                    </a:prstGeom>
                    <a:ln/>
                  </pic:spPr>
                </pic:pic>
              </a:graphicData>
            </a:graphic>
          </wp:inline>
        </w:drawing>
      </w:r>
    </w:p>
    <w:p w14:paraId="7B25D55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Fotografía de las obras de la estación superior del teleférico del Mont Blanc (Copurmayer a Punta Helbronner). Fuente: www.lovecourmayeur.com</w:t>
      </w:r>
    </w:p>
    <w:p w14:paraId="757642F1"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9038" w:type="dxa"/>
        <w:jc w:val="center"/>
        <w:tblBorders>
          <w:top w:val="nil"/>
          <w:left w:val="nil"/>
          <w:bottom w:val="nil"/>
          <w:right w:val="nil"/>
          <w:insideH w:val="nil"/>
          <w:insideV w:val="nil"/>
        </w:tblBorders>
        <w:tblLayout w:type="fixed"/>
        <w:tblLook w:val="0400" w:firstRow="0" w:lastRow="0" w:firstColumn="0" w:lastColumn="0" w:noHBand="0" w:noVBand="1"/>
      </w:tblPr>
      <w:tblGrid>
        <w:gridCol w:w="4519"/>
        <w:gridCol w:w="4519"/>
      </w:tblGrid>
      <w:tr w:rsidR="001F600C" w:rsidRPr="00285D58" w14:paraId="753EA788" w14:textId="77777777" w:rsidTr="003B55C6">
        <w:trPr>
          <w:jc w:val="center"/>
        </w:trPr>
        <w:tc>
          <w:tcPr>
            <w:tcW w:w="4519" w:type="dxa"/>
          </w:tcPr>
          <w:p w14:paraId="54F31DB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A51E5BB" wp14:editId="72E70395">
                  <wp:extent cx="2857500" cy="2857500"/>
                  <wp:effectExtent l="0" t="0" r="0" b="0"/>
                  <wp:docPr id="213361736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50"/>
                          <a:srcRect/>
                          <a:stretch>
                            <a:fillRect/>
                          </a:stretch>
                        </pic:blipFill>
                        <pic:spPr>
                          <a:xfrm rot="5400000">
                            <a:off x="0" y="0"/>
                            <a:ext cx="2857500" cy="2857500"/>
                          </a:xfrm>
                          <a:prstGeom prst="rect">
                            <a:avLst/>
                          </a:prstGeom>
                          <a:ln/>
                        </pic:spPr>
                      </pic:pic>
                    </a:graphicData>
                  </a:graphic>
                </wp:inline>
              </w:drawing>
            </w:r>
          </w:p>
        </w:tc>
        <w:tc>
          <w:tcPr>
            <w:tcW w:w="4519" w:type="dxa"/>
          </w:tcPr>
          <w:p w14:paraId="0DC90E8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381645D" wp14:editId="35F419BB">
                  <wp:extent cx="2857500" cy="2857500"/>
                  <wp:effectExtent l="0" t="0" r="0" b="0"/>
                  <wp:docPr id="2133617386"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51"/>
                          <a:srcRect/>
                          <a:stretch>
                            <a:fillRect/>
                          </a:stretch>
                        </pic:blipFill>
                        <pic:spPr>
                          <a:xfrm rot="5400000">
                            <a:off x="0" y="0"/>
                            <a:ext cx="2857500" cy="2857500"/>
                          </a:xfrm>
                          <a:prstGeom prst="rect">
                            <a:avLst/>
                          </a:prstGeom>
                          <a:ln/>
                        </pic:spPr>
                      </pic:pic>
                    </a:graphicData>
                  </a:graphic>
                </wp:inline>
              </w:drawing>
            </w:r>
          </w:p>
        </w:tc>
      </w:tr>
      <w:tr w:rsidR="001F600C" w:rsidRPr="00285D58" w14:paraId="54A14E82" w14:textId="77777777" w:rsidTr="003B55C6">
        <w:trPr>
          <w:jc w:val="center"/>
        </w:trPr>
        <w:tc>
          <w:tcPr>
            <w:tcW w:w="4519" w:type="dxa"/>
          </w:tcPr>
          <w:p w14:paraId="7FADF47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Ejemplo de torre de línea</w:t>
            </w:r>
          </w:p>
        </w:tc>
        <w:tc>
          <w:tcPr>
            <w:tcW w:w="4519" w:type="dxa"/>
          </w:tcPr>
          <w:p w14:paraId="4F88F8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Cimentación de torre</w:t>
            </w:r>
          </w:p>
        </w:tc>
      </w:tr>
    </w:tbl>
    <w:p w14:paraId="0A1531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Antes de la apertura de cada excavación, un experto en mecánica del suelo establece los valores de tensión de trabajo admisible del terreno. </w:t>
      </w:r>
    </w:p>
    <w:p w14:paraId="6A0A6C05" w14:textId="77777777" w:rsidR="001F600C" w:rsidRPr="00285D58" w:rsidRDefault="001F600C" w:rsidP="008D1FFF">
      <w:pPr>
        <w:spacing w:line="276" w:lineRule="auto"/>
        <w:ind w:firstLine="566"/>
        <w:jc w:val="both"/>
        <w:rPr>
          <w:rFonts w:asciiTheme="minorHAnsi" w:eastAsia="Calibri" w:hAnsiTheme="minorHAnsi" w:cstheme="minorHAnsi"/>
        </w:rPr>
      </w:pPr>
    </w:p>
    <w:p w14:paraId="2CDEE7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Estos valores de tensión admisible del terreno, junto con las dimensiones geométricas de los componentes del teleférico, permiten determinar las dimensiones de los soportes de hormigón según las Instrucciones de hormigón armado vigentes.</w:t>
      </w:r>
    </w:p>
    <w:p w14:paraId="7E64F0D1" w14:textId="77777777" w:rsidR="001F600C" w:rsidRPr="00285D58" w:rsidRDefault="001F600C" w:rsidP="008D1FFF">
      <w:pPr>
        <w:spacing w:line="276" w:lineRule="auto"/>
        <w:ind w:firstLine="566"/>
        <w:jc w:val="both"/>
        <w:rPr>
          <w:rFonts w:asciiTheme="minorHAnsi" w:eastAsia="Calibri" w:hAnsiTheme="minorHAnsi" w:cstheme="minorHAnsi"/>
        </w:rPr>
      </w:pPr>
    </w:p>
    <w:p w14:paraId="01778CC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Una vez la excavación realizada, una nueva visita de un experto en mecánica del suelo confirma los datos de la visita previa. </w:t>
      </w:r>
      <w:sdt>
        <w:sdtPr>
          <w:rPr>
            <w:rFonts w:asciiTheme="minorHAnsi" w:hAnsiTheme="minorHAnsi" w:cstheme="minorHAnsi"/>
          </w:rPr>
          <w:tag w:val="goog_rdk_102"/>
          <w:id w:val="-1709023644"/>
        </w:sdtPr>
        <w:sdtContent/>
      </w:sdt>
      <w:sdt>
        <w:sdtPr>
          <w:rPr>
            <w:rFonts w:asciiTheme="minorHAnsi" w:hAnsiTheme="minorHAnsi" w:cstheme="minorHAnsi"/>
          </w:rPr>
          <w:tag w:val="goog_rdk_103"/>
          <w:id w:val="-2065712773"/>
        </w:sdtPr>
        <w:sdtContent/>
      </w:sdt>
      <w:r w:rsidRPr="00285D58">
        <w:rPr>
          <w:rFonts w:asciiTheme="minorHAnsi" w:eastAsia="Calibri" w:hAnsiTheme="minorHAnsi" w:cstheme="minorHAnsi"/>
        </w:rPr>
        <w:t>Si es necesario, se proceden a los ensayos complementarios que el experto considere necesarios.</w:t>
      </w:r>
    </w:p>
    <w:p w14:paraId="62602B5E" w14:textId="77777777" w:rsidR="001F600C" w:rsidRPr="00285D58" w:rsidRDefault="001F600C" w:rsidP="008D1FFF">
      <w:pPr>
        <w:spacing w:line="276" w:lineRule="auto"/>
        <w:ind w:firstLine="566"/>
        <w:jc w:val="both"/>
        <w:rPr>
          <w:rFonts w:asciiTheme="minorHAnsi" w:eastAsia="Calibri" w:hAnsiTheme="minorHAnsi" w:cstheme="minorHAnsi"/>
        </w:rPr>
      </w:pPr>
    </w:p>
    <w:p w14:paraId="1E6CB222" w14:textId="7E76CCC9"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proceso constructivo sigue con la realización de una capa de hormigón de </w:t>
      </w:r>
      <w:sdt>
        <w:sdtPr>
          <w:rPr>
            <w:rFonts w:asciiTheme="minorHAnsi" w:hAnsiTheme="minorHAnsi" w:cstheme="minorHAnsi"/>
          </w:rPr>
          <w:tag w:val="goog_rdk_104"/>
          <w:id w:val="-1530951610"/>
        </w:sdtPr>
        <w:sdtContent/>
      </w:sdt>
      <w:sdt>
        <w:sdtPr>
          <w:rPr>
            <w:rFonts w:asciiTheme="minorHAnsi" w:hAnsiTheme="minorHAnsi" w:cstheme="minorHAnsi"/>
          </w:rPr>
          <w:tag w:val="goog_rdk_105"/>
          <w:id w:val="1138536170"/>
        </w:sdtPr>
        <w:sdtContent/>
      </w:sdt>
      <w:r w:rsidRPr="00285D58">
        <w:rPr>
          <w:rFonts w:asciiTheme="minorHAnsi" w:eastAsia="Calibri" w:hAnsiTheme="minorHAnsi" w:cstheme="minorHAnsi"/>
        </w:rPr>
        <w:t xml:space="preserve">limpieza </w:t>
      </w:r>
      <w:r w:rsidR="00E24286" w:rsidRPr="00285D58">
        <w:rPr>
          <w:rFonts w:asciiTheme="minorHAnsi" w:eastAsia="Calibri" w:hAnsiTheme="minorHAnsi" w:cstheme="minorHAnsi"/>
        </w:rPr>
        <w:t xml:space="preserve">(solado) </w:t>
      </w:r>
      <w:r w:rsidRPr="00285D58">
        <w:rPr>
          <w:rFonts w:asciiTheme="minorHAnsi" w:eastAsia="Calibri" w:hAnsiTheme="minorHAnsi" w:cstheme="minorHAnsi"/>
        </w:rPr>
        <w:t xml:space="preserve">de </w:t>
      </w:r>
      <w:sdt>
        <w:sdtPr>
          <w:rPr>
            <w:rFonts w:asciiTheme="minorHAnsi" w:hAnsiTheme="minorHAnsi" w:cstheme="minorHAnsi"/>
          </w:rPr>
          <w:tag w:val="goog_rdk_106"/>
          <w:id w:val="-349953960"/>
        </w:sdtPr>
        <w:sdtContent/>
      </w:sdt>
      <w:sdt>
        <w:sdtPr>
          <w:rPr>
            <w:rFonts w:asciiTheme="minorHAnsi" w:hAnsiTheme="minorHAnsi" w:cstheme="minorHAnsi"/>
          </w:rPr>
          <w:tag w:val="goog_rdk_107"/>
          <w:id w:val="200909257"/>
        </w:sdtPr>
        <w:sdtContent/>
      </w:sdt>
      <w:r w:rsidRPr="00285D58">
        <w:rPr>
          <w:rFonts w:asciiTheme="minorHAnsi" w:eastAsia="Calibri" w:hAnsiTheme="minorHAnsi" w:cstheme="minorHAnsi"/>
        </w:rPr>
        <w:t>resistencia característica 15 N/mm2.</w:t>
      </w:r>
    </w:p>
    <w:p w14:paraId="4AFA8064" w14:textId="77777777" w:rsidR="001F600C" w:rsidRPr="00285D58" w:rsidRDefault="001F600C" w:rsidP="008D1FFF">
      <w:pPr>
        <w:spacing w:line="276" w:lineRule="auto"/>
        <w:ind w:firstLine="566"/>
        <w:jc w:val="both"/>
        <w:rPr>
          <w:rFonts w:asciiTheme="minorHAnsi" w:eastAsia="Calibri" w:hAnsiTheme="minorHAnsi" w:cstheme="minorHAnsi"/>
        </w:rPr>
      </w:pPr>
    </w:p>
    <w:p w14:paraId="071C65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coloca la armadura, constituida por barras corrugadas de alta adherencia y de límite elástico fy no menor a 400 N/mm2.</w:t>
      </w:r>
    </w:p>
    <w:p w14:paraId="676CE6E9" w14:textId="77777777" w:rsidR="001F600C" w:rsidRPr="00285D58" w:rsidRDefault="001F600C" w:rsidP="008D1FFF">
      <w:pPr>
        <w:spacing w:line="276" w:lineRule="auto"/>
        <w:ind w:firstLine="566"/>
        <w:jc w:val="both"/>
        <w:rPr>
          <w:rFonts w:asciiTheme="minorHAnsi" w:eastAsia="Calibri" w:hAnsiTheme="minorHAnsi" w:cstheme="minorHAnsi"/>
        </w:rPr>
      </w:pPr>
    </w:p>
    <w:p w14:paraId="57E355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siguen las normas técnicas y las reglas de buena práctica tanto en la colocación de las armaduras y los encofrados, como en la disposición de separadores para asegurar el cumplimiento del espesor de recubrimiento.</w:t>
      </w:r>
    </w:p>
    <w:p w14:paraId="474D6BCE" w14:textId="77777777" w:rsidR="001F600C" w:rsidRPr="00285D58" w:rsidRDefault="001F600C" w:rsidP="008D1FFF">
      <w:pPr>
        <w:spacing w:line="276" w:lineRule="auto"/>
        <w:ind w:firstLine="566"/>
        <w:jc w:val="both"/>
        <w:rPr>
          <w:rFonts w:asciiTheme="minorHAnsi" w:eastAsia="Calibri" w:hAnsiTheme="minorHAnsi" w:cstheme="minorHAnsi"/>
        </w:rPr>
      </w:pPr>
    </w:p>
    <w:p w14:paraId="002D94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hormigón estructural es de consistencia plástica y de resistencia característica no menor a 30 N/mm2.</w:t>
      </w:r>
    </w:p>
    <w:p w14:paraId="5A1F04A0" w14:textId="77777777" w:rsidR="003B55C6" w:rsidRPr="00285D58" w:rsidRDefault="003B55C6" w:rsidP="008D1FFF">
      <w:pPr>
        <w:spacing w:line="276" w:lineRule="auto"/>
        <w:jc w:val="both"/>
        <w:rPr>
          <w:rFonts w:asciiTheme="minorHAnsi" w:eastAsia="Calibri" w:hAnsiTheme="minorHAnsi" w:cstheme="minorHAnsi"/>
        </w:rPr>
      </w:pPr>
    </w:p>
    <w:p w14:paraId="007A81F6" w14:textId="4B4967C6"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certifica la calidad de los materiales</w:t>
      </w:r>
      <w:sdt>
        <w:sdtPr>
          <w:rPr>
            <w:rFonts w:asciiTheme="minorHAnsi" w:hAnsiTheme="minorHAnsi" w:cstheme="minorHAnsi"/>
          </w:rPr>
          <w:tag w:val="goog_rdk_110"/>
          <w:id w:val="27224576"/>
        </w:sdtPr>
        <w:sdtContent>
          <w:r w:rsidRPr="00285D58">
            <w:rPr>
              <w:rFonts w:asciiTheme="minorHAnsi" w:eastAsia="Calibri" w:hAnsiTheme="minorHAnsi" w:cstheme="minorHAnsi"/>
            </w:rPr>
            <w:t>, mediante los ensayos correspondientes,</w:t>
          </w:r>
        </w:sdtContent>
      </w:sdt>
      <w:r w:rsidRPr="00285D58">
        <w:rPr>
          <w:rFonts w:asciiTheme="minorHAnsi" w:eastAsia="Calibri" w:hAnsiTheme="minorHAnsi" w:cstheme="minorHAnsi"/>
        </w:rPr>
        <w:t xml:space="preserve"> y se establece un plan de control de calidad detallado del hormigón.</w:t>
      </w:r>
    </w:p>
    <w:p w14:paraId="76D85EB4" w14:textId="77777777" w:rsidR="001F600C" w:rsidRPr="00285D58" w:rsidRDefault="001F600C" w:rsidP="008D1FFF">
      <w:pPr>
        <w:spacing w:line="276" w:lineRule="auto"/>
        <w:ind w:firstLine="566"/>
        <w:jc w:val="both"/>
        <w:rPr>
          <w:rFonts w:asciiTheme="minorHAnsi" w:eastAsia="Calibri" w:hAnsiTheme="minorHAnsi" w:cstheme="minorHAnsi"/>
        </w:rPr>
      </w:pPr>
    </w:p>
    <w:p w14:paraId="65B623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llevar a cabo la obra civil, se usarán:</w:t>
      </w:r>
    </w:p>
    <w:p w14:paraId="1773C118" w14:textId="77777777" w:rsidR="001F600C" w:rsidRPr="00285D58" w:rsidRDefault="001F600C" w:rsidP="008D1FFF">
      <w:pPr>
        <w:spacing w:line="276" w:lineRule="auto"/>
        <w:jc w:val="both"/>
        <w:rPr>
          <w:rFonts w:asciiTheme="minorHAnsi" w:eastAsia="Calibri" w:hAnsiTheme="minorHAnsi" w:cstheme="minorHAnsi"/>
        </w:rPr>
      </w:pPr>
    </w:p>
    <w:p w14:paraId="4EC383F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Maizal: se utilizará la nueva carretera de acceso hasta la estación</w:t>
      </w:r>
    </w:p>
    <w:p w14:paraId="3DA9A6AB"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Abra San Juan: para la construcción de las obras civiles, se podrán prever o bien el uso de helicóptero, o bien la construcción temporal de un teleférico de materiales</w:t>
      </w:r>
    </w:p>
    <w:p w14:paraId="306BBA1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Choquequirao cumbre: para la construcción de las obras civiles, se podrán prever o bien el uso de helicóptero, o bien la construcción temporal de un teleférico de materiales</w:t>
      </w:r>
    </w:p>
    <w:p w14:paraId="2FCF31F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Kiuñalla: se utilizará la nueva carretera de acceso hasta la estación</w:t>
      </w:r>
    </w:p>
    <w:p w14:paraId="3ABCA540"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Unión: para la construcción de las obras civiles, se podrán prever el uso de helicóptero, o bien la construcción temporal de un teleférico de materiales.</w:t>
      </w:r>
    </w:p>
    <w:p w14:paraId="721C5DE4" w14:textId="77777777" w:rsidR="001F600C" w:rsidRPr="00285D58" w:rsidRDefault="001F600C" w:rsidP="008D1FFF">
      <w:pPr>
        <w:spacing w:line="276" w:lineRule="auto"/>
        <w:jc w:val="both"/>
        <w:rPr>
          <w:rFonts w:asciiTheme="minorHAnsi" w:eastAsia="Calibri" w:hAnsiTheme="minorHAnsi" w:cstheme="minorHAnsi"/>
        </w:rPr>
      </w:pPr>
    </w:p>
    <w:p w14:paraId="454AE5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Sea cual sea la metodología constructiva utilizada, se deberán instalar sendas centrales provisionales de producción de concreto en las inmediaciones de las estaciones de salida (San Ignacio y Maizal), así como dedicar las áreas necesarias para el almacenaje de los materiales básicos (áridos, cemento y agua).</w:t>
      </w:r>
    </w:p>
    <w:p w14:paraId="654A6234" w14:textId="77777777" w:rsidR="001F600C" w:rsidRPr="00285D58" w:rsidRDefault="001F600C" w:rsidP="008D1FFF">
      <w:pPr>
        <w:spacing w:line="276" w:lineRule="auto"/>
        <w:ind w:firstLine="566"/>
        <w:jc w:val="both"/>
        <w:rPr>
          <w:rFonts w:asciiTheme="minorHAnsi" w:eastAsia="Calibri" w:hAnsiTheme="minorHAnsi" w:cstheme="minorHAnsi"/>
        </w:rPr>
      </w:pPr>
    </w:p>
    <w:p w14:paraId="71A652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apertura de los pozos de cimentación se realizará con una excavadora previamente heliportada. Posteriormente, el hormigonado de las estructuras se realizará con un cubilote helitransportado que verterá el hormigón sobre las armaduras encofradas, o bien gracias al teleférico de materiales.</w:t>
      </w:r>
    </w:p>
    <w:p w14:paraId="14B55B99" w14:textId="77777777" w:rsidR="001F600C" w:rsidRPr="00285D58" w:rsidRDefault="001F600C" w:rsidP="008D1FFF">
      <w:pPr>
        <w:spacing w:line="276" w:lineRule="auto"/>
        <w:ind w:firstLine="567"/>
        <w:jc w:val="center"/>
        <w:rPr>
          <w:rFonts w:asciiTheme="minorHAnsi" w:eastAsia="Calibri" w:hAnsiTheme="minorHAnsi" w:cstheme="minorHAnsi"/>
        </w:rPr>
      </w:pPr>
    </w:p>
    <w:p w14:paraId="0C87A60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08BDB85" wp14:editId="40716D2F">
            <wp:extent cx="3715991" cy="2828362"/>
            <wp:effectExtent l="0" t="0" r="0" b="0"/>
            <wp:docPr id="2133617387" name="image24.jpg" descr="Cubilote"/>
            <wp:cNvGraphicFramePr/>
            <a:graphic xmlns:a="http://schemas.openxmlformats.org/drawingml/2006/main">
              <a:graphicData uri="http://schemas.openxmlformats.org/drawingml/2006/picture">
                <pic:pic xmlns:pic="http://schemas.openxmlformats.org/drawingml/2006/picture">
                  <pic:nvPicPr>
                    <pic:cNvPr id="0" name="image24.jpg" descr="Cubilote"/>
                    <pic:cNvPicPr preferRelativeResize="0"/>
                  </pic:nvPicPr>
                  <pic:blipFill>
                    <a:blip r:embed="rId52"/>
                    <a:srcRect/>
                    <a:stretch>
                      <a:fillRect/>
                    </a:stretch>
                  </pic:blipFill>
                  <pic:spPr>
                    <a:xfrm>
                      <a:off x="0" y="0"/>
                      <a:ext cx="3715991" cy="2828362"/>
                    </a:xfrm>
                    <a:prstGeom prst="rect">
                      <a:avLst/>
                    </a:prstGeom>
                    <a:ln/>
                  </pic:spPr>
                </pic:pic>
              </a:graphicData>
            </a:graphic>
          </wp:inline>
        </w:drawing>
      </w:r>
    </w:p>
    <w:p w14:paraId="4AF8D27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Transporte y vertido de hormigón por helicóptero</w:t>
      </w:r>
    </w:p>
    <w:p w14:paraId="46AE6E4D" w14:textId="77777777" w:rsidR="001F600C" w:rsidRPr="00285D58" w:rsidRDefault="001F600C" w:rsidP="008D1FFF">
      <w:pPr>
        <w:spacing w:line="276" w:lineRule="auto"/>
        <w:ind w:firstLine="567"/>
        <w:jc w:val="center"/>
        <w:rPr>
          <w:rFonts w:asciiTheme="minorHAnsi" w:eastAsia="Calibri" w:hAnsiTheme="minorHAnsi" w:cstheme="minorHAnsi"/>
        </w:rPr>
      </w:pPr>
    </w:p>
    <w:p w14:paraId="2CCA68B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A768541" wp14:editId="0FE2FF02">
            <wp:extent cx="3653282" cy="4981125"/>
            <wp:effectExtent l="0" t="0" r="0" b="0"/>
            <wp:docPr id="213361738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3"/>
                    <a:srcRect/>
                    <a:stretch>
                      <a:fillRect/>
                    </a:stretch>
                  </pic:blipFill>
                  <pic:spPr>
                    <a:xfrm>
                      <a:off x="0" y="0"/>
                      <a:ext cx="3653282" cy="4981125"/>
                    </a:xfrm>
                    <a:prstGeom prst="rect">
                      <a:avLst/>
                    </a:prstGeom>
                    <a:ln/>
                  </pic:spPr>
                </pic:pic>
              </a:graphicData>
            </a:graphic>
          </wp:inline>
        </w:drawing>
      </w:r>
    </w:p>
    <w:p w14:paraId="2FEFF16E" w14:textId="12BFA59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Transporte de máquina excavadora mediante teleférico de materiales. Fuente: www.seik.it</w:t>
      </w:r>
      <w:r w:rsidR="003B55C6" w:rsidRPr="00285D58">
        <w:rPr>
          <w:rFonts w:asciiTheme="minorHAnsi" w:eastAsia="Calibri" w:hAnsiTheme="minorHAnsi" w:cstheme="minorHAnsi"/>
        </w:rPr>
        <w:t>.</w:t>
      </w:r>
    </w:p>
    <w:p w14:paraId="230DD504" w14:textId="77777777" w:rsidR="001F600C" w:rsidRPr="00285D58" w:rsidRDefault="001F600C" w:rsidP="008D1FFF">
      <w:pPr>
        <w:spacing w:line="276" w:lineRule="auto"/>
        <w:ind w:firstLine="567"/>
        <w:jc w:val="both"/>
        <w:rPr>
          <w:rFonts w:asciiTheme="minorHAnsi" w:eastAsia="Calibri" w:hAnsiTheme="minorHAnsi" w:cstheme="minorHAnsi"/>
        </w:rPr>
      </w:pPr>
    </w:p>
    <w:p w14:paraId="64B1BBF0"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Montaje de Estaciones</w:t>
      </w:r>
    </w:p>
    <w:p w14:paraId="1183DC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montaje de las estaciones de salida (Maizal y San Ignacio) se realizará mediante la ayuda de una grúa de gran tonelaje. </w:t>
      </w:r>
    </w:p>
    <w:p w14:paraId="0AC02C4C" w14:textId="77777777" w:rsidR="001F600C" w:rsidRPr="00285D58" w:rsidRDefault="001F600C" w:rsidP="008D1FFF">
      <w:pPr>
        <w:spacing w:line="276" w:lineRule="auto"/>
        <w:ind w:firstLine="566"/>
        <w:jc w:val="both"/>
        <w:rPr>
          <w:rFonts w:asciiTheme="minorHAnsi" w:eastAsia="Calibri" w:hAnsiTheme="minorHAnsi" w:cstheme="minorHAnsi"/>
        </w:rPr>
      </w:pPr>
    </w:p>
    <w:p w14:paraId="097027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las dos estaciones de llegada (Choquequirao cumbre y Choquequirao Unión), debido a su inaccesibilidad, se montarán con la ayuda un helicóptero y/o un teleférico de materiales que transportará las piezas al lugar de ensamblaje. El peso máximo de las piezas que componen las distintas estructuras estará limitado al método de transporte empleado.</w:t>
      </w:r>
    </w:p>
    <w:p w14:paraId="2E9B6202" w14:textId="77777777" w:rsidR="001F600C" w:rsidRPr="00285D58" w:rsidRDefault="001F600C" w:rsidP="008D1FFF">
      <w:pPr>
        <w:spacing w:line="276" w:lineRule="auto"/>
        <w:ind w:firstLine="566"/>
        <w:jc w:val="both"/>
        <w:rPr>
          <w:rFonts w:asciiTheme="minorHAnsi" w:eastAsia="Calibri" w:hAnsiTheme="minorHAnsi" w:cstheme="minorHAnsi"/>
        </w:rPr>
      </w:pPr>
    </w:p>
    <w:p w14:paraId="1A0BA1D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Estructuras metálicas, torres</w:t>
      </w:r>
    </w:p>
    <w:p w14:paraId="4B4CC1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torres de apoyo y las obras metálicas de les estaciones se solidarizan con las cimentaciones a través de uniones atornilladas.</w:t>
      </w:r>
    </w:p>
    <w:p w14:paraId="4223D3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Toda la construcción metálica deberá montarse según los procedimientos de calidad del fabricante y se aportarán los certificados y las fichas de montaje que justifican la calidad de los trabajos de montaje.</w:t>
      </w:r>
    </w:p>
    <w:p w14:paraId="736DEEC9" w14:textId="77777777" w:rsidR="001F600C" w:rsidRPr="00285D58" w:rsidRDefault="001F600C" w:rsidP="008D1FFF">
      <w:pPr>
        <w:spacing w:line="276" w:lineRule="auto"/>
        <w:ind w:firstLine="566"/>
        <w:jc w:val="both"/>
        <w:rPr>
          <w:rFonts w:asciiTheme="minorHAnsi" w:eastAsia="Calibri" w:hAnsiTheme="minorHAnsi" w:cstheme="minorHAnsi"/>
        </w:rPr>
      </w:pPr>
    </w:p>
    <w:p w14:paraId="5B6E8F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montaje de las torres se realizará gracias a la ayuda de un helicóptero o bien, utilizando un teleférico de materiales. El peso de cada pieza estará limitado a la carga máxima que podrá ser cargado por el método de transporte utilizado. </w:t>
      </w:r>
    </w:p>
    <w:p w14:paraId="3B87E71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25DB4E3" wp14:editId="2FF1350B">
            <wp:extent cx="3803650" cy="2757805"/>
            <wp:effectExtent l="0" t="0" r="0" b="0"/>
            <wp:docPr id="2" name="image33.jpg" descr="blondin"/>
            <wp:cNvGraphicFramePr/>
            <a:graphic xmlns:a="http://schemas.openxmlformats.org/drawingml/2006/main">
              <a:graphicData uri="http://schemas.openxmlformats.org/drawingml/2006/picture">
                <pic:pic xmlns:pic="http://schemas.openxmlformats.org/drawingml/2006/picture">
                  <pic:nvPicPr>
                    <pic:cNvPr id="0" name="image33.jpg" descr="blondin"/>
                    <pic:cNvPicPr preferRelativeResize="0"/>
                  </pic:nvPicPr>
                  <pic:blipFill>
                    <a:blip r:embed="rId54"/>
                    <a:srcRect/>
                    <a:stretch>
                      <a:fillRect/>
                    </a:stretch>
                  </pic:blipFill>
                  <pic:spPr>
                    <a:xfrm>
                      <a:off x="0" y="0"/>
                      <a:ext cx="3803650" cy="2757805"/>
                    </a:xfrm>
                    <a:prstGeom prst="rect">
                      <a:avLst/>
                    </a:prstGeom>
                    <a:ln/>
                  </pic:spPr>
                </pic:pic>
              </a:graphicData>
            </a:graphic>
          </wp:inline>
        </w:drawing>
      </w:r>
    </w:p>
    <w:p w14:paraId="67B8C5D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Montaje de un blondín (con la ayuda de un helicóptero), que posteriormente se utilizó para el montaje de la línea de un telesilla.</w:t>
      </w:r>
    </w:p>
    <w:p w14:paraId="6E26F88E" w14:textId="77777777" w:rsidR="001F600C" w:rsidRPr="00285D58" w:rsidRDefault="001F600C" w:rsidP="008D1FFF">
      <w:pPr>
        <w:spacing w:line="276" w:lineRule="auto"/>
        <w:ind w:firstLine="567"/>
        <w:jc w:val="both"/>
        <w:rPr>
          <w:rFonts w:asciiTheme="minorHAnsi" w:eastAsia="Calibri" w:hAnsiTheme="minorHAnsi" w:cstheme="minorHAnsi"/>
        </w:rPr>
      </w:pPr>
    </w:p>
    <w:p w14:paraId="681A5CCA"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Cables</w:t>
      </w:r>
    </w:p>
    <w:p w14:paraId="56669F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las estaciones y torres están ensambladas, se debe proceder al tendido de los cables. Para cada cable (2 portadores y 1 tractor) se procede de la siguiente manera: En primer lugar, se tiende un cable a lo largo de la línea de pequeño diámetro fabricado en kevlar con la ayuda de un helicóptero. Posteriormente se une a su extremo inferior un cable de un diámetro superior al anterior y se tira de él hasta posicionarlo a lo largo de la línea. Se repite esta operación sucesivamente con cables cada vez de mayor diámetro hasta poder tender el cable de diámetro requerido. Una vez que el cable tractor está sobre sus apoyos, se realiza el empalme del mismo.</w:t>
      </w:r>
    </w:p>
    <w:p w14:paraId="39FA38B8" w14:textId="77777777" w:rsidR="001F600C" w:rsidRPr="00285D58" w:rsidRDefault="001F600C" w:rsidP="008D1FFF">
      <w:pPr>
        <w:spacing w:line="276" w:lineRule="auto"/>
        <w:ind w:firstLine="566"/>
        <w:jc w:val="both"/>
        <w:rPr>
          <w:rFonts w:asciiTheme="minorHAnsi" w:eastAsia="Calibri" w:hAnsiTheme="minorHAnsi" w:cstheme="minorHAnsi"/>
        </w:rPr>
      </w:pPr>
    </w:p>
    <w:p w14:paraId="4F5ECC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empalme se realiza manualmente con ayuda de herramientas específicas. Se trata de abrir el cable (que ha sido confeccionado con máquinas de precisión), extraer una longitud determinada de cordón en cada ramal a empalmar e insertar la misma longitud los cordones correspondientes del otro ramal de cable, para reconstituir un cable del mismo diámetro y resistencia que el original.</w:t>
      </w:r>
    </w:p>
    <w:p w14:paraId="02D1720F" w14:textId="77777777" w:rsidR="001F600C" w:rsidRPr="00285D58" w:rsidRDefault="001F600C" w:rsidP="008D1FFF">
      <w:pPr>
        <w:spacing w:line="276" w:lineRule="auto"/>
        <w:jc w:val="both"/>
        <w:rPr>
          <w:rFonts w:asciiTheme="minorHAnsi" w:eastAsia="Calibri" w:hAnsiTheme="minorHAnsi" w:cstheme="minorHAnsi"/>
        </w:rPr>
      </w:pPr>
    </w:p>
    <w:p w14:paraId="38115E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38CB2E6" wp14:editId="57B7FB78">
            <wp:extent cx="5400040" cy="2612212"/>
            <wp:effectExtent l="0" t="0" r="0" b="0"/>
            <wp:docPr id="1"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55"/>
                    <a:srcRect/>
                    <a:stretch>
                      <a:fillRect/>
                    </a:stretch>
                  </pic:blipFill>
                  <pic:spPr>
                    <a:xfrm>
                      <a:off x="0" y="0"/>
                      <a:ext cx="5400040" cy="2612212"/>
                    </a:xfrm>
                    <a:prstGeom prst="rect">
                      <a:avLst/>
                    </a:prstGeom>
                    <a:ln/>
                  </pic:spPr>
                </pic:pic>
              </a:graphicData>
            </a:graphic>
          </wp:inline>
        </w:drawing>
      </w:r>
    </w:p>
    <w:p w14:paraId="0D54BFB5"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Montaje de “puente” suspendido provisional par a la maniobra de empalme de un cable tractor de teleférico. Fuente: www.fatzer.com</w:t>
      </w:r>
    </w:p>
    <w:p w14:paraId="074B3137" w14:textId="77777777" w:rsidR="001F600C" w:rsidRPr="00285D58" w:rsidRDefault="001F600C" w:rsidP="008D1FFF">
      <w:pPr>
        <w:spacing w:line="276" w:lineRule="auto"/>
        <w:jc w:val="both"/>
        <w:rPr>
          <w:rFonts w:asciiTheme="minorHAnsi" w:eastAsia="Calibri" w:hAnsiTheme="minorHAnsi" w:cstheme="minorHAnsi"/>
        </w:rPr>
      </w:pPr>
    </w:p>
    <w:p w14:paraId="6AABAFC5" w14:textId="77777777" w:rsidR="001F600C" w:rsidRPr="00285D58" w:rsidRDefault="001F600C" w:rsidP="008D1FFF">
      <w:pPr>
        <w:spacing w:line="276" w:lineRule="auto"/>
        <w:jc w:val="both"/>
        <w:rPr>
          <w:rFonts w:asciiTheme="minorHAnsi" w:eastAsia="Calibri" w:hAnsiTheme="minorHAnsi" w:cstheme="minorHAnsi"/>
        </w:rPr>
      </w:pPr>
    </w:p>
    <w:p w14:paraId="5782F9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empalmado el cable tractor e instalados los cables portadores es posible colgar los vehículos.</w:t>
      </w:r>
    </w:p>
    <w:p w14:paraId="56AB652B"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Cableado eléctrico</w:t>
      </w:r>
    </w:p>
    <w:p w14:paraId="0854F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Electricistas especializados son los encargados de realizar el cableado del motor eléctrico, así como de todas las seguridades inherentes a la instalación.</w:t>
      </w:r>
    </w:p>
    <w:p w14:paraId="3E26FAE5" w14:textId="77777777" w:rsidR="001F600C" w:rsidRPr="00285D58" w:rsidRDefault="001F600C" w:rsidP="008D1FFF">
      <w:pPr>
        <w:spacing w:line="276" w:lineRule="auto"/>
        <w:ind w:firstLine="566"/>
        <w:jc w:val="both"/>
        <w:rPr>
          <w:rFonts w:asciiTheme="minorHAnsi" w:eastAsia="Calibri" w:hAnsiTheme="minorHAnsi" w:cstheme="minorHAnsi"/>
        </w:rPr>
      </w:pPr>
    </w:p>
    <w:p w14:paraId="7873F9A8"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Reglajes y pruebas de carga</w:t>
      </w:r>
    </w:p>
    <w:p w14:paraId="194C8327" w14:textId="759486A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Antes de la apertura al público de la instalación, se procede a los reglajes de todos los elementos que guían los cables (en estaciones y en línea). Para acabar, la instalación es sometida a una serie de ensayos de funcionamiento, y también a ensayos de carga que permiten validar el buen funcionamiento y comportamiento de los elementos mecánicos y de las seguridades.</w:t>
      </w:r>
    </w:p>
    <w:p w14:paraId="27503381" w14:textId="77777777" w:rsidR="001F600C" w:rsidRPr="00285D58" w:rsidRDefault="001F600C" w:rsidP="008D1FFF">
      <w:pPr>
        <w:widowControl/>
        <w:spacing w:after="160" w:line="276" w:lineRule="auto"/>
        <w:rPr>
          <w:rFonts w:asciiTheme="minorHAnsi" w:eastAsia="Calibri" w:hAnsiTheme="minorHAnsi" w:cstheme="minorHAnsi"/>
        </w:rPr>
      </w:pPr>
      <w:r w:rsidRPr="00285D58">
        <w:rPr>
          <w:rFonts w:asciiTheme="minorHAnsi" w:eastAsia="Calibri" w:hAnsiTheme="minorHAnsi" w:cstheme="minorHAnsi"/>
        </w:rPr>
        <w:br w:type="page"/>
      </w:r>
    </w:p>
    <w:p w14:paraId="4AD4A884"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2: PARA LAS VÍAS</w:t>
      </w:r>
    </w:p>
    <w:p w14:paraId="39E21147" w14:textId="77777777" w:rsidR="00A24E4B" w:rsidRPr="00285D58" w:rsidRDefault="00A24E4B" w:rsidP="008D1FFF">
      <w:pPr>
        <w:spacing w:line="276" w:lineRule="auto"/>
        <w:rPr>
          <w:rFonts w:asciiTheme="minorHAnsi" w:hAnsiTheme="minorHAnsi" w:cstheme="minorHAnsi"/>
          <w:b/>
          <w:bCs/>
        </w:rPr>
      </w:pPr>
    </w:p>
    <w:p w14:paraId="5B51A2D3"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81" w:name="_Toc180162476"/>
      <w:bookmarkStart w:id="82" w:name="_Toc180162538"/>
      <w:bookmarkStart w:id="83" w:name="_Toc180162650"/>
      <w:bookmarkStart w:id="84" w:name="_Toc182581470"/>
      <w:bookmarkStart w:id="85" w:name="_Toc182582253"/>
      <w:bookmarkStart w:id="86" w:name="_Toc188634220"/>
      <w:bookmarkStart w:id="87" w:name="_Toc188634599"/>
      <w:bookmarkStart w:id="88" w:name="_Toc188634656"/>
      <w:bookmarkStart w:id="89" w:name="_Toc188634714"/>
      <w:bookmarkStart w:id="90" w:name="_Toc188634770"/>
      <w:bookmarkStart w:id="91" w:name="_Toc188984861"/>
      <w:bookmarkStart w:id="92" w:name="_Toc188986642"/>
      <w:bookmarkStart w:id="93" w:name="_Toc188987049"/>
      <w:bookmarkStart w:id="94" w:name="_Toc188987152"/>
      <w:bookmarkStart w:id="95" w:name="_Toc190193972"/>
      <w:bookmarkStart w:id="96" w:name="_Toc190194019"/>
      <w:bookmarkStart w:id="97" w:name="_Toc193979275"/>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5E04E71"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NORMATIVA TÉCNICA APLICABLE</w:t>
      </w:r>
    </w:p>
    <w:p w14:paraId="692E44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se emplearon las siguientes normas nacionales, dispuestas por el Ministerio de Transportes y Comunicaciones (MTC), y normas internacionales de diseño vial:</w:t>
      </w:r>
    </w:p>
    <w:p w14:paraId="2F0401B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Diseño Geométrico DG-2018, aprobado por R.D. N° 03-2018-MTC/14.</w:t>
      </w:r>
    </w:p>
    <w:p w14:paraId="47C25D1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Sección Suelos y Pavimentos, aprobado por R.D. N° 10-2014-MTC/14.</w:t>
      </w:r>
    </w:p>
    <w:p w14:paraId="067AEBA5"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Hidrología, Hidráulica y Drenaje, aprobado por R.D. N° 20-2011-MTC/14.</w:t>
      </w:r>
    </w:p>
    <w:p w14:paraId="34AEBEB5"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Manual de dispositivos de control del Tránsito automotor para calles y carreteras, aprobado por R.D. N° 16-2016-MTC/14.</w:t>
      </w:r>
    </w:p>
    <w:p w14:paraId="2ED6EE3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Manual de Seguridad vial, aprobado por R.D. N° 05-2017-MTC/14.</w:t>
      </w:r>
    </w:p>
    <w:p w14:paraId="067D59E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 xml:space="preserve">Manual de Carreteras: Mantenimiento o Conservación Vial, aprobado por R.D. N° 08-2014-MTC/14. </w:t>
      </w:r>
    </w:p>
    <w:p w14:paraId="11EE7C9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Manual de Carreteras: Especificaciones Técnicas generales para Construcción EG-2013, aprobado por R.D. N° 22-2013-MTC/14.</w:t>
      </w:r>
    </w:p>
    <w:p w14:paraId="052E4A8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2011 (Green book), American Association of State Highway and Transportation Officials - AASHTO.</w:t>
      </w:r>
    </w:p>
    <w:p w14:paraId="5BEDF42F" w14:textId="77777777" w:rsidR="001F600C" w:rsidRPr="00285D58" w:rsidRDefault="001F600C" w:rsidP="008D1FFF">
      <w:pPr>
        <w:spacing w:line="276" w:lineRule="auto"/>
        <w:ind w:firstLine="567"/>
        <w:jc w:val="both"/>
        <w:rPr>
          <w:rFonts w:asciiTheme="minorHAnsi" w:eastAsia="Calibri" w:hAnsiTheme="minorHAnsi" w:cstheme="minorHAnsi"/>
          <w:lang w:val="en-US"/>
        </w:rPr>
      </w:pPr>
    </w:p>
    <w:p w14:paraId="52BD926E"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283E56B7" w14:textId="40D65816"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en la etapa de Ingeniería Conceptual Reformulada para el mejoramiento de servicios turísticos al MACH, con respecto a las vías turísticas de acceso vehicular, se analizó distintos alineamientos y se seleccionó la alternativa de solución que presente mayor beneficio social y económico, y menor impacto ambiental en la zona de estudio.</w:t>
      </w:r>
    </w:p>
    <w:p w14:paraId="7A9181EB"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Vía Turística E.C. Yanama - E.S. San Juan</w:t>
      </w:r>
    </w:p>
    <w:p w14:paraId="3B32139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planteamiento para el diseño conceptual de la vía turística por la zona Norte (Cusco) comprende como inicio el poblado de Yanama y llegada la zona de Maizal, puntos de referencia definidos por la ubicación final de las estaciones del sistema de transporte por cable al recurso turístico. El alineamiento la vía se muestra en la siguiente figura.</w:t>
      </w:r>
    </w:p>
    <w:p w14:paraId="0B26BEE9"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8494"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8494"/>
      </w:tblGrid>
      <w:tr w:rsidR="001F600C" w:rsidRPr="00285D58" w14:paraId="29103B9E" w14:textId="77777777" w:rsidTr="00242093">
        <w:trPr>
          <w:jc w:val="center"/>
        </w:trPr>
        <w:tc>
          <w:tcPr>
            <w:tcW w:w="8494" w:type="dxa"/>
          </w:tcPr>
          <w:p w14:paraId="68769A74"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4837033C" wp14:editId="0183EA12">
                  <wp:extent cx="3305167" cy="2988835"/>
                  <wp:effectExtent l="0" t="0" r="0" b="0"/>
                  <wp:docPr id="2133617391" name="image34.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4.jpg" descr="Mapa&#10;&#10;Descripción generada automáticamente"/>
                          <pic:cNvPicPr preferRelativeResize="0"/>
                        </pic:nvPicPr>
                        <pic:blipFill>
                          <a:blip r:embed="rId56"/>
                          <a:srcRect/>
                          <a:stretch>
                            <a:fillRect/>
                          </a:stretch>
                        </pic:blipFill>
                        <pic:spPr>
                          <a:xfrm>
                            <a:off x="0" y="0"/>
                            <a:ext cx="3305167" cy="2988835"/>
                          </a:xfrm>
                          <a:prstGeom prst="rect">
                            <a:avLst/>
                          </a:prstGeom>
                          <a:ln/>
                        </pic:spPr>
                      </pic:pic>
                    </a:graphicData>
                  </a:graphic>
                </wp:inline>
              </w:drawing>
            </w:r>
          </w:p>
        </w:tc>
      </w:tr>
    </w:tbl>
    <w:p w14:paraId="6ECBF05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 Alineamiento de la Vía Turística por la zona Norte</w:t>
      </w:r>
    </w:p>
    <w:p w14:paraId="20CF3E0D"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98C3E7B" w14:textId="77777777" w:rsidR="001F600C" w:rsidRPr="00285D58" w:rsidRDefault="001F600C" w:rsidP="008D1FFF">
      <w:pPr>
        <w:spacing w:line="276" w:lineRule="auto"/>
        <w:ind w:firstLine="567"/>
        <w:jc w:val="both"/>
        <w:rPr>
          <w:rFonts w:asciiTheme="minorHAnsi" w:eastAsia="Calibri" w:hAnsiTheme="minorHAnsi" w:cstheme="minorHAnsi"/>
        </w:rPr>
      </w:pPr>
    </w:p>
    <w:p w14:paraId="2445D2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vía iniciaría en la Estación Central (E.C.) Yanama (km 0+000), ubicada a 1.3 km al oeste del poblado de Yanama, prosiguiendo en ascenso de manera continua con un alineamiento en desarrollo hasta el km 8+400, que es el punto más alto de la vía; para iniciar su descenso y concluir en el km 9+645 en la Estación de Salida (E.S.) San Juan. La longitud del tramo vial es de 9.6 km.</w:t>
      </w:r>
    </w:p>
    <w:p w14:paraId="25AED53E" w14:textId="77777777" w:rsidR="001F600C" w:rsidRPr="00285D58" w:rsidRDefault="001F600C" w:rsidP="008D1FFF">
      <w:pPr>
        <w:spacing w:line="276" w:lineRule="auto"/>
        <w:ind w:firstLine="567"/>
        <w:jc w:val="both"/>
        <w:rPr>
          <w:rFonts w:asciiTheme="minorHAnsi" w:eastAsia="Calibri" w:hAnsiTheme="minorHAnsi" w:cstheme="minorHAnsi"/>
        </w:rPr>
      </w:pPr>
    </w:p>
    <w:p w14:paraId="3F376212"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Vía Turística Kiuñalla - E.S. Kiuñalla</w:t>
      </w:r>
    </w:p>
    <w:p w14:paraId="4ABA2F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planteamiento para el diseño conceptual de la Vía Turística por la zona Sur (Apurímac) comprende como inicio del recorrido el distrito de Huanipaca prosiguiendo por las vías de aproximación existentes y con llegada a la margen izquierda del río Apurímac, puntos de referencia definidos por la ubicación final de las estaciones del sistema de transporte por cable al recurso turístico. El alineamiento de la vía se muestra en la siguiente figura. </w:t>
      </w:r>
    </w:p>
    <w:p w14:paraId="63B81964" w14:textId="77777777" w:rsidR="001F600C" w:rsidRPr="00285D58" w:rsidRDefault="001F600C" w:rsidP="008D1FFF">
      <w:pPr>
        <w:spacing w:line="276" w:lineRule="auto"/>
        <w:ind w:firstLine="567"/>
        <w:jc w:val="both"/>
        <w:rPr>
          <w:rFonts w:asciiTheme="minorHAnsi" w:eastAsia="Calibri" w:hAnsiTheme="minorHAnsi" w:cstheme="minorHAnsi"/>
        </w:rPr>
      </w:pPr>
    </w:p>
    <w:tbl>
      <w:tblPr>
        <w:tblW w:w="8494"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8494"/>
      </w:tblGrid>
      <w:tr w:rsidR="001F600C" w:rsidRPr="00285D58" w14:paraId="73845BD3" w14:textId="77777777" w:rsidTr="00242093">
        <w:trPr>
          <w:jc w:val="center"/>
        </w:trPr>
        <w:tc>
          <w:tcPr>
            <w:tcW w:w="8494" w:type="dxa"/>
          </w:tcPr>
          <w:p w14:paraId="28B2EEE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3CB75CC7" wp14:editId="616F0686">
                  <wp:extent cx="2907023" cy="3097182"/>
                  <wp:effectExtent l="0" t="0" r="0" b="0"/>
                  <wp:docPr id="2133617392" name="image32.jpg" descr="C:\LLOYD.HA\2018\01.CHOQUEQUIRAO\4.Productos\6_I.1c.1_Complementario\2.Avances\2.Planos\Vistas\ZS_Opc.2.1.JPG"/>
                  <wp:cNvGraphicFramePr/>
                  <a:graphic xmlns:a="http://schemas.openxmlformats.org/drawingml/2006/main">
                    <a:graphicData uri="http://schemas.openxmlformats.org/drawingml/2006/picture">
                      <pic:pic xmlns:pic="http://schemas.openxmlformats.org/drawingml/2006/picture">
                        <pic:nvPicPr>
                          <pic:cNvPr id="0" name="image32.jpg" descr="C:\LLOYD.HA\2018\01.CHOQUEQUIRAO\4.Productos\6_I.1c.1_Complementario\2.Avances\2.Planos\Vistas\ZS_Opc.2.1.JPG"/>
                          <pic:cNvPicPr preferRelativeResize="0"/>
                        </pic:nvPicPr>
                        <pic:blipFill>
                          <a:blip r:embed="rId57"/>
                          <a:srcRect/>
                          <a:stretch>
                            <a:fillRect/>
                          </a:stretch>
                        </pic:blipFill>
                        <pic:spPr>
                          <a:xfrm>
                            <a:off x="0" y="0"/>
                            <a:ext cx="2907023" cy="3097182"/>
                          </a:xfrm>
                          <a:prstGeom prst="rect">
                            <a:avLst/>
                          </a:prstGeom>
                          <a:ln/>
                        </pic:spPr>
                      </pic:pic>
                    </a:graphicData>
                  </a:graphic>
                </wp:inline>
              </w:drawing>
            </w:r>
          </w:p>
        </w:tc>
      </w:tr>
    </w:tbl>
    <w:p w14:paraId="37C39F2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3: Alineamiento de la Vía Turística por la zona Sur</w:t>
      </w:r>
    </w:p>
    <w:p w14:paraId="66BE15A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25518A20" w14:textId="77777777" w:rsidR="001F600C" w:rsidRPr="00285D58" w:rsidRDefault="001F600C" w:rsidP="008D1FFF">
      <w:pPr>
        <w:spacing w:line="276" w:lineRule="auto"/>
        <w:ind w:firstLine="567"/>
        <w:jc w:val="both"/>
        <w:rPr>
          <w:rFonts w:asciiTheme="minorHAnsi" w:eastAsia="Calibri" w:hAnsiTheme="minorHAnsi" w:cstheme="minorHAnsi"/>
        </w:rPr>
      </w:pPr>
    </w:p>
    <w:p w14:paraId="442CBB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vía iniciaría en la vía de aproximación Huanipaca - Kiuñalla (km 0+000), ubicada a 250 m al sur de la localidad de Kiuñalla, prosiguiendo en descenso y concluyendo en el km 1+280 en la Estación de Salida (E.S.) Kiuñalla. La longitud del tramo vial es de 1.3 km.</w:t>
      </w:r>
    </w:p>
    <w:p w14:paraId="030FC760" w14:textId="77777777" w:rsidR="001F600C" w:rsidRPr="00285D58" w:rsidRDefault="001F600C" w:rsidP="008D1FFF">
      <w:pPr>
        <w:spacing w:line="276" w:lineRule="auto"/>
        <w:ind w:firstLine="567"/>
        <w:jc w:val="both"/>
        <w:rPr>
          <w:rFonts w:asciiTheme="minorHAnsi" w:eastAsia="Calibri" w:hAnsiTheme="minorHAnsi" w:cstheme="minorHAnsi"/>
        </w:rPr>
      </w:pPr>
    </w:p>
    <w:p w14:paraId="0F605A7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Finalidad</w:t>
      </w:r>
    </w:p>
    <w:p w14:paraId="7E7B17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Vías Turísticas de acceso vehicular al MACH tiene la finalidad de proporcionar conexión vial a partir de las vías de aproximación existentes con las estaciones propuestas para el transporte por cable al núcleo turístico de Choquequirao, con lo que se lograría obtener un sistema de transporte multimodal para potenciar la actividad turística. Las láminas generadas en este capítulo se presentan en el Apéndice del presente Estudio.</w:t>
      </w:r>
    </w:p>
    <w:p w14:paraId="53387799" w14:textId="77777777" w:rsidR="001F600C" w:rsidRPr="00285D58" w:rsidRDefault="001F600C" w:rsidP="008D1FFF">
      <w:pPr>
        <w:spacing w:line="276" w:lineRule="auto"/>
        <w:ind w:left="570"/>
        <w:jc w:val="both"/>
        <w:rPr>
          <w:rFonts w:asciiTheme="minorHAnsi" w:eastAsia="Calibri" w:hAnsiTheme="minorHAnsi" w:cstheme="minorHAnsi"/>
        </w:rPr>
      </w:pPr>
    </w:p>
    <w:p w14:paraId="38511800"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Puntos de Referencia</w:t>
      </w:r>
    </w:p>
    <w:p w14:paraId="1A1295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puntos de referencias utilizados para el planteamiento técnico de las vías turísticas están establecidos por la ubicación de las estaciones del sistema de transporte por cable adoptado, específicamente las estaciones centrales donde inicia el recorrido de los buses turísticos y las estaciones de salida donde finaliza el mismo recorrido. A pesar de esto, las vías turísticas planteadas en el Proyecto iniciarían en una vía de aproximación existente generándose un nuevo desvío y llegarán a la estación de salida según la zona estudiada.</w:t>
      </w:r>
    </w:p>
    <w:p w14:paraId="5604502E" w14:textId="77777777" w:rsidR="001F600C" w:rsidRPr="00285D58" w:rsidRDefault="001F600C" w:rsidP="008D1FFF">
      <w:pPr>
        <w:spacing w:line="276" w:lineRule="auto"/>
        <w:ind w:left="570"/>
        <w:jc w:val="both"/>
        <w:rPr>
          <w:rFonts w:asciiTheme="minorHAnsi" w:eastAsia="Calibri" w:hAnsiTheme="minorHAnsi" w:cstheme="minorHAnsi"/>
        </w:rPr>
      </w:pPr>
    </w:p>
    <w:p w14:paraId="7E84E2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identificación de estos puntos de referencia se realizó a través de coordenadas UTM, zona 18 Sur, Datum WGS84, ver Tabla 3.</w:t>
      </w:r>
    </w:p>
    <w:p w14:paraId="4AE30724" w14:textId="77777777" w:rsidR="001F600C" w:rsidRPr="00285D58" w:rsidRDefault="001F600C" w:rsidP="008D1FFF">
      <w:pPr>
        <w:spacing w:line="276" w:lineRule="auto"/>
        <w:ind w:left="570"/>
        <w:jc w:val="both"/>
        <w:rPr>
          <w:rFonts w:asciiTheme="minorHAnsi" w:eastAsia="Calibri" w:hAnsiTheme="minorHAnsi" w:cstheme="minorHAnsi"/>
        </w:rPr>
      </w:pPr>
    </w:p>
    <w:p w14:paraId="0295C81F" w14:textId="3DD328DD"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ubicación DE LOS PUNTOS DE REFERENCIA</w:t>
      </w:r>
    </w:p>
    <w:tbl>
      <w:tblPr>
        <w:tblW w:w="846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19"/>
        <w:gridCol w:w="1701"/>
        <w:gridCol w:w="1701"/>
        <w:gridCol w:w="3544"/>
      </w:tblGrid>
      <w:tr w:rsidR="001F600C" w:rsidRPr="00285D58" w14:paraId="1FE52E3F" w14:textId="77777777" w:rsidTr="00242093">
        <w:trPr>
          <w:trHeight w:val="340"/>
          <w:jc w:val="center"/>
        </w:trPr>
        <w:tc>
          <w:tcPr>
            <w:tcW w:w="1519" w:type="dxa"/>
            <w:shd w:val="clear" w:color="auto" w:fill="E7E6E6" w:themeFill="background2"/>
          </w:tcPr>
          <w:p w14:paraId="472B112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Ubicación</w:t>
            </w:r>
          </w:p>
        </w:tc>
        <w:tc>
          <w:tcPr>
            <w:tcW w:w="1701" w:type="dxa"/>
            <w:shd w:val="clear" w:color="auto" w:fill="E7E6E6" w:themeFill="background2"/>
          </w:tcPr>
          <w:p w14:paraId="5A3DA803"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Este (m)</w:t>
            </w:r>
          </w:p>
        </w:tc>
        <w:tc>
          <w:tcPr>
            <w:tcW w:w="1701" w:type="dxa"/>
            <w:shd w:val="clear" w:color="auto" w:fill="E7E6E6" w:themeFill="background2"/>
          </w:tcPr>
          <w:p w14:paraId="0A63575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Norte (m)</w:t>
            </w:r>
          </w:p>
        </w:tc>
        <w:tc>
          <w:tcPr>
            <w:tcW w:w="3544" w:type="dxa"/>
            <w:shd w:val="clear" w:color="auto" w:fill="E7E6E6" w:themeFill="background2"/>
          </w:tcPr>
          <w:p w14:paraId="2019FBF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Descripción</w:t>
            </w:r>
          </w:p>
        </w:tc>
      </w:tr>
      <w:tr w:rsidR="001F600C" w:rsidRPr="00285D58" w14:paraId="4B7352CF" w14:textId="77777777" w:rsidTr="00242093">
        <w:trPr>
          <w:trHeight w:val="340"/>
          <w:jc w:val="center"/>
        </w:trPr>
        <w:tc>
          <w:tcPr>
            <w:tcW w:w="8465" w:type="dxa"/>
            <w:gridSpan w:val="4"/>
            <w:shd w:val="clear" w:color="auto" w:fill="E7E6E6" w:themeFill="background2"/>
          </w:tcPr>
          <w:p w14:paraId="362BDAB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 de acceso vehicular E.C. Yanama - E.S. San Juan</w:t>
            </w:r>
          </w:p>
        </w:tc>
      </w:tr>
      <w:tr w:rsidR="001F600C" w:rsidRPr="00285D58" w14:paraId="5EBA2AA6" w14:textId="77777777" w:rsidTr="00242093">
        <w:trPr>
          <w:jc w:val="center"/>
        </w:trPr>
        <w:tc>
          <w:tcPr>
            <w:tcW w:w="1519" w:type="dxa"/>
          </w:tcPr>
          <w:p w14:paraId="223CBA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Inicio</w:t>
            </w:r>
          </w:p>
        </w:tc>
        <w:tc>
          <w:tcPr>
            <w:tcW w:w="1701" w:type="dxa"/>
          </w:tcPr>
          <w:p w14:paraId="0EC5B8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734 442.726</w:t>
            </w:r>
          </w:p>
        </w:tc>
        <w:tc>
          <w:tcPr>
            <w:tcW w:w="1701" w:type="dxa"/>
          </w:tcPr>
          <w:p w14:paraId="524134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8 526 016.031</w:t>
            </w:r>
          </w:p>
        </w:tc>
        <w:tc>
          <w:tcPr>
            <w:tcW w:w="3544" w:type="dxa"/>
          </w:tcPr>
          <w:p w14:paraId="2A86B7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Empalme con la vía de aproximación</w:t>
            </w:r>
          </w:p>
          <w:p w14:paraId="0D3FAC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Pte. Collpachaca - Totora - Yanama</w:t>
            </w:r>
          </w:p>
        </w:tc>
      </w:tr>
      <w:tr w:rsidR="001F600C" w:rsidRPr="00285D58" w14:paraId="5F3E6E5B" w14:textId="77777777" w:rsidTr="00242093">
        <w:trPr>
          <w:jc w:val="center"/>
        </w:trPr>
        <w:tc>
          <w:tcPr>
            <w:tcW w:w="1519" w:type="dxa"/>
          </w:tcPr>
          <w:p w14:paraId="27030DE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w:t>
            </w:r>
          </w:p>
        </w:tc>
        <w:tc>
          <w:tcPr>
            <w:tcW w:w="1701" w:type="dxa"/>
          </w:tcPr>
          <w:p w14:paraId="3B392A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731 219.368</w:t>
            </w:r>
          </w:p>
        </w:tc>
        <w:tc>
          <w:tcPr>
            <w:tcW w:w="1701" w:type="dxa"/>
          </w:tcPr>
          <w:p w14:paraId="1B1EDF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8 525 090.480</w:t>
            </w:r>
          </w:p>
        </w:tc>
        <w:tc>
          <w:tcPr>
            <w:tcW w:w="3544" w:type="dxa"/>
          </w:tcPr>
          <w:p w14:paraId="0A5E50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Ingreso a la Estación de Salida San Juan</w:t>
            </w:r>
          </w:p>
        </w:tc>
      </w:tr>
      <w:tr w:rsidR="001F600C" w:rsidRPr="00285D58" w14:paraId="556A9C77" w14:textId="77777777" w:rsidTr="00242093">
        <w:trPr>
          <w:trHeight w:val="340"/>
          <w:jc w:val="center"/>
        </w:trPr>
        <w:tc>
          <w:tcPr>
            <w:tcW w:w="8465" w:type="dxa"/>
            <w:gridSpan w:val="4"/>
            <w:shd w:val="clear" w:color="auto" w:fill="E7E6E6" w:themeFill="background2"/>
          </w:tcPr>
          <w:p w14:paraId="791C801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 de acceso vehicular Kiuñalla - E.S. Kiuñalla</w:t>
            </w:r>
          </w:p>
        </w:tc>
      </w:tr>
      <w:tr w:rsidR="001F600C" w:rsidRPr="00285D58" w14:paraId="1E85BE6A" w14:textId="77777777" w:rsidTr="00242093">
        <w:trPr>
          <w:jc w:val="center"/>
        </w:trPr>
        <w:tc>
          <w:tcPr>
            <w:tcW w:w="1519" w:type="dxa"/>
          </w:tcPr>
          <w:p w14:paraId="76015E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Inicio</w:t>
            </w:r>
          </w:p>
        </w:tc>
        <w:tc>
          <w:tcPr>
            <w:tcW w:w="1701" w:type="dxa"/>
          </w:tcPr>
          <w:p w14:paraId="2D8E0D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728 133.997</w:t>
            </w:r>
          </w:p>
        </w:tc>
        <w:tc>
          <w:tcPr>
            <w:tcW w:w="1701" w:type="dxa"/>
          </w:tcPr>
          <w:p w14:paraId="3DA98B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8 513 221.999</w:t>
            </w:r>
          </w:p>
        </w:tc>
        <w:tc>
          <w:tcPr>
            <w:tcW w:w="3544" w:type="dxa"/>
          </w:tcPr>
          <w:p w14:paraId="2C539B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Empalme con la vía de aproximación Huanipaca - Kiuñalla</w:t>
            </w:r>
          </w:p>
        </w:tc>
      </w:tr>
      <w:tr w:rsidR="001F600C" w:rsidRPr="00285D58" w14:paraId="1406FB3B" w14:textId="77777777" w:rsidTr="00242093">
        <w:trPr>
          <w:jc w:val="center"/>
        </w:trPr>
        <w:tc>
          <w:tcPr>
            <w:tcW w:w="1519" w:type="dxa"/>
          </w:tcPr>
          <w:p w14:paraId="0BE69C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w:t>
            </w:r>
          </w:p>
        </w:tc>
        <w:tc>
          <w:tcPr>
            <w:tcW w:w="1701" w:type="dxa"/>
          </w:tcPr>
          <w:p w14:paraId="292042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728 324.760</w:t>
            </w:r>
          </w:p>
        </w:tc>
        <w:tc>
          <w:tcPr>
            <w:tcW w:w="1701" w:type="dxa"/>
          </w:tcPr>
          <w:p w14:paraId="55A5725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8 514 050.268</w:t>
            </w:r>
          </w:p>
        </w:tc>
        <w:tc>
          <w:tcPr>
            <w:tcW w:w="3544" w:type="dxa"/>
          </w:tcPr>
          <w:p w14:paraId="471F3A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Ingreso a la Estación de Salida Kiuñalla</w:t>
            </w:r>
          </w:p>
        </w:tc>
      </w:tr>
    </w:tbl>
    <w:p w14:paraId="6AE0D315" w14:textId="761AD30D"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4E0EC5DD" w14:textId="77777777" w:rsidR="001F600C" w:rsidRPr="00285D58" w:rsidRDefault="001F600C" w:rsidP="008D1FFF">
      <w:pPr>
        <w:spacing w:line="276" w:lineRule="auto"/>
        <w:ind w:firstLine="567"/>
        <w:jc w:val="both"/>
        <w:rPr>
          <w:rFonts w:asciiTheme="minorHAnsi" w:eastAsia="Calibri" w:hAnsiTheme="minorHAnsi" w:cstheme="minorHAnsi"/>
        </w:rPr>
      </w:pPr>
    </w:p>
    <w:p w14:paraId="7908E90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Topografía</w:t>
      </w:r>
    </w:p>
    <w:p w14:paraId="65E054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obtención de la superficie del terreno existente se obtuvo a partir de métodos no convencionales debido a que el terreno es de difícil acceso y con cobertura vegetal. Se aplicaron dos instrumentos de diferentes especificaciones por cada zona estudiada, Norte y Sur, por la extensión a cubrir y las facilidades de acceso para la toma de datos.</w:t>
      </w:r>
    </w:p>
    <w:p w14:paraId="6A1D9EC1" w14:textId="77777777" w:rsidR="001F600C" w:rsidRPr="00285D58" w:rsidRDefault="001F600C" w:rsidP="008D1FFF">
      <w:pPr>
        <w:spacing w:line="276" w:lineRule="auto"/>
        <w:ind w:firstLine="567"/>
        <w:jc w:val="both"/>
        <w:rPr>
          <w:rFonts w:asciiTheme="minorHAnsi" w:eastAsia="Calibri" w:hAnsiTheme="minorHAnsi" w:cstheme="minorHAnsi"/>
        </w:rPr>
      </w:pPr>
    </w:p>
    <w:p w14:paraId="0D604282"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Zona Norte</w:t>
      </w:r>
    </w:p>
    <w:p w14:paraId="40E43A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obtención de la superficie del terreno existente, donde se emplazará la Vía Turística de acceso vehicular E.C. Yanama - E.S. San Juan, se empleó la información de la base de datos HSA existente del año 2012 complementado con levantamiento parcial de dron en las zonas alteradas o afectadas por el paso de los años debido a las condiciones accidentadas y peligrosas de la zona, la cual imposibilita la utilización de métodos convencionales; asimismo, con la finalidad de asegurar el óptimo control terrestre se monumentaron puntos de control geodésico de orden “C” y puntos de control.</w:t>
      </w:r>
    </w:p>
    <w:p w14:paraId="0EA0B48B" w14:textId="77777777" w:rsidR="001F600C" w:rsidRPr="00285D58" w:rsidRDefault="001F600C" w:rsidP="008D1FFF">
      <w:pPr>
        <w:spacing w:line="276" w:lineRule="auto"/>
        <w:ind w:firstLine="567"/>
        <w:jc w:val="both"/>
        <w:rPr>
          <w:rFonts w:asciiTheme="minorHAnsi" w:eastAsia="Calibri" w:hAnsiTheme="minorHAnsi" w:cstheme="minorHAnsi"/>
        </w:rPr>
      </w:pPr>
    </w:p>
    <w:p w14:paraId="463B04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del procesamiento fotogramétrico digital a escala 1:2 000 se generó la Ortofoto de la montaña Victoria a color RGB, el DTM (Modelo Digital de Terreno), y las curvas de nivel para una extensión de 3 495 hectáreas. Ver Figura 4.</w:t>
      </w:r>
    </w:p>
    <w:p w14:paraId="612496F8" w14:textId="77777777" w:rsidR="001F600C" w:rsidRPr="00285D58" w:rsidRDefault="001F600C" w:rsidP="008D1FFF">
      <w:pPr>
        <w:spacing w:line="276" w:lineRule="auto"/>
        <w:ind w:firstLine="567"/>
        <w:jc w:val="both"/>
        <w:rPr>
          <w:rFonts w:asciiTheme="minorHAnsi" w:eastAsia="Calibri" w:hAnsiTheme="minorHAnsi" w:cstheme="minorHAnsi"/>
        </w:rPr>
      </w:pPr>
    </w:p>
    <w:p w14:paraId="53C080B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7B5A2BE0" wp14:editId="4D52317A">
            <wp:extent cx="4392411" cy="2700000"/>
            <wp:effectExtent l="0" t="0" r="0" b="0"/>
            <wp:docPr id="2133617393" name="image47.png" descr="Imagen rotada de una ro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7.png" descr="Imagen rotada de una roca&#10;&#10;Descripción generada automáticamente con confianza media"/>
                    <pic:cNvPicPr preferRelativeResize="0"/>
                  </pic:nvPicPr>
                  <pic:blipFill>
                    <a:blip r:embed="rId58"/>
                    <a:srcRect/>
                    <a:stretch>
                      <a:fillRect/>
                    </a:stretch>
                  </pic:blipFill>
                  <pic:spPr>
                    <a:xfrm>
                      <a:off x="0" y="0"/>
                      <a:ext cx="4392411" cy="2700000"/>
                    </a:xfrm>
                    <a:prstGeom prst="rect">
                      <a:avLst/>
                    </a:prstGeom>
                    <a:ln/>
                  </pic:spPr>
                </pic:pic>
              </a:graphicData>
            </a:graphic>
          </wp:inline>
        </w:drawing>
      </w:r>
    </w:p>
    <w:p w14:paraId="1B178191" w14:textId="7E1F9D5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4: Ortofoto de la Zona Norte: Montaña Victoria</w:t>
      </w:r>
    </w:p>
    <w:p w14:paraId="6FD26646" w14:textId="1DE524E6"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75AA7A05" w14:textId="77777777" w:rsidR="001F600C" w:rsidRPr="00285D58" w:rsidRDefault="001F600C" w:rsidP="008D1FFF">
      <w:pPr>
        <w:spacing w:line="276" w:lineRule="auto"/>
        <w:ind w:firstLine="567"/>
        <w:jc w:val="both"/>
        <w:rPr>
          <w:rFonts w:asciiTheme="minorHAnsi" w:eastAsia="Calibri" w:hAnsiTheme="minorHAnsi" w:cstheme="minorHAnsi"/>
        </w:rPr>
      </w:pPr>
    </w:p>
    <w:p w14:paraId="281815EB"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Zona Sur</w:t>
      </w:r>
    </w:p>
    <w:p w14:paraId="3F0D94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obtención de la superficie del terreno existente, donde se emplazará la Vía Turística de acceso vehicular Kiuñalla - E.S. Kiuñalla, se empleó fotogrametría digital con el uso dron debido a las condiciones accidentadas de la zona, la cual imposibilita la utilización de métodos convencionales; así mismo, con la finalidad de asegurar el óptimo control terrestre se monumentaron puntos de control geodésico de orden “C” y puntos de control.</w:t>
      </w:r>
    </w:p>
    <w:p w14:paraId="0713C5FD" w14:textId="77777777" w:rsidR="001F600C" w:rsidRPr="00285D58" w:rsidRDefault="001F600C" w:rsidP="008D1FFF">
      <w:pPr>
        <w:spacing w:line="276" w:lineRule="auto"/>
        <w:ind w:firstLine="567"/>
        <w:jc w:val="both"/>
        <w:rPr>
          <w:rFonts w:asciiTheme="minorHAnsi" w:eastAsia="Calibri" w:hAnsiTheme="minorHAnsi" w:cstheme="minorHAnsi"/>
        </w:rPr>
      </w:pPr>
    </w:p>
    <w:p w14:paraId="1C9F32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resultado del procesamiento fotogramétrico digital a escala 1:2 000 se generó la Ortofoto de la cumbre de Kiuñalla, el DTM (Modelo Digital de Terreno), y las curvas de nivel. Ver Figura 5.</w:t>
      </w:r>
    </w:p>
    <w:p w14:paraId="2253172C" w14:textId="77777777" w:rsidR="001F600C" w:rsidRPr="00285D58" w:rsidRDefault="001F600C" w:rsidP="008D1FFF">
      <w:pPr>
        <w:spacing w:line="276" w:lineRule="auto"/>
        <w:ind w:firstLine="567"/>
        <w:jc w:val="both"/>
        <w:rPr>
          <w:rFonts w:asciiTheme="minorHAnsi" w:eastAsia="Calibri" w:hAnsiTheme="minorHAnsi" w:cstheme="minorHAnsi"/>
        </w:rPr>
      </w:pPr>
    </w:p>
    <w:p w14:paraId="68ACBE2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540EDF5" wp14:editId="06F5CBA4">
            <wp:extent cx="2025000" cy="2700000"/>
            <wp:effectExtent l="0" t="0" r="0" b="0"/>
            <wp:docPr id="213361739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9"/>
                    <a:srcRect/>
                    <a:stretch>
                      <a:fillRect/>
                    </a:stretch>
                  </pic:blipFill>
                  <pic:spPr>
                    <a:xfrm>
                      <a:off x="0" y="0"/>
                      <a:ext cx="2025000" cy="2700000"/>
                    </a:xfrm>
                    <a:prstGeom prst="rect">
                      <a:avLst/>
                    </a:prstGeom>
                    <a:ln/>
                  </pic:spPr>
                </pic:pic>
              </a:graphicData>
            </a:graphic>
          </wp:inline>
        </w:drawing>
      </w:r>
    </w:p>
    <w:p w14:paraId="460725A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5: Ortofoto de la Zona Sur: Cumbre de Kiuñalla</w:t>
      </w:r>
    </w:p>
    <w:p w14:paraId="1B3D12F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lastRenderedPageBreak/>
        <w:t>Fuente: Elaboración Propia - Consorcio Choquequirao</w:t>
      </w:r>
    </w:p>
    <w:p w14:paraId="110DABFB" w14:textId="77777777" w:rsidR="001F600C" w:rsidRPr="00285D58" w:rsidRDefault="001F600C" w:rsidP="008D1FFF">
      <w:pPr>
        <w:spacing w:line="276" w:lineRule="auto"/>
        <w:ind w:firstLine="567"/>
        <w:jc w:val="both"/>
        <w:rPr>
          <w:rFonts w:asciiTheme="minorHAnsi" w:eastAsia="Calibri" w:hAnsiTheme="minorHAnsi" w:cstheme="minorHAnsi"/>
        </w:rPr>
      </w:pPr>
    </w:p>
    <w:p w14:paraId="548B87A3"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Estimación del Tránsito Vehicular</w:t>
      </w:r>
    </w:p>
    <w:p w14:paraId="07DF4E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demanda de turistas estimada se indica a continuación: </w:t>
      </w:r>
    </w:p>
    <w:p w14:paraId="1CDA5A94" w14:textId="77777777" w:rsidR="001F600C" w:rsidRPr="00285D58" w:rsidRDefault="001F600C" w:rsidP="008D1FFF">
      <w:pPr>
        <w:spacing w:line="276" w:lineRule="auto"/>
        <w:ind w:firstLine="567"/>
        <w:jc w:val="both"/>
        <w:rPr>
          <w:rFonts w:asciiTheme="minorHAnsi" w:eastAsia="Calibri" w:hAnsiTheme="minorHAnsi" w:cstheme="minorHAnsi"/>
        </w:rPr>
      </w:pPr>
    </w:p>
    <w:p w14:paraId="7FD1B2C8" w14:textId="4A85BD0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FLUJO ANUAL DE TURISTAS ATENDIDOS POR EL TRANSPORTE POR CABLE</w:t>
      </w:r>
    </w:p>
    <w:tbl>
      <w:tblPr>
        <w:tblW w:w="898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48"/>
        <w:gridCol w:w="1960"/>
        <w:gridCol w:w="1960"/>
        <w:gridCol w:w="1960"/>
        <w:gridCol w:w="1960"/>
      </w:tblGrid>
      <w:tr w:rsidR="001F600C" w:rsidRPr="00285D58" w14:paraId="45E3A1B2" w14:textId="77777777" w:rsidTr="00242093">
        <w:trPr>
          <w:trHeight w:val="454"/>
          <w:jc w:val="center"/>
        </w:trPr>
        <w:tc>
          <w:tcPr>
            <w:tcW w:w="1148" w:type="dxa"/>
            <w:vMerge w:val="restart"/>
            <w:shd w:val="clear" w:color="auto" w:fill="E7E6E6" w:themeFill="background2"/>
          </w:tcPr>
          <w:p w14:paraId="2AC4ACC0"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Año</w:t>
            </w:r>
          </w:p>
        </w:tc>
        <w:tc>
          <w:tcPr>
            <w:tcW w:w="1960" w:type="dxa"/>
            <w:shd w:val="clear" w:color="auto" w:fill="E7E6E6" w:themeFill="background2"/>
          </w:tcPr>
          <w:p w14:paraId="5624129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Kiuñalla</w:t>
            </w:r>
          </w:p>
        </w:tc>
        <w:tc>
          <w:tcPr>
            <w:tcW w:w="1960" w:type="dxa"/>
            <w:shd w:val="clear" w:color="auto" w:fill="E7E6E6" w:themeFill="background2"/>
          </w:tcPr>
          <w:p w14:paraId="40EA510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Abra San Juan</w:t>
            </w:r>
          </w:p>
        </w:tc>
        <w:tc>
          <w:tcPr>
            <w:tcW w:w="1960" w:type="dxa"/>
            <w:shd w:val="clear" w:color="auto" w:fill="E7E6E6" w:themeFill="background2"/>
          </w:tcPr>
          <w:p w14:paraId="78340E8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Kiuñalla</w:t>
            </w:r>
          </w:p>
        </w:tc>
        <w:tc>
          <w:tcPr>
            <w:tcW w:w="1960" w:type="dxa"/>
            <w:shd w:val="clear" w:color="auto" w:fill="E7E6E6" w:themeFill="background2"/>
          </w:tcPr>
          <w:p w14:paraId="001F253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Abra San Juan</w:t>
            </w:r>
          </w:p>
        </w:tc>
      </w:tr>
      <w:tr w:rsidR="001F600C" w:rsidRPr="00285D58" w14:paraId="62DABEE1" w14:textId="77777777" w:rsidTr="00242093">
        <w:trPr>
          <w:trHeight w:val="283"/>
          <w:jc w:val="center"/>
        </w:trPr>
        <w:tc>
          <w:tcPr>
            <w:tcW w:w="1148" w:type="dxa"/>
            <w:vMerge/>
            <w:shd w:val="clear" w:color="auto" w:fill="E7E6E6" w:themeFill="background2"/>
          </w:tcPr>
          <w:p w14:paraId="48BF070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b/>
                <w:bCs/>
              </w:rPr>
            </w:pPr>
          </w:p>
        </w:tc>
        <w:tc>
          <w:tcPr>
            <w:tcW w:w="1960" w:type="dxa"/>
            <w:shd w:val="clear" w:color="auto" w:fill="E7E6E6" w:themeFill="background2"/>
          </w:tcPr>
          <w:p w14:paraId="637D65D7"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5CB8E230"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3BCA39A8"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c>
          <w:tcPr>
            <w:tcW w:w="1960" w:type="dxa"/>
            <w:shd w:val="clear" w:color="auto" w:fill="E7E6E6" w:themeFill="background2"/>
          </w:tcPr>
          <w:p w14:paraId="5812C349"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Visit./año</w:t>
            </w:r>
          </w:p>
        </w:tc>
      </w:tr>
      <w:tr w:rsidR="001F600C" w:rsidRPr="00285D58" w14:paraId="0C55571C" w14:textId="77777777" w:rsidTr="00242093">
        <w:trPr>
          <w:trHeight w:val="283"/>
          <w:jc w:val="center"/>
        </w:trPr>
        <w:tc>
          <w:tcPr>
            <w:tcW w:w="1148" w:type="dxa"/>
          </w:tcPr>
          <w:p w14:paraId="7CD9A5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960" w:type="dxa"/>
          </w:tcPr>
          <w:p w14:paraId="44A1230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329 398</w:t>
            </w:r>
          </w:p>
        </w:tc>
        <w:tc>
          <w:tcPr>
            <w:tcW w:w="1960" w:type="dxa"/>
          </w:tcPr>
          <w:p w14:paraId="74C9B25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621 270</w:t>
            </w:r>
          </w:p>
        </w:tc>
        <w:tc>
          <w:tcPr>
            <w:tcW w:w="1960" w:type="dxa"/>
          </w:tcPr>
          <w:p w14:paraId="78CC66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596 252</w:t>
            </w:r>
          </w:p>
        </w:tc>
        <w:tc>
          <w:tcPr>
            <w:tcW w:w="1960" w:type="dxa"/>
          </w:tcPr>
          <w:p w14:paraId="54744A5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354 416</w:t>
            </w:r>
          </w:p>
        </w:tc>
      </w:tr>
      <w:tr w:rsidR="001F600C" w:rsidRPr="00285D58" w14:paraId="5256FC83" w14:textId="77777777" w:rsidTr="00242093">
        <w:trPr>
          <w:trHeight w:val="283"/>
          <w:jc w:val="center"/>
        </w:trPr>
        <w:tc>
          <w:tcPr>
            <w:tcW w:w="1148" w:type="dxa"/>
          </w:tcPr>
          <w:p w14:paraId="40FB7C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960" w:type="dxa"/>
          </w:tcPr>
          <w:p w14:paraId="0AEAD8D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330 093</w:t>
            </w:r>
          </w:p>
        </w:tc>
        <w:tc>
          <w:tcPr>
            <w:tcW w:w="1960" w:type="dxa"/>
          </w:tcPr>
          <w:p w14:paraId="6E8D310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622 138</w:t>
            </w:r>
          </w:p>
        </w:tc>
        <w:tc>
          <w:tcPr>
            <w:tcW w:w="1960" w:type="dxa"/>
          </w:tcPr>
          <w:p w14:paraId="399DD4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594 515</w:t>
            </w:r>
          </w:p>
        </w:tc>
        <w:tc>
          <w:tcPr>
            <w:tcW w:w="1960" w:type="dxa"/>
          </w:tcPr>
          <w:p w14:paraId="76DE89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357 715</w:t>
            </w:r>
          </w:p>
        </w:tc>
      </w:tr>
      <w:tr w:rsidR="001F600C" w:rsidRPr="00285D58" w14:paraId="16581AAC" w14:textId="77777777" w:rsidTr="00242093">
        <w:trPr>
          <w:trHeight w:val="283"/>
          <w:jc w:val="center"/>
        </w:trPr>
        <w:tc>
          <w:tcPr>
            <w:tcW w:w="1148" w:type="dxa"/>
          </w:tcPr>
          <w:p w14:paraId="6E221A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960" w:type="dxa"/>
          </w:tcPr>
          <w:p w14:paraId="2D58380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330 809</w:t>
            </w:r>
          </w:p>
        </w:tc>
        <w:tc>
          <w:tcPr>
            <w:tcW w:w="1960" w:type="dxa"/>
          </w:tcPr>
          <w:p w14:paraId="2C6AD4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623 033</w:t>
            </w:r>
          </w:p>
        </w:tc>
        <w:tc>
          <w:tcPr>
            <w:tcW w:w="1960" w:type="dxa"/>
          </w:tcPr>
          <w:p w14:paraId="197403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592 725</w:t>
            </w:r>
          </w:p>
        </w:tc>
        <w:tc>
          <w:tcPr>
            <w:tcW w:w="1960" w:type="dxa"/>
          </w:tcPr>
          <w:p w14:paraId="12BA76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361 117</w:t>
            </w:r>
          </w:p>
        </w:tc>
      </w:tr>
      <w:tr w:rsidR="001F600C" w:rsidRPr="00285D58" w14:paraId="00CAD53B" w14:textId="77777777" w:rsidTr="00242093">
        <w:trPr>
          <w:trHeight w:val="283"/>
          <w:jc w:val="center"/>
        </w:trPr>
        <w:tc>
          <w:tcPr>
            <w:tcW w:w="1148" w:type="dxa"/>
          </w:tcPr>
          <w:p w14:paraId="4D03F7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960" w:type="dxa"/>
          </w:tcPr>
          <w:p w14:paraId="2C4079D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331 547</w:t>
            </w:r>
          </w:p>
        </w:tc>
        <w:tc>
          <w:tcPr>
            <w:tcW w:w="1960" w:type="dxa"/>
          </w:tcPr>
          <w:p w14:paraId="408FF5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623 955</w:t>
            </w:r>
          </w:p>
        </w:tc>
        <w:tc>
          <w:tcPr>
            <w:tcW w:w="1960" w:type="dxa"/>
          </w:tcPr>
          <w:p w14:paraId="6DDBE70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590 880</w:t>
            </w:r>
          </w:p>
        </w:tc>
        <w:tc>
          <w:tcPr>
            <w:tcW w:w="1960" w:type="dxa"/>
          </w:tcPr>
          <w:p w14:paraId="283B2A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364 622</w:t>
            </w:r>
          </w:p>
        </w:tc>
      </w:tr>
      <w:tr w:rsidR="001F600C" w:rsidRPr="00285D58" w14:paraId="53A38EED" w14:textId="77777777" w:rsidTr="00242093">
        <w:trPr>
          <w:trHeight w:val="283"/>
          <w:jc w:val="center"/>
        </w:trPr>
        <w:tc>
          <w:tcPr>
            <w:tcW w:w="1148" w:type="dxa"/>
          </w:tcPr>
          <w:p w14:paraId="0062EB3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960" w:type="dxa"/>
          </w:tcPr>
          <w:p w14:paraId="6DE73C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332 306</w:t>
            </w:r>
          </w:p>
        </w:tc>
        <w:tc>
          <w:tcPr>
            <w:tcW w:w="1960" w:type="dxa"/>
          </w:tcPr>
          <w:p w14:paraId="5B081E4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624 904</w:t>
            </w:r>
          </w:p>
        </w:tc>
        <w:tc>
          <w:tcPr>
            <w:tcW w:w="1960" w:type="dxa"/>
          </w:tcPr>
          <w:p w14:paraId="617F356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588 982</w:t>
            </w:r>
          </w:p>
        </w:tc>
        <w:tc>
          <w:tcPr>
            <w:tcW w:w="1960" w:type="dxa"/>
          </w:tcPr>
          <w:p w14:paraId="6831A5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368 228</w:t>
            </w:r>
          </w:p>
        </w:tc>
      </w:tr>
      <w:tr w:rsidR="001F600C" w:rsidRPr="00285D58" w14:paraId="1BFB873B" w14:textId="77777777" w:rsidTr="00242093">
        <w:trPr>
          <w:trHeight w:val="283"/>
          <w:jc w:val="center"/>
        </w:trPr>
        <w:tc>
          <w:tcPr>
            <w:tcW w:w="1148" w:type="dxa"/>
          </w:tcPr>
          <w:p w14:paraId="44AEF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960" w:type="dxa"/>
          </w:tcPr>
          <w:p w14:paraId="070D6D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333 087</w:t>
            </w:r>
          </w:p>
        </w:tc>
        <w:tc>
          <w:tcPr>
            <w:tcW w:w="1960" w:type="dxa"/>
          </w:tcPr>
          <w:p w14:paraId="2920F40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625 881</w:t>
            </w:r>
          </w:p>
        </w:tc>
        <w:tc>
          <w:tcPr>
            <w:tcW w:w="1960" w:type="dxa"/>
          </w:tcPr>
          <w:p w14:paraId="703E13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587 030</w:t>
            </w:r>
          </w:p>
        </w:tc>
        <w:tc>
          <w:tcPr>
            <w:tcW w:w="1960" w:type="dxa"/>
          </w:tcPr>
          <w:p w14:paraId="1880B06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371 937</w:t>
            </w:r>
          </w:p>
        </w:tc>
      </w:tr>
      <w:tr w:rsidR="001F600C" w:rsidRPr="00285D58" w14:paraId="54ACD0B3" w14:textId="77777777" w:rsidTr="00242093">
        <w:trPr>
          <w:trHeight w:val="283"/>
          <w:jc w:val="center"/>
        </w:trPr>
        <w:tc>
          <w:tcPr>
            <w:tcW w:w="1148" w:type="dxa"/>
          </w:tcPr>
          <w:p w14:paraId="1B7F9DE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960" w:type="dxa"/>
          </w:tcPr>
          <w:p w14:paraId="09DA6F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333 889</w:t>
            </w:r>
          </w:p>
        </w:tc>
        <w:tc>
          <w:tcPr>
            <w:tcW w:w="1960" w:type="dxa"/>
          </w:tcPr>
          <w:p w14:paraId="1BF3881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626 884</w:t>
            </w:r>
          </w:p>
        </w:tc>
        <w:tc>
          <w:tcPr>
            <w:tcW w:w="1960" w:type="dxa"/>
          </w:tcPr>
          <w:p w14:paraId="68B9B6D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585 024</w:t>
            </w:r>
          </w:p>
        </w:tc>
        <w:tc>
          <w:tcPr>
            <w:tcW w:w="1960" w:type="dxa"/>
          </w:tcPr>
          <w:p w14:paraId="37A8756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375 749</w:t>
            </w:r>
          </w:p>
        </w:tc>
      </w:tr>
      <w:tr w:rsidR="001F600C" w:rsidRPr="00285D58" w14:paraId="5A4AF5F9" w14:textId="77777777" w:rsidTr="00242093">
        <w:trPr>
          <w:trHeight w:val="283"/>
          <w:jc w:val="center"/>
        </w:trPr>
        <w:tc>
          <w:tcPr>
            <w:tcW w:w="1148" w:type="dxa"/>
          </w:tcPr>
          <w:p w14:paraId="04CF4C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960" w:type="dxa"/>
          </w:tcPr>
          <w:p w14:paraId="1FB7A74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334 713</w:t>
            </w:r>
          </w:p>
        </w:tc>
        <w:tc>
          <w:tcPr>
            <w:tcW w:w="1960" w:type="dxa"/>
          </w:tcPr>
          <w:p w14:paraId="6399B0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627 913</w:t>
            </w:r>
          </w:p>
        </w:tc>
        <w:tc>
          <w:tcPr>
            <w:tcW w:w="1960" w:type="dxa"/>
          </w:tcPr>
          <w:p w14:paraId="1A0E565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582 964</w:t>
            </w:r>
          </w:p>
        </w:tc>
        <w:tc>
          <w:tcPr>
            <w:tcW w:w="1960" w:type="dxa"/>
          </w:tcPr>
          <w:p w14:paraId="331226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379 663</w:t>
            </w:r>
          </w:p>
        </w:tc>
      </w:tr>
      <w:tr w:rsidR="001F600C" w:rsidRPr="00285D58" w14:paraId="3664DCBF" w14:textId="77777777" w:rsidTr="00242093">
        <w:trPr>
          <w:trHeight w:val="283"/>
          <w:jc w:val="center"/>
        </w:trPr>
        <w:tc>
          <w:tcPr>
            <w:tcW w:w="1148" w:type="dxa"/>
          </w:tcPr>
          <w:p w14:paraId="08CB3A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960" w:type="dxa"/>
          </w:tcPr>
          <w:p w14:paraId="7784DA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335 559</w:t>
            </w:r>
          </w:p>
        </w:tc>
        <w:tc>
          <w:tcPr>
            <w:tcW w:w="1960" w:type="dxa"/>
          </w:tcPr>
          <w:p w14:paraId="3EC0F7C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628 970</w:t>
            </w:r>
          </w:p>
        </w:tc>
        <w:tc>
          <w:tcPr>
            <w:tcW w:w="1960" w:type="dxa"/>
          </w:tcPr>
          <w:p w14:paraId="0BEECC7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580 850</w:t>
            </w:r>
          </w:p>
        </w:tc>
        <w:tc>
          <w:tcPr>
            <w:tcW w:w="1960" w:type="dxa"/>
          </w:tcPr>
          <w:p w14:paraId="6325A62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383 679</w:t>
            </w:r>
          </w:p>
        </w:tc>
      </w:tr>
      <w:tr w:rsidR="001F600C" w:rsidRPr="00285D58" w14:paraId="15FAC341" w14:textId="77777777" w:rsidTr="00242093">
        <w:trPr>
          <w:trHeight w:val="283"/>
          <w:jc w:val="center"/>
        </w:trPr>
        <w:tc>
          <w:tcPr>
            <w:tcW w:w="1148" w:type="dxa"/>
          </w:tcPr>
          <w:p w14:paraId="567561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960" w:type="dxa"/>
          </w:tcPr>
          <w:p w14:paraId="70269A5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336 426</w:t>
            </w:r>
          </w:p>
        </w:tc>
        <w:tc>
          <w:tcPr>
            <w:tcW w:w="1960" w:type="dxa"/>
          </w:tcPr>
          <w:p w14:paraId="13FBC0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630 054</w:t>
            </w:r>
          </w:p>
        </w:tc>
        <w:tc>
          <w:tcPr>
            <w:tcW w:w="1960" w:type="dxa"/>
          </w:tcPr>
          <w:p w14:paraId="3C278B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578 683</w:t>
            </w:r>
          </w:p>
        </w:tc>
        <w:tc>
          <w:tcPr>
            <w:tcW w:w="1960" w:type="dxa"/>
          </w:tcPr>
          <w:p w14:paraId="542120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387 797</w:t>
            </w:r>
          </w:p>
        </w:tc>
      </w:tr>
      <w:tr w:rsidR="001F600C" w:rsidRPr="00285D58" w14:paraId="0D8BFB27" w14:textId="77777777" w:rsidTr="00242093">
        <w:trPr>
          <w:trHeight w:val="283"/>
          <w:jc w:val="center"/>
        </w:trPr>
        <w:tc>
          <w:tcPr>
            <w:tcW w:w="1148" w:type="dxa"/>
          </w:tcPr>
          <w:p w14:paraId="5021637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960" w:type="dxa"/>
          </w:tcPr>
          <w:p w14:paraId="2BF09CD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337 314</w:t>
            </w:r>
          </w:p>
        </w:tc>
        <w:tc>
          <w:tcPr>
            <w:tcW w:w="1960" w:type="dxa"/>
          </w:tcPr>
          <w:p w14:paraId="48BD1C0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631 165</w:t>
            </w:r>
          </w:p>
        </w:tc>
        <w:tc>
          <w:tcPr>
            <w:tcW w:w="1960" w:type="dxa"/>
          </w:tcPr>
          <w:p w14:paraId="19E8F6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576 461</w:t>
            </w:r>
          </w:p>
        </w:tc>
        <w:tc>
          <w:tcPr>
            <w:tcW w:w="1960" w:type="dxa"/>
          </w:tcPr>
          <w:p w14:paraId="19347C2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392 018</w:t>
            </w:r>
          </w:p>
        </w:tc>
      </w:tr>
      <w:tr w:rsidR="001F600C" w:rsidRPr="00285D58" w14:paraId="2A0B946D" w14:textId="77777777" w:rsidTr="00242093">
        <w:trPr>
          <w:trHeight w:val="283"/>
          <w:jc w:val="center"/>
        </w:trPr>
        <w:tc>
          <w:tcPr>
            <w:tcW w:w="1148" w:type="dxa"/>
          </w:tcPr>
          <w:p w14:paraId="4E2EBA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960" w:type="dxa"/>
          </w:tcPr>
          <w:p w14:paraId="71C3BD3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338 224</w:t>
            </w:r>
          </w:p>
        </w:tc>
        <w:tc>
          <w:tcPr>
            <w:tcW w:w="1960" w:type="dxa"/>
          </w:tcPr>
          <w:p w14:paraId="7D3F271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632 303</w:t>
            </w:r>
          </w:p>
        </w:tc>
        <w:tc>
          <w:tcPr>
            <w:tcW w:w="1960" w:type="dxa"/>
          </w:tcPr>
          <w:p w14:paraId="7ACBB96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574 186</w:t>
            </w:r>
          </w:p>
        </w:tc>
        <w:tc>
          <w:tcPr>
            <w:tcW w:w="1960" w:type="dxa"/>
          </w:tcPr>
          <w:p w14:paraId="7495989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396 341</w:t>
            </w:r>
          </w:p>
        </w:tc>
      </w:tr>
      <w:tr w:rsidR="001F600C" w:rsidRPr="00285D58" w14:paraId="02492023" w14:textId="77777777" w:rsidTr="00242093">
        <w:trPr>
          <w:trHeight w:val="283"/>
          <w:jc w:val="center"/>
        </w:trPr>
        <w:tc>
          <w:tcPr>
            <w:tcW w:w="1148" w:type="dxa"/>
          </w:tcPr>
          <w:p w14:paraId="1949DC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960" w:type="dxa"/>
          </w:tcPr>
          <w:p w14:paraId="41A308A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339 156</w:t>
            </w:r>
          </w:p>
        </w:tc>
        <w:tc>
          <w:tcPr>
            <w:tcW w:w="1960" w:type="dxa"/>
          </w:tcPr>
          <w:p w14:paraId="2690A10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633 467</w:t>
            </w:r>
          </w:p>
        </w:tc>
        <w:tc>
          <w:tcPr>
            <w:tcW w:w="1960" w:type="dxa"/>
          </w:tcPr>
          <w:p w14:paraId="157F3F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571 857</w:t>
            </w:r>
          </w:p>
        </w:tc>
        <w:tc>
          <w:tcPr>
            <w:tcW w:w="1960" w:type="dxa"/>
          </w:tcPr>
          <w:p w14:paraId="4DA65C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400 766</w:t>
            </w:r>
          </w:p>
        </w:tc>
      </w:tr>
      <w:tr w:rsidR="001F600C" w:rsidRPr="00285D58" w14:paraId="164FD036" w14:textId="77777777" w:rsidTr="00242093">
        <w:trPr>
          <w:trHeight w:val="283"/>
          <w:jc w:val="center"/>
        </w:trPr>
        <w:tc>
          <w:tcPr>
            <w:tcW w:w="1148" w:type="dxa"/>
          </w:tcPr>
          <w:p w14:paraId="4A629F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960" w:type="dxa"/>
          </w:tcPr>
          <w:p w14:paraId="44835C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340 109</w:t>
            </w:r>
          </w:p>
        </w:tc>
        <w:tc>
          <w:tcPr>
            <w:tcW w:w="1960" w:type="dxa"/>
          </w:tcPr>
          <w:p w14:paraId="7E9292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634 659</w:t>
            </w:r>
          </w:p>
        </w:tc>
        <w:tc>
          <w:tcPr>
            <w:tcW w:w="1960" w:type="dxa"/>
          </w:tcPr>
          <w:p w14:paraId="58045A2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569 474</w:t>
            </w:r>
          </w:p>
        </w:tc>
        <w:tc>
          <w:tcPr>
            <w:tcW w:w="1960" w:type="dxa"/>
          </w:tcPr>
          <w:p w14:paraId="3A02BE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405 294</w:t>
            </w:r>
          </w:p>
        </w:tc>
      </w:tr>
      <w:tr w:rsidR="001F600C" w:rsidRPr="00285D58" w14:paraId="7DC12F82" w14:textId="77777777" w:rsidTr="00242093">
        <w:trPr>
          <w:trHeight w:val="283"/>
          <w:jc w:val="center"/>
        </w:trPr>
        <w:tc>
          <w:tcPr>
            <w:tcW w:w="1148" w:type="dxa"/>
          </w:tcPr>
          <w:p w14:paraId="0EF36A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960" w:type="dxa"/>
          </w:tcPr>
          <w:p w14:paraId="2B395F8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341 084</w:t>
            </w:r>
          </w:p>
        </w:tc>
        <w:tc>
          <w:tcPr>
            <w:tcW w:w="1960" w:type="dxa"/>
          </w:tcPr>
          <w:p w14:paraId="531284D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635 877</w:t>
            </w:r>
          </w:p>
        </w:tc>
        <w:tc>
          <w:tcPr>
            <w:tcW w:w="1960" w:type="dxa"/>
          </w:tcPr>
          <w:p w14:paraId="087F6BA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567 037</w:t>
            </w:r>
          </w:p>
        </w:tc>
        <w:tc>
          <w:tcPr>
            <w:tcW w:w="1960" w:type="dxa"/>
          </w:tcPr>
          <w:p w14:paraId="1B50971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409 924</w:t>
            </w:r>
          </w:p>
        </w:tc>
      </w:tr>
      <w:tr w:rsidR="001F600C" w:rsidRPr="00285D58" w14:paraId="006EF4ED" w14:textId="77777777" w:rsidTr="00242093">
        <w:trPr>
          <w:trHeight w:val="283"/>
          <w:jc w:val="center"/>
        </w:trPr>
        <w:tc>
          <w:tcPr>
            <w:tcW w:w="1148" w:type="dxa"/>
          </w:tcPr>
          <w:p w14:paraId="77488C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960" w:type="dxa"/>
          </w:tcPr>
          <w:p w14:paraId="3542271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342 080</w:t>
            </w:r>
          </w:p>
        </w:tc>
        <w:tc>
          <w:tcPr>
            <w:tcW w:w="1960" w:type="dxa"/>
          </w:tcPr>
          <w:p w14:paraId="45E1B60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637 122</w:t>
            </w:r>
          </w:p>
        </w:tc>
        <w:tc>
          <w:tcPr>
            <w:tcW w:w="1960" w:type="dxa"/>
          </w:tcPr>
          <w:p w14:paraId="7F1118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564 546</w:t>
            </w:r>
          </w:p>
        </w:tc>
        <w:tc>
          <w:tcPr>
            <w:tcW w:w="1960" w:type="dxa"/>
          </w:tcPr>
          <w:p w14:paraId="4DDBB30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414 657</w:t>
            </w:r>
          </w:p>
        </w:tc>
      </w:tr>
      <w:tr w:rsidR="001F600C" w:rsidRPr="00285D58" w14:paraId="31A42F8D" w14:textId="77777777" w:rsidTr="00242093">
        <w:trPr>
          <w:trHeight w:val="283"/>
          <w:jc w:val="center"/>
        </w:trPr>
        <w:tc>
          <w:tcPr>
            <w:tcW w:w="1148" w:type="dxa"/>
          </w:tcPr>
          <w:p w14:paraId="3BB6C7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960" w:type="dxa"/>
          </w:tcPr>
          <w:p w14:paraId="6E01AB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343 098</w:t>
            </w:r>
          </w:p>
        </w:tc>
        <w:tc>
          <w:tcPr>
            <w:tcW w:w="1960" w:type="dxa"/>
          </w:tcPr>
          <w:p w14:paraId="511899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638 395</w:t>
            </w:r>
          </w:p>
        </w:tc>
        <w:tc>
          <w:tcPr>
            <w:tcW w:w="1960" w:type="dxa"/>
          </w:tcPr>
          <w:p w14:paraId="37C9A2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562 001</w:t>
            </w:r>
          </w:p>
        </w:tc>
        <w:tc>
          <w:tcPr>
            <w:tcW w:w="1960" w:type="dxa"/>
          </w:tcPr>
          <w:p w14:paraId="4D68341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419 492</w:t>
            </w:r>
          </w:p>
        </w:tc>
      </w:tr>
      <w:tr w:rsidR="001F600C" w:rsidRPr="00285D58" w14:paraId="409467F4" w14:textId="77777777" w:rsidTr="00242093">
        <w:trPr>
          <w:trHeight w:val="283"/>
          <w:jc w:val="center"/>
        </w:trPr>
        <w:tc>
          <w:tcPr>
            <w:tcW w:w="1148" w:type="dxa"/>
          </w:tcPr>
          <w:p w14:paraId="02C107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960" w:type="dxa"/>
          </w:tcPr>
          <w:p w14:paraId="4239F98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344 138</w:t>
            </w:r>
          </w:p>
        </w:tc>
        <w:tc>
          <w:tcPr>
            <w:tcW w:w="1960" w:type="dxa"/>
          </w:tcPr>
          <w:p w14:paraId="4525EF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639 694</w:t>
            </w:r>
          </w:p>
        </w:tc>
        <w:tc>
          <w:tcPr>
            <w:tcW w:w="1960" w:type="dxa"/>
          </w:tcPr>
          <w:p w14:paraId="5B65F6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559 403</w:t>
            </w:r>
          </w:p>
        </w:tc>
        <w:tc>
          <w:tcPr>
            <w:tcW w:w="1960" w:type="dxa"/>
          </w:tcPr>
          <w:p w14:paraId="719D74B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424 429</w:t>
            </w:r>
          </w:p>
        </w:tc>
      </w:tr>
      <w:tr w:rsidR="001F600C" w:rsidRPr="00285D58" w14:paraId="38DC3EFB" w14:textId="77777777" w:rsidTr="00242093">
        <w:trPr>
          <w:trHeight w:val="283"/>
          <w:jc w:val="center"/>
        </w:trPr>
        <w:tc>
          <w:tcPr>
            <w:tcW w:w="1148" w:type="dxa"/>
          </w:tcPr>
          <w:p w14:paraId="1864C7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960" w:type="dxa"/>
          </w:tcPr>
          <w:p w14:paraId="6D4DB9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345 199</w:t>
            </w:r>
          </w:p>
        </w:tc>
        <w:tc>
          <w:tcPr>
            <w:tcW w:w="1960" w:type="dxa"/>
          </w:tcPr>
          <w:p w14:paraId="59C4DD9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641 020</w:t>
            </w:r>
          </w:p>
        </w:tc>
        <w:tc>
          <w:tcPr>
            <w:tcW w:w="1960" w:type="dxa"/>
          </w:tcPr>
          <w:p w14:paraId="7074D9C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556 751</w:t>
            </w:r>
          </w:p>
        </w:tc>
        <w:tc>
          <w:tcPr>
            <w:tcW w:w="1960" w:type="dxa"/>
          </w:tcPr>
          <w:p w14:paraId="4DD3291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429 468</w:t>
            </w:r>
          </w:p>
        </w:tc>
      </w:tr>
      <w:tr w:rsidR="001F600C" w:rsidRPr="00285D58" w14:paraId="70C34CA4" w14:textId="77777777" w:rsidTr="00242093">
        <w:trPr>
          <w:trHeight w:val="283"/>
          <w:jc w:val="center"/>
        </w:trPr>
        <w:tc>
          <w:tcPr>
            <w:tcW w:w="1148" w:type="dxa"/>
          </w:tcPr>
          <w:p w14:paraId="746905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960" w:type="dxa"/>
          </w:tcPr>
          <w:p w14:paraId="7BF3330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346 076</w:t>
            </w:r>
          </w:p>
        </w:tc>
        <w:tc>
          <w:tcPr>
            <w:tcW w:w="1960" w:type="dxa"/>
          </w:tcPr>
          <w:p w14:paraId="3BF8E6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642 118</w:t>
            </w:r>
          </w:p>
        </w:tc>
        <w:tc>
          <w:tcPr>
            <w:tcW w:w="1960" w:type="dxa"/>
          </w:tcPr>
          <w:p w14:paraId="56C1425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554 556</w:t>
            </w:r>
          </w:p>
        </w:tc>
        <w:tc>
          <w:tcPr>
            <w:tcW w:w="1960" w:type="dxa"/>
          </w:tcPr>
          <w:p w14:paraId="4F1B98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433 638</w:t>
            </w:r>
          </w:p>
        </w:tc>
      </w:tr>
    </w:tbl>
    <w:p w14:paraId="0F6015E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74362A18" w14:textId="77777777" w:rsidR="001F600C" w:rsidRPr="00285D58" w:rsidRDefault="001F600C" w:rsidP="008D1FFF">
      <w:pPr>
        <w:spacing w:line="276" w:lineRule="auto"/>
        <w:jc w:val="both"/>
        <w:rPr>
          <w:rFonts w:asciiTheme="minorHAnsi" w:eastAsia="Calibri" w:hAnsiTheme="minorHAnsi" w:cstheme="minorHAnsi"/>
        </w:rPr>
      </w:pPr>
    </w:p>
    <w:p w14:paraId="5CF9C45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Cálculo del volumen de tránsito vehicular</w:t>
      </w:r>
    </w:p>
    <w:p w14:paraId="74EF287B" w14:textId="77777777" w:rsidR="001F600C" w:rsidRPr="00285D58" w:rsidRDefault="001F600C" w:rsidP="008D1FFF">
      <w:pPr>
        <w:spacing w:line="276" w:lineRule="auto"/>
        <w:ind w:firstLine="567"/>
        <w:jc w:val="both"/>
        <w:rPr>
          <w:rFonts w:asciiTheme="minorHAnsi" w:eastAsia="Calibri" w:hAnsiTheme="minorHAnsi" w:cstheme="minorHAnsi"/>
        </w:rPr>
      </w:pPr>
    </w:p>
    <w:p w14:paraId="15F0EA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realizó considerando el flujo anual de turistas en cada zona del estudio, como se muestra en la Tabla 4 y teniendo en cuenta los siguientes criterios:</w:t>
      </w:r>
    </w:p>
    <w:p w14:paraId="566D691B" w14:textId="77777777" w:rsidR="001F600C" w:rsidRPr="00285D58" w:rsidRDefault="001F600C" w:rsidP="008D1FFF">
      <w:pPr>
        <w:spacing w:line="276" w:lineRule="auto"/>
        <w:ind w:firstLine="567"/>
        <w:jc w:val="both"/>
        <w:rPr>
          <w:rFonts w:asciiTheme="minorHAnsi" w:eastAsia="Calibri" w:hAnsiTheme="minorHAnsi" w:cstheme="minorHAnsi"/>
        </w:rPr>
      </w:pPr>
    </w:p>
    <w:p w14:paraId="3E662373"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base al flujo anual de turistas, se calculó el volumen diario de turistas considerando los 365 días correspondientes a un año, según se indica en Tabla 5.</w:t>
      </w:r>
    </w:p>
    <w:p w14:paraId="6F6AC92B" w14:textId="77777777" w:rsidR="001F600C" w:rsidRPr="00285D58" w:rsidRDefault="001F600C" w:rsidP="008D1FFF">
      <w:pPr>
        <w:spacing w:line="276" w:lineRule="auto"/>
        <w:ind w:firstLine="567"/>
        <w:jc w:val="both"/>
        <w:rPr>
          <w:rFonts w:asciiTheme="minorHAnsi" w:eastAsia="Calibri" w:hAnsiTheme="minorHAnsi" w:cstheme="minorHAnsi"/>
        </w:rPr>
      </w:pPr>
    </w:p>
    <w:p w14:paraId="6EB46104" w14:textId="3DE8A0A6"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VOLUMEN PROMEDIO DIARIO DE TURISTAS</w:t>
      </w:r>
    </w:p>
    <w:tbl>
      <w:tblPr>
        <w:tblW w:w="898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48"/>
        <w:gridCol w:w="1960"/>
        <w:gridCol w:w="1960"/>
        <w:gridCol w:w="1960"/>
        <w:gridCol w:w="1960"/>
      </w:tblGrid>
      <w:tr w:rsidR="001F600C" w:rsidRPr="00285D58" w14:paraId="19A77D47" w14:textId="77777777" w:rsidTr="00242093">
        <w:trPr>
          <w:trHeight w:val="454"/>
          <w:jc w:val="center"/>
        </w:trPr>
        <w:tc>
          <w:tcPr>
            <w:tcW w:w="1148" w:type="dxa"/>
            <w:vMerge w:val="restart"/>
            <w:shd w:val="clear" w:color="auto" w:fill="E7E6E6" w:themeFill="background2"/>
          </w:tcPr>
          <w:p w14:paraId="18FAD3F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Año</w:t>
            </w:r>
          </w:p>
        </w:tc>
        <w:tc>
          <w:tcPr>
            <w:tcW w:w="1960" w:type="dxa"/>
            <w:shd w:val="clear" w:color="auto" w:fill="E7E6E6" w:themeFill="background2"/>
          </w:tcPr>
          <w:p w14:paraId="69A2416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Kiuñalla</w:t>
            </w:r>
          </w:p>
        </w:tc>
        <w:tc>
          <w:tcPr>
            <w:tcW w:w="1960" w:type="dxa"/>
            <w:shd w:val="clear" w:color="auto" w:fill="E7E6E6" w:themeFill="background2"/>
          </w:tcPr>
          <w:p w14:paraId="10B51A9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Entran por Abra San Juan</w:t>
            </w:r>
          </w:p>
        </w:tc>
        <w:tc>
          <w:tcPr>
            <w:tcW w:w="1960" w:type="dxa"/>
            <w:shd w:val="clear" w:color="auto" w:fill="E7E6E6" w:themeFill="background2"/>
          </w:tcPr>
          <w:p w14:paraId="0EC9CF7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Kiuñalla</w:t>
            </w:r>
          </w:p>
        </w:tc>
        <w:tc>
          <w:tcPr>
            <w:tcW w:w="1960" w:type="dxa"/>
            <w:shd w:val="clear" w:color="auto" w:fill="E7E6E6" w:themeFill="background2"/>
          </w:tcPr>
          <w:p w14:paraId="6F292CC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Salen por Abra San Juan</w:t>
            </w:r>
          </w:p>
        </w:tc>
      </w:tr>
      <w:tr w:rsidR="001F600C" w:rsidRPr="00285D58" w14:paraId="0BC76805" w14:textId="77777777" w:rsidTr="00242093">
        <w:trPr>
          <w:trHeight w:val="283"/>
          <w:jc w:val="center"/>
        </w:trPr>
        <w:tc>
          <w:tcPr>
            <w:tcW w:w="1148" w:type="dxa"/>
            <w:vMerge/>
            <w:shd w:val="clear" w:color="auto" w:fill="E7E6E6" w:themeFill="background2"/>
          </w:tcPr>
          <w:p w14:paraId="497DBC1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b/>
                <w:bCs/>
              </w:rPr>
            </w:pPr>
          </w:p>
        </w:tc>
        <w:tc>
          <w:tcPr>
            <w:tcW w:w="1960" w:type="dxa"/>
            <w:shd w:val="clear" w:color="auto" w:fill="E7E6E6" w:themeFill="background2"/>
          </w:tcPr>
          <w:p w14:paraId="77A4EFFA"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0D974A2D"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000559AC"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c>
          <w:tcPr>
            <w:tcW w:w="1960" w:type="dxa"/>
            <w:shd w:val="clear" w:color="auto" w:fill="E7E6E6" w:themeFill="background2"/>
          </w:tcPr>
          <w:p w14:paraId="684DCD3C"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Visit./día</w:t>
            </w:r>
          </w:p>
        </w:tc>
      </w:tr>
      <w:tr w:rsidR="001F600C" w:rsidRPr="00285D58" w14:paraId="548CEC57" w14:textId="77777777" w:rsidTr="00242093">
        <w:trPr>
          <w:trHeight w:val="283"/>
          <w:jc w:val="center"/>
        </w:trPr>
        <w:tc>
          <w:tcPr>
            <w:tcW w:w="1148" w:type="dxa"/>
          </w:tcPr>
          <w:p w14:paraId="7BEE34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960" w:type="dxa"/>
          </w:tcPr>
          <w:p w14:paraId="7C5D09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903</w:t>
            </w:r>
          </w:p>
        </w:tc>
        <w:tc>
          <w:tcPr>
            <w:tcW w:w="1960" w:type="dxa"/>
          </w:tcPr>
          <w:p w14:paraId="184E6B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1 703</w:t>
            </w:r>
          </w:p>
        </w:tc>
        <w:tc>
          <w:tcPr>
            <w:tcW w:w="1960" w:type="dxa"/>
          </w:tcPr>
          <w:p w14:paraId="1390E93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1 634</w:t>
            </w:r>
          </w:p>
        </w:tc>
        <w:tc>
          <w:tcPr>
            <w:tcW w:w="1960" w:type="dxa"/>
          </w:tcPr>
          <w:p w14:paraId="395031A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972</w:t>
            </w:r>
          </w:p>
        </w:tc>
      </w:tr>
      <w:tr w:rsidR="001F600C" w:rsidRPr="00285D58" w14:paraId="50358BC0" w14:textId="77777777" w:rsidTr="00242093">
        <w:trPr>
          <w:trHeight w:val="283"/>
          <w:jc w:val="center"/>
        </w:trPr>
        <w:tc>
          <w:tcPr>
            <w:tcW w:w="1148" w:type="dxa"/>
          </w:tcPr>
          <w:p w14:paraId="3D53B3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960" w:type="dxa"/>
          </w:tcPr>
          <w:p w14:paraId="4F1267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905</w:t>
            </w:r>
          </w:p>
        </w:tc>
        <w:tc>
          <w:tcPr>
            <w:tcW w:w="1960" w:type="dxa"/>
          </w:tcPr>
          <w:p w14:paraId="102584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1 705</w:t>
            </w:r>
          </w:p>
        </w:tc>
        <w:tc>
          <w:tcPr>
            <w:tcW w:w="1960" w:type="dxa"/>
          </w:tcPr>
          <w:p w14:paraId="0A556E9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1 629</w:t>
            </w:r>
          </w:p>
        </w:tc>
        <w:tc>
          <w:tcPr>
            <w:tcW w:w="1960" w:type="dxa"/>
          </w:tcPr>
          <w:p w14:paraId="0A7F498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981</w:t>
            </w:r>
          </w:p>
        </w:tc>
      </w:tr>
      <w:tr w:rsidR="001F600C" w:rsidRPr="00285D58" w14:paraId="420EB8E8" w14:textId="77777777" w:rsidTr="00242093">
        <w:trPr>
          <w:trHeight w:val="283"/>
          <w:jc w:val="center"/>
        </w:trPr>
        <w:tc>
          <w:tcPr>
            <w:tcW w:w="1148" w:type="dxa"/>
          </w:tcPr>
          <w:p w14:paraId="313F235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960" w:type="dxa"/>
          </w:tcPr>
          <w:p w14:paraId="5E3A70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907</w:t>
            </w:r>
          </w:p>
        </w:tc>
        <w:tc>
          <w:tcPr>
            <w:tcW w:w="1960" w:type="dxa"/>
          </w:tcPr>
          <w:p w14:paraId="02F61B8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1 707</w:t>
            </w:r>
          </w:p>
        </w:tc>
        <w:tc>
          <w:tcPr>
            <w:tcW w:w="1960" w:type="dxa"/>
          </w:tcPr>
          <w:p w14:paraId="368B89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1 624</w:t>
            </w:r>
          </w:p>
        </w:tc>
        <w:tc>
          <w:tcPr>
            <w:tcW w:w="1960" w:type="dxa"/>
          </w:tcPr>
          <w:p w14:paraId="2220093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990</w:t>
            </w:r>
          </w:p>
        </w:tc>
      </w:tr>
      <w:tr w:rsidR="001F600C" w:rsidRPr="00285D58" w14:paraId="3E5D3695" w14:textId="77777777" w:rsidTr="00242093">
        <w:trPr>
          <w:trHeight w:val="283"/>
          <w:jc w:val="center"/>
        </w:trPr>
        <w:tc>
          <w:tcPr>
            <w:tcW w:w="1148" w:type="dxa"/>
          </w:tcPr>
          <w:p w14:paraId="49D877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960" w:type="dxa"/>
          </w:tcPr>
          <w:p w14:paraId="105AD36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909</w:t>
            </w:r>
          </w:p>
        </w:tc>
        <w:tc>
          <w:tcPr>
            <w:tcW w:w="1960" w:type="dxa"/>
          </w:tcPr>
          <w:p w14:paraId="076C24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1 710</w:t>
            </w:r>
          </w:p>
        </w:tc>
        <w:tc>
          <w:tcPr>
            <w:tcW w:w="1960" w:type="dxa"/>
          </w:tcPr>
          <w:p w14:paraId="5AD084A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1 619</w:t>
            </w:r>
          </w:p>
        </w:tc>
        <w:tc>
          <w:tcPr>
            <w:tcW w:w="1960" w:type="dxa"/>
          </w:tcPr>
          <w:p w14:paraId="0C7D4F7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999</w:t>
            </w:r>
          </w:p>
        </w:tc>
      </w:tr>
      <w:tr w:rsidR="001F600C" w:rsidRPr="00285D58" w14:paraId="0B1CD263" w14:textId="77777777" w:rsidTr="00242093">
        <w:trPr>
          <w:trHeight w:val="283"/>
          <w:jc w:val="center"/>
        </w:trPr>
        <w:tc>
          <w:tcPr>
            <w:tcW w:w="1148" w:type="dxa"/>
          </w:tcPr>
          <w:p w14:paraId="1903C3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960" w:type="dxa"/>
          </w:tcPr>
          <w:p w14:paraId="40618A0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911</w:t>
            </w:r>
          </w:p>
        </w:tc>
        <w:tc>
          <w:tcPr>
            <w:tcW w:w="1960" w:type="dxa"/>
          </w:tcPr>
          <w:p w14:paraId="78F8FB7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1 713</w:t>
            </w:r>
          </w:p>
        </w:tc>
        <w:tc>
          <w:tcPr>
            <w:tcW w:w="1960" w:type="dxa"/>
          </w:tcPr>
          <w:p w14:paraId="02D4FF8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1 614</w:t>
            </w:r>
          </w:p>
        </w:tc>
        <w:tc>
          <w:tcPr>
            <w:tcW w:w="1960" w:type="dxa"/>
          </w:tcPr>
          <w:p w14:paraId="405B56C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1 009</w:t>
            </w:r>
          </w:p>
        </w:tc>
      </w:tr>
      <w:tr w:rsidR="001F600C" w:rsidRPr="00285D58" w14:paraId="68C82115" w14:textId="77777777" w:rsidTr="00242093">
        <w:trPr>
          <w:trHeight w:val="283"/>
          <w:jc w:val="center"/>
        </w:trPr>
        <w:tc>
          <w:tcPr>
            <w:tcW w:w="1148" w:type="dxa"/>
          </w:tcPr>
          <w:p w14:paraId="6BBFCC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960" w:type="dxa"/>
          </w:tcPr>
          <w:p w14:paraId="3802D48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913</w:t>
            </w:r>
          </w:p>
        </w:tc>
        <w:tc>
          <w:tcPr>
            <w:tcW w:w="1960" w:type="dxa"/>
          </w:tcPr>
          <w:p w14:paraId="5FA00A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1 715</w:t>
            </w:r>
          </w:p>
        </w:tc>
        <w:tc>
          <w:tcPr>
            <w:tcW w:w="1960" w:type="dxa"/>
          </w:tcPr>
          <w:p w14:paraId="19BF80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1 609</w:t>
            </w:r>
          </w:p>
        </w:tc>
        <w:tc>
          <w:tcPr>
            <w:tcW w:w="1960" w:type="dxa"/>
          </w:tcPr>
          <w:p w14:paraId="62B5854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1 020</w:t>
            </w:r>
          </w:p>
        </w:tc>
      </w:tr>
      <w:tr w:rsidR="001F600C" w:rsidRPr="00285D58" w14:paraId="04B3B9A5" w14:textId="77777777" w:rsidTr="00242093">
        <w:trPr>
          <w:trHeight w:val="283"/>
          <w:jc w:val="center"/>
        </w:trPr>
        <w:tc>
          <w:tcPr>
            <w:tcW w:w="1148" w:type="dxa"/>
          </w:tcPr>
          <w:p w14:paraId="60AA06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960" w:type="dxa"/>
          </w:tcPr>
          <w:p w14:paraId="75C2C83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915</w:t>
            </w:r>
          </w:p>
        </w:tc>
        <w:tc>
          <w:tcPr>
            <w:tcW w:w="1960" w:type="dxa"/>
          </w:tcPr>
          <w:p w14:paraId="4C86F8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1 718</w:t>
            </w:r>
          </w:p>
        </w:tc>
        <w:tc>
          <w:tcPr>
            <w:tcW w:w="1960" w:type="dxa"/>
          </w:tcPr>
          <w:p w14:paraId="70FE44C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1 603</w:t>
            </w:r>
          </w:p>
        </w:tc>
        <w:tc>
          <w:tcPr>
            <w:tcW w:w="1960" w:type="dxa"/>
          </w:tcPr>
          <w:p w14:paraId="65A1A1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1 030</w:t>
            </w:r>
          </w:p>
        </w:tc>
      </w:tr>
      <w:tr w:rsidR="001F600C" w:rsidRPr="00285D58" w14:paraId="3DA04677" w14:textId="77777777" w:rsidTr="00242093">
        <w:trPr>
          <w:trHeight w:val="283"/>
          <w:jc w:val="center"/>
        </w:trPr>
        <w:tc>
          <w:tcPr>
            <w:tcW w:w="1148" w:type="dxa"/>
          </w:tcPr>
          <w:p w14:paraId="7DE5948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960" w:type="dxa"/>
          </w:tcPr>
          <w:p w14:paraId="6B80EC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918</w:t>
            </w:r>
          </w:p>
        </w:tc>
        <w:tc>
          <w:tcPr>
            <w:tcW w:w="1960" w:type="dxa"/>
          </w:tcPr>
          <w:p w14:paraId="4BFC8C3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1 721</w:t>
            </w:r>
          </w:p>
        </w:tc>
        <w:tc>
          <w:tcPr>
            <w:tcW w:w="1960" w:type="dxa"/>
          </w:tcPr>
          <w:p w14:paraId="329AEA2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1 598</w:t>
            </w:r>
          </w:p>
        </w:tc>
        <w:tc>
          <w:tcPr>
            <w:tcW w:w="1960" w:type="dxa"/>
          </w:tcPr>
          <w:p w14:paraId="7C149B8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1 041</w:t>
            </w:r>
          </w:p>
        </w:tc>
      </w:tr>
      <w:tr w:rsidR="001F600C" w:rsidRPr="00285D58" w14:paraId="49BFE931" w14:textId="77777777" w:rsidTr="00242093">
        <w:trPr>
          <w:trHeight w:val="283"/>
          <w:jc w:val="center"/>
        </w:trPr>
        <w:tc>
          <w:tcPr>
            <w:tcW w:w="1148" w:type="dxa"/>
          </w:tcPr>
          <w:p w14:paraId="48BC1F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960" w:type="dxa"/>
          </w:tcPr>
          <w:p w14:paraId="741B88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920</w:t>
            </w:r>
          </w:p>
        </w:tc>
        <w:tc>
          <w:tcPr>
            <w:tcW w:w="1960" w:type="dxa"/>
          </w:tcPr>
          <w:p w14:paraId="5F528E1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1 724</w:t>
            </w:r>
          </w:p>
        </w:tc>
        <w:tc>
          <w:tcPr>
            <w:tcW w:w="1960" w:type="dxa"/>
          </w:tcPr>
          <w:p w14:paraId="7D21245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1 592</w:t>
            </w:r>
          </w:p>
        </w:tc>
        <w:tc>
          <w:tcPr>
            <w:tcW w:w="1960" w:type="dxa"/>
          </w:tcPr>
          <w:p w14:paraId="7B7B71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1 052</w:t>
            </w:r>
          </w:p>
        </w:tc>
      </w:tr>
      <w:tr w:rsidR="001F600C" w:rsidRPr="00285D58" w14:paraId="0971D528" w14:textId="77777777" w:rsidTr="00242093">
        <w:trPr>
          <w:trHeight w:val="283"/>
          <w:jc w:val="center"/>
        </w:trPr>
        <w:tc>
          <w:tcPr>
            <w:tcW w:w="1148" w:type="dxa"/>
          </w:tcPr>
          <w:p w14:paraId="6261D4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960" w:type="dxa"/>
          </w:tcPr>
          <w:p w14:paraId="5E2F265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922</w:t>
            </w:r>
          </w:p>
        </w:tc>
        <w:tc>
          <w:tcPr>
            <w:tcW w:w="1960" w:type="dxa"/>
          </w:tcPr>
          <w:p w14:paraId="51DF3A4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1 727</w:t>
            </w:r>
          </w:p>
        </w:tc>
        <w:tc>
          <w:tcPr>
            <w:tcW w:w="1960" w:type="dxa"/>
          </w:tcPr>
          <w:p w14:paraId="7BCB07E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1 586</w:t>
            </w:r>
          </w:p>
        </w:tc>
        <w:tc>
          <w:tcPr>
            <w:tcW w:w="1960" w:type="dxa"/>
          </w:tcPr>
          <w:p w14:paraId="36FC55B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1 063</w:t>
            </w:r>
          </w:p>
        </w:tc>
      </w:tr>
      <w:tr w:rsidR="001F600C" w:rsidRPr="00285D58" w14:paraId="3CC635CC" w14:textId="77777777" w:rsidTr="00242093">
        <w:trPr>
          <w:trHeight w:val="283"/>
          <w:jc w:val="center"/>
        </w:trPr>
        <w:tc>
          <w:tcPr>
            <w:tcW w:w="1148" w:type="dxa"/>
          </w:tcPr>
          <w:p w14:paraId="6F0B1A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960" w:type="dxa"/>
          </w:tcPr>
          <w:p w14:paraId="180198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925</w:t>
            </w:r>
          </w:p>
        </w:tc>
        <w:tc>
          <w:tcPr>
            <w:tcW w:w="1960" w:type="dxa"/>
          </w:tcPr>
          <w:p w14:paraId="1047E6B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1 730</w:t>
            </w:r>
          </w:p>
        </w:tc>
        <w:tc>
          <w:tcPr>
            <w:tcW w:w="1960" w:type="dxa"/>
          </w:tcPr>
          <w:p w14:paraId="316A0E9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1 580</w:t>
            </w:r>
          </w:p>
        </w:tc>
        <w:tc>
          <w:tcPr>
            <w:tcW w:w="1960" w:type="dxa"/>
          </w:tcPr>
          <w:p w14:paraId="4CBE54C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1 075</w:t>
            </w:r>
          </w:p>
        </w:tc>
      </w:tr>
      <w:tr w:rsidR="001F600C" w:rsidRPr="00285D58" w14:paraId="41AF0FD2" w14:textId="77777777" w:rsidTr="00242093">
        <w:trPr>
          <w:trHeight w:val="283"/>
          <w:jc w:val="center"/>
        </w:trPr>
        <w:tc>
          <w:tcPr>
            <w:tcW w:w="1148" w:type="dxa"/>
          </w:tcPr>
          <w:p w14:paraId="1B0AAA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960" w:type="dxa"/>
          </w:tcPr>
          <w:p w14:paraId="032C7CD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927</w:t>
            </w:r>
          </w:p>
        </w:tc>
        <w:tc>
          <w:tcPr>
            <w:tcW w:w="1960" w:type="dxa"/>
          </w:tcPr>
          <w:p w14:paraId="5CBF06D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1 733</w:t>
            </w:r>
          </w:p>
        </w:tc>
        <w:tc>
          <w:tcPr>
            <w:tcW w:w="1960" w:type="dxa"/>
          </w:tcPr>
          <w:p w14:paraId="27758CA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1 574</w:t>
            </w:r>
          </w:p>
        </w:tc>
        <w:tc>
          <w:tcPr>
            <w:tcW w:w="1960" w:type="dxa"/>
          </w:tcPr>
          <w:p w14:paraId="63A1651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1 086</w:t>
            </w:r>
          </w:p>
        </w:tc>
      </w:tr>
      <w:tr w:rsidR="001F600C" w:rsidRPr="00285D58" w14:paraId="5937C916" w14:textId="77777777" w:rsidTr="00242093">
        <w:trPr>
          <w:trHeight w:val="283"/>
          <w:jc w:val="center"/>
        </w:trPr>
        <w:tc>
          <w:tcPr>
            <w:tcW w:w="1148" w:type="dxa"/>
          </w:tcPr>
          <w:p w14:paraId="73FED2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960" w:type="dxa"/>
          </w:tcPr>
          <w:p w14:paraId="11DFDD8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930</w:t>
            </w:r>
          </w:p>
        </w:tc>
        <w:tc>
          <w:tcPr>
            <w:tcW w:w="1960" w:type="dxa"/>
          </w:tcPr>
          <w:p w14:paraId="5441BB4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1 736</w:t>
            </w:r>
          </w:p>
        </w:tc>
        <w:tc>
          <w:tcPr>
            <w:tcW w:w="1960" w:type="dxa"/>
          </w:tcPr>
          <w:p w14:paraId="78BAD1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1 567</w:t>
            </w:r>
          </w:p>
        </w:tc>
        <w:tc>
          <w:tcPr>
            <w:tcW w:w="1960" w:type="dxa"/>
          </w:tcPr>
          <w:p w14:paraId="3200869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1 098</w:t>
            </w:r>
          </w:p>
        </w:tc>
      </w:tr>
      <w:tr w:rsidR="001F600C" w:rsidRPr="00285D58" w14:paraId="046BDC8C" w14:textId="77777777" w:rsidTr="00242093">
        <w:trPr>
          <w:trHeight w:val="283"/>
          <w:jc w:val="center"/>
        </w:trPr>
        <w:tc>
          <w:tcPr>
            <w:tcW w:w="1148" w:type="dxa"/>
          </w:tcPr>
          <w:p w14:paraId="4C2A2B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960" w:type="dxa"/>
          </w:tcPr>
          <w:p w14:paraId="08CE1E2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932</w:t>
            </w:r>
          </w:p>
        </w:tc>
        <w:tc>
          <w:tcPr>
            <w:tcW w:w="1960" w:type="dxa"/>
          </w:tcPr>
          <w:p w14:paraId="6667545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1 739</w:t>
            </w:r>
          </w:p>
        </w:tc>
        <w:tc>
          <w:tcPr>
            <w:tcW w:w="1960" w:type="dxa"/>
          </w:tcPr>
          <w:p w14:paraId="251BAB2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1 561</w:t>
            </w:r>
          </w:p>
        </w:tc>
        <w:tc>
          <w:tcPr>
            <w:tcW w:w="1960" w:type="dxa"/>
          </w:tcPr>
          <w:p w14:paraId="3182DD2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1 111</w:t>
            </w:r>
          </w:p>
        </w:tc>
      </w:tr>
      <w:tr w:rsidR="001F600C" w:rsidRPr="00285D58" w14:paraId="303C7C5C" w14:textId="77777777" w:rsidTr="00242093">
        <w:trPr>
          <w:trHeight w:val="283"/>
          <w:jc w:val="center"/>
        </w:trPr>
        <w:tc>
          <w:tcPr>
            <w:tcW w:w="1148" w:type="dxa"/>
          </w:tcPr>
          <w:p w14:paraId="38F8882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960" w:type="dxa"/>
          </w:tcPr>
          <w:p w14:paraId="318B265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935</w:t>
            </w:r>
          </w:p>
        </w:tc>
        <w:tc>
          <w:tcPr>
            <w:tcW w:w="1960" w:type="dxa"/>
          </w:tcPr>
          <w:p w14:paraId="424AB4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1 743</w:t>
            </w:r>
          </w:p>
        </w:tc>
        <w:tc>
          <w:tcPr>
            <w:tcW w:w="1960" w:type="dxa"/>
          </w:tcPr>
          <w:p w14:paraId="470D4E0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1 554</w:t>
            </w:r>
          </w:p>
        </w:tc>
        <w:tc>
          <w:tcPr>
            <w:tcW w:w="1960" w:type="dxa"/>
          </w:tcPr>
          <w:p w14:paraId="64767A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1 124</w:t>
            </w:r>
          </w:p>
        </w:tc>
      </w:tr>
      <w:tr w:rsidR="001F600C" w:rsidRPr="00285D58" w14:paraId="12B6138F" w14:textId="77777777" w:rsidTr="00242093">
        <w:trPr>
          <w:trHeight w:val="283"/>
          <w:jc w:val="center"/>
        </w:trPr>
        <w:tc>
          <w:tcPr>
            <w:tcW w:w="1148" w:type="dxa"/>
          </w:tcPr>
          <w:p w14:paraId="1B7B95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960" w:type="dxa"/>
          </w:tcPr>
          <w:p w14:paraId="6F143C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938</w:t>
            </w:r>
          </w:p>
        </w:tc>
        <w:tc>
          <w:tcPr>
            <w:tcW w:w="1960" w:type="dxa"/>
          </w:tcPr>
          <w:p w14:paraId="765443A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1 746</w:t>
            </w:r>
          </w:p>
        </w:tc>
        <w:tc>
          <w:tcPr>
            <w:tcW w:w="1960" w:type="dxa"/>
          </w:tcPr>
          <w:p w14:paraId="19B3A9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1 547</w:t>
            </w:r>
          </w:p>
        </w:tc>
        <w:tc>
          <w:tcPr>
            <w:tcW w:w="1960" w:type="dxa"/>
          </w:tcPr>
          <w:p w14:paraId="1C6CBDB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1 137</w:t>
            </w:r>
          </w:p>
        </w:tc>
      </w:tr>
      <w:tr w:rsidR="001F600C" w:rsidRPr="00285D58" w14:paraId="2B0541F9" w14:textId="77777777" w:rsidTr="00242093">
        <w:trPr>
          <w:trHeight w:val="283"/>
          <w:jc w:val="center"/>
        </w:trPr>
        <w:tc>
          <w:tcPr>
            <w:tcW w:w="1148" w:type="dxa"/>
          </w:tcPr>
          <w:p w14:paraId="6E1909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960" w:type="dxa"/>
          </w:tcPr>
          <w:p w14:paraId="5198CCF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940</w:t>
            </w:r>
          </w:p>
        </w:tc>
        <w:tc>
          <w:tcPr>
            <w:tcW w:w="1960" w:type="dxa"/>
          </w:tcPr>
          <w:p w14:paraId="6DFB157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1 750</w:t>
            </w:r>
          </w:p>
        </w:tc>
        <w:tc>
          <w:tcPr>
            <w:tcW w:w="1960" w:type="dxa"/>
          </w:tcPr>
          <w:p w14:paraId="547431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1 540</w:t>
            </w:r>
          </w:p>
        </w:tc>
        <w:tc>
          <w:tcPr>
            <w:tcW w:w="1960" w:type="dxa"/>
          </w:tcPr>
          <w:p w14:paraId="08972F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1 150</w:t>
            </w:r>
          </w:p>
        </w:tc>
      </w:tr>
      <w:tr w:rsidR="001F600C" w:rsidRPr="00285D58" w14:paraId="1BAFE3AA" w14:textId="77777777" w:rsidTr="00242093">
        <w:trPr>
          <w:trHeight w:val="283"/>
          <w:jc w:val="center"/>
        </w:trPr>
        <w:tc>
          <w:tcPr>
            <w:tcW w:w="1148" w:type="dxa"/>
          </w:tcPr>
          <w:p w14:paraId="03C0C1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960" w:type="dxa"/>
          </w:tcPr>
          <w:p w14:paraId="14CA4A5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943</w:t>
            </w:r>
          </w:p>
        </w:tc>
        <w:tc>
          <w:tcPr>
            <w:tcW w:w="1960" w:type="dxa"/>
          </w:tcPr>
          <w:p w14:paraId="2F93E01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1 753</w:t>
            </w:r>
          </w:p>
        </w:tc>
        <w:tc>
          <w:tcPr>
            <w:tcW w:w="1960" w:type="dxa"/>
          </w:tcPr>
          <w:p w14:paraId="5708104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1 533</w:t>
            </w:r>
          </w:p>
        </w:tc>
        <w:tc>
          <w:tcPr>
            <w:tcW w:w="1960" w:type="dxa"/>
          </w:tcPr>
          <w:p w14:paraId="6B64F8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1 163</w:t>
            </w:r>
          </w:p>
        </w:tc>
      </w:tr>
      <w:tr w:rsidR="001F600C" w:rsidRPr="00285D58" w14:paraId="5C033E97" w14:textId="77777777" w:rsidTr="00242093">
        <w:trPr>
          <w:trHeight w:val="283"/>
          <w:jc w:val="center"/>
        </w:trPr>
        <w:tc>
          <w:tcPr>
            <w:tcW w:w="1148" w:type="dxa"/>
          </w:tcPr>
          <w:p w14:paraId="45BDB2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960" w:type="dxa"/>
          </w:tcPr>
          <w:p w14:paraId="197A4AA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946</w:t>
            </w:r>
          </w:p>
        </w:tc>
        <w:tc>
          <w:tcPr>
            <w:tcW w:w="1960" w:type="dxa"/>
          </w:tcPr>
          <w:p w14:paraId="038E36F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1 757</w:t>
            </w:r>
          </w:p>
        </w:tc>
        <w:tc>
          <w:tcPr>
            <w:tcW w:w="1960" w:type="dxa"/>
          </w:tcPr>
          <w:p w14:paraId="01E077B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1 526</w:t>
            </w:r>
          </w:p>
        </w:tc>
        <w:tc>
          <w:tcPr>
            <w:tcW w:w="1960" w:type="dxa"/>
          </w:tcPr>
          <w:p w14:paraId="1B5D0E8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1 177</w:t>
            </w:r>
          </w:p>
        </w:tc>
      </w:tr>
      <w:tr w:rsidR="001F600C" w:rsidRPr="00285D58" w14:paraId="5F577D37" w14:textId="77777777" w:rsidTr="00242093">
        <w:trPr>
          <w:trHeight w:val="283"/>
          <w:jc w:val="center"/>
        </w:trPr>
        <w:tc>
          <w:tcPr>
            <w:tcW w:w="1148" w:type="dxa"/>
          </w:tcPr>
          <w:p w14:paraId="038506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960" w:type="dxa"/>
          </w:tcPr>
          <w:p w14:paraId="216153D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949</w:t>
            </w:r>
          </w:p>
        </w:tc>
        <w:tc>
          <w:tcPr>
            <w:tcW w:w="1960" w:type="dxa"/>
          </w:tcPr>
          <w:p w14:paraId="2DDB03C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1 760</w:t>
            </w:r>
          </w:p>
        </w:tc>
        <w:tc>
          <w:tcPr>
            <w:tcW w:w="1960" w:type="dxa"/>
          </w:tcPr>
          <w:p w14:paraId="462CAF8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1 520</w:t>
            </w:r>
          </w:p>
        </w:tc>
        <w:tc>
          <w:tcPr>
            <w:tcW w:w="1960" w:type="dxa"/>
          </w:tcPr>
          <w:p w14:paraId="3B55A2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1 189</w:t>
            </w:r>
          </w:p>
        </w:tc>
      </w:tr>
    </w:tbl>
    <w:p w14:paraId="3A6B8624" w14:textId="2E0AAEC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4A05E0C7" w14:textId="77777777" w:rsidR="001F600C" w:rsidRPr="00285D58" w:rsidRDefault="001F600C" w:rsidP="008D1FFF">
      <w:pPr>
        <w:spacing w:line="276" w:lineRule="auto"/>
        <w:ind w:firstLine="567"/>
        <w:jc w:val="both"/>
        <w:rPr>
          <w:rFonts w:asciiTheme="minorHAnsi" w:eastAsia="Calibri" w:hAnsiTheme="minorHAnsi" w:cstheme="minorHAnsi"/>
        </w:rPr>
      </w:pPr>
    </w:p>
    <w:p w14:paraId="5E8D19FE" w14:textId="77777777" w:rsidR="001F600C" w:rsidRPr="00285D58" w:rsidRDefault="001F600C" w:rsidP="00A3732C">
      <w:pPr>
        <w:widowControl/>
        <w:numPr>
          <w:ilvl w:val="0"/>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volumen del tránsito vehicular, representado por el IMDA, de cada vía turística se calculó en función a los siguientes criterios:</w:t>
      </w:r>
    </w:p>
    <w:p w14:paraId="662B0E19"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flujo de turistas que entran o salen por cada zona por día determinará el flujo vehicular. </w:t>
      </w:r>
    </w:p>
    <w:p w14:paraId="1CC8B358"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capacidad de los vehículos que transitarán por las vías de acceso. Se prevé buses de pasajeros con 31 asientos además del correspondiente al conductor. Para el cálculo se considera que los buses transportarán en promedio un máximo de 30 turistas.</w:t>
      </w:r>
    </w:p>
    <w:p w14:paraId="5A94FDC6" w14:textId="77777777" w:rsidR="001F600C" w:rsidRPr="00285D58" w:rsidRDefault="001F600C" w:rsidP="00A3732C">
      <w:pPr>
        <w:widowControl/>
        <w:numPr>
          <w:ilvl w:val="1"/>
          <w:numId w:val="1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Cada vehículo tendrá un recorrido de ida y vuelta de acuerdo con los horarios y condiciones de operatividad del transporte por cable. De acuerdo con dichas premisas se muestra el IMDA, en la Tabla 6.</w:t>
      </w:r>
    </w:p>
    <w:p w14:paraId="20D887B9" w14:textId="77777777" w:rsidR="001F600C" w:rsidRPr="00285D58" w:rsidRDefault="001F600C" w:rsidP="008D1FFF">
      <w:pPr>
        <w:spacing w:line="276" w:lineRule="auto"/>
        <w:ind w:firstLine="567"/>
        <w:jc w:val="both"/>
        <w:rPr>
          <w:rFonts w:asciiTheme="minorHAnsi" w:eastAsia="Calibri" w:hAnsiTheme="minorHAnsi" w:cstheme="minorHAnsi"/>
        </w:rPr>
      </w:pPr>
    </w:p>
    <w:p w14:paraId="6394A0F8" w14:textId="12A2D550"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19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VOLUMEN DEL TRÁNSITO VEHICULAR</w:t>
      </w:r>
    </w:p>
    <w:tbl>
      <w:tblPr>
        <w:tblW w:w="7736"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838"/>
        <w:gridCol w:w="851"/>
        <w:gridCol w:w="549"/>
        <w:gridCol w:w="1108"/>
        <w:gridCol w:w="11"/>
        <w:gridCol w:w="1667"/>
        <w:gridCol w:w="11"/>
        <w:gridCol w:w="1690"/>
        <w:gridCol w:w="11"/>
      </w:tblGrid>
      <w:tr w:rsidR="001F600C" w:rsidRPr="00285D58" w14:paraId="68C3FDF5" w14:textId="77777777" w:rsidTr="00242093">
        <w:trPr>
          <w:trHeight w:val="305"/>
          <w:jc w:val="center"/>
        </w:trPr>
        <w:tc>
          <w:tcPr>
            <w:tcW w:w="4357" w:type="dxa"/>
            <w:gridSpan w:val="5"/>
            <w:shd w:val="clear" w:color="auto" w:fill="E7E6E6" w:themeFill="background2"/>
          </w:tcPr>
          <w:p w14:paraId="57F02667"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Vía Turística</w:t>
            </w:r>
          </w:p>
        </w:tc>
        <w:tc>
          <w:tcPr>
            <w:tcW w:w="1678" w:type="dxa"/>
            <w:gridSpan w:val="2"/>
            <w:shd w:val="clear" w:color="auto" w:fill="E7E6E6" w:themeFill="background2"/>
          </w:tcPr>
          <w:p w14:paraId="32FE353B"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E.C. Yanama - E.S. San Juan</w:t>
            </w:r>
          </w:p>
        </w:tc>
        <w:tc>
          <w:tcPr>
            <w:tcW w:w="1701" w:type="dxa"/>
            <w:gridSpan w:val="2"/>
            <w:shd w:val="clear" w:color="auto" w:fill="E7E6E6" w:themeFill="background2"/>
          </w:tcPr>
          <w:p w14:paraId="5D4CDCEB"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Kiuñalla - E.S. Kiuñalla</w:t>
            </w:r>
          </w:p>
        </w:tc>
      </w:tr>
      <w:tr w:rsidR="001F600C" w:rsidRPr="00285D58" w14:paraId="173F2B7A" w14:textId="77777777" w:rsidTr="00242093">
        <w:trPr>
          <w:trHeight w:val="255"/>
          <w:jc w:val="center"/>
        </w:trPr>
        <w:tc>
          <w:tcPr>
            <w:tcW w:w="4357" w:type="dxa"/>
            <w:gridSpan w:val="5"/>
            <w:shd w:val="clear" w:color="auto" w:fill="E7E6E6" w:themeFill="background2"/>
          </w:tcPr>
          <w:p w14:paraId="41F290FF" w14:textId="77777777" w:rsidR="001F600C" w:rsidRPr="00285D58" w:rsidRDefault="001F600C" w:rsidP="008D1FFF">
            <w:pPr>
              <w:spacing w:line="276" w:lineRule="auto"/>
              <w:jc w:val="center"/>
              <w:rPr>
                <w:rFonts w:asciiTheme="minorHAnsi" w:eastAsia="Calibri" w:hAnsiTheme="minorHAnsi" w:cstheme="minorHAnsi"/>
                <w:b/>
                <w:bCs/>
              </w:rPr>
            </w:pPr>
            <w:r w:rsidRPr="00285D58">
              <w:rPr>
                <w:rFonts w:asciiTheme="minorHAnsi" w:eastAsia="Calibri" w:hAnsiTheme="minorHAnsi" w:cstheme="minorHAnsi"/>
                <w:b/>
                <w:bCs/>
              </w:rPr>
              <w:t>Año / IMDA</w:t>
            </w:r>
          </w:p>
        </w:tc>
        <w:tc>
          <w:tcPr>
            <w:tcW w:w="1678" w:type="dxa"/>
            <w:gridSpan w:val="2"/>
            <w:shd w:val="clear" w:color="auto" w:fill="E7E6E6" w:themeFill="background2"/>
          </w:tcPr>
          <w:p w14:paraId="11B15D2F"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veh/día</w:t>
            </w:r>
          </w:p>
        </w:tc>
        <w:tc>
          <w:tcPr>
            <w:tcW w:w="1701" w:type="dxa"/>
            <w:gridSpan w:val="2"/>
            <w:shd w:val="clear" w:color="auto" w:fill="E7E6E6" w:themeFill="background2"/>
          </w:tcPr>
          <w:p w14:paraId="5C507FAE"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veh/día</w:t>
            </w:r>
          </w:p>
        </w:tc>
      </w:tr>
      <w:tr w:rsidR="001F600C" w:rsidRPr="00285D58" w14:paraId="2A9A92B3" w14:textId="77777777" w:rsidTr="00242093">
        <w:trPr>
          <w:gridAfter w:val="1"/>
          <w:wAfter w:w="11" w:type="dxa"/>
          <w:trHeight w:val="284"/>
          <w:jc w:val="center"/>
        </w:trPr>
        <w:tc>
          <w:tcPr>
            <w:tcW w:w="1838" w:type="dxa"/>
            <w:vMerge w:val="restart"/>
          </w:tcPr>
          <w:p w14:paraId="6D73A50F"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t xml:space="preserve">OPERACIÓN Y </w:t>
            </w:r>
            <w:r w:rsidRPr="00285D58">
              <w:rPr>
                <w:rFonts w:asciiTheme="minorHAnsi" w:eastAsia="Calibri" w:hAnsiTheme="minorHAnsi" w:cstheme="minorHAnsi"/>
              </w:rPr>
              <w:lastRenderedPageBreak/>
              <w:t>MANTENIMIENTO</w:t>
            </w:r>
          </w:p>
        </w:tc>
        <w:tc>
          <w:tcPr>
            <w:tcW w:w="851" w:type="dxa"/>
          </w:tcPr>
          <w:p w14:paraId="089024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Año</w:t>
            </w:r>
          </w:p>
        </w:tc>
        <w:tc>
          <w:tcPr>
            <w:tcW w:w="549" w:type="dxa"/>
          </w:tcPr>
          <w:p w14:paraId="1CC45E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108" w:type="dxa"/>
          </w:tcPr>
          <w:p w14:paraId="345C6D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678" w:type="dxa"/>
            <w:gridSpan w:val="2"/>
          </w:tcPr>
          <w:p w14:paraId="58D76EB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178</w:t>
            </w:r>
          </w:p>
        </w:tc>
        <w:tc>
          <w:tcPr>
            <w:tcW w:w="1701" w:type="dxa"/>
            <w:gridSpan w:val="2"/>
          </w:tcPr>
          <w:p w14:paraId="5BBE323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6065C1F2" w14:textId="77777777" w:rsidTr="00242093">
        <w:trPr>
          <w:gridAfter w:val="1"/>
          <w:wAfter w:w="11" w:type="dxa"/>
          <w:trHeight w:val="284"/>
          <w:jc w:val="center"/>
        </w:trPr>
        <w:tc>
          <w:tcPr>
            <w:tcW w:w="1838" w:type="dxa"/>
            <w:vMerge/>
          </w:tcPr>
          <w:p w14:paraId="06FAA18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812F92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6AEE245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108" w:type="dxa"/>
          </w:tcPr>
          <w:p w14:paraId="4CF4F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678" w:type="dxa"/>
            <w:gridSpan w:val="2"/>
          </w:tcPr>
          <w:p w14:paraId="6C4727D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00D0AC1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FF3D57C" w14:textId="77777777" w:rsidTr="00242093">
        <w:trPr>
          <w:gridAfter w:val="1"/>
          <w:wAfter w:w="11" w:type="dxa"/>
          <w:trHeight w:val="284"/>
          <w:jc w:val="center"/>
        </w:trPr>
        <w:tc>
          <w:tcPr>
            <w:tcW w:w="1838" w:type="dxa"/>
            <w:vMerge/>
          </w:tcPr>
          <w:p w14:paraId="3ACE3C7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4F2F8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82B7B1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1108" w:type="dxa"/>
          </w:tcPr>
          <w:p w14:paraId="471EA7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678" w:type="dxa"/>
            <w:gridSpan w:val="2"/>
          </w:tcPr>
          <w:p w14:paraId="7E0535C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28ECCFF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2E8C14D" w14:textId="77777777" w:rsidTr="00242093">
        <w:trPr>
          <w:gridAfter w:val="1"/>
          <w:wAfter w:w="11" w:type="dxa"/>
          <w:trHeight w:val="284"/>
          <w:jc w:val="center"/>
        </w:trPr>
        <w:tc>
          <w:tcPr>
            <w:tcW w:w="1838" w:type="dxa"/>
            <w:vMerge/>
          </w:tcPr>
          <w:p w14:paraId="6851AED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20AD62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69BF3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108" w:type="dxa"/>
          </w:tcPr>
          <w:p w14:paraId="17D279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678" w:type="dxa"/>
            <w:gridSpan w:val="2"/>
          </w:tcPr>
          <w:p w14:paraId="00905A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180</w:t>
            </w:r>
          </w:p>
        </w:tc>
        <w:tc>
          <w:tcPr>
            <w:tcW w:w="1701" w:type="dxa"/>
            <w:gridSpan w:val="2"/>
          </w:tcPr>
          <w:p w14:paraId="3CE4DC6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73443ABB" w14:textId="77777777" w:rsidTr="00242093">
        <w:trPr>
          <w:gridAfter w:val="1"/>
          <w:wAfter w:w="11" w:type="dxa"/>
          <w:trHeight w:val="284"/>
          <w:jc w:val="center"/>
        </w:trPr>
        <w:tc>
          <w:tcPr>
            <w:tcW w:w="1838" w:type="dxa"/>
            <w:vMerge/>
          </w:tcPr>
          <w:p w14:paraId="264C706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D80F9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7F2AA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108" w:type="dxa"/>
          </w:tcPr>
          <w:p w14:paraId="7375A3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678" w:type="dxa"/>
            <w:gridSpan w:val="2"/>
          </w:tcPr>
          <w:p w14:paraId="0304EAB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6EACB90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8159507" w14:textId="77777777" w:rsidTr="00242093">
        <w:trPr>
          <w:gridAfter w:val="1"/>
          <w:wAfter w:w="11" w:type="dxa"/>
          <w:trHeight w:val="284"/>
          <w:jc w:val="center"/>
        </w:trPr>
        <w:tc>
          <w:tcPr>
            <w:tcW w:w="1838" w:type="dxa"/>
            <w:vMerge/>
          </w:tcPr>
          <w:p w14:paraId="1B8E176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352409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29714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108" w:type="dxa"/>
          </w:tcPr>
          <w:p w14:paraId="38F354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678" w:type="dxa"/>
            <w:gridSpan w:val="2"/>
          </w:tcPr>
          <w:p w14:paraId="69EFFEC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370E3BB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24844BE" w14:textId="77777777" w:rsidTr="00242093">
        <w:trPr>
          <w:gridAfter w:val="1"/>
          <w:wAfter w:w="11" w:type="dxa"/>
          <w:trHeight w:val="284"/>
          <w:jc w:val="center"/>
        </w:trPr>
        <w:tc>
          <w:tcPr>
            <w:tcW w:w="1838" w:type="dxa"/>
            <w:vMerge/>
          </w:tcPr>
          <w:p w14:paraId="2F02F43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F5F2D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15CCE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1108" w:type="dxa"/>
          </w:tcPr>
          <w:p w14:paraId="0076BC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678" w:type="dxa"/>
            <w:gridSpan w:val="2"/>
          </w:tcPr>
          <w:p w14:paraId="662E653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182</w:t>
            </w:r>
          </w:p>
        </w:tc>
        <w:tc>
          <w:tcPr>
            <w:tcW w:w="1701" w:type="dxa"/>
            <w:gridSpan w:val="2"/>
          </w:tcPr>
          <w:p w14:paraId="1CEEDAB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32BC80CB" w14:textId="77777777" w:rsidTr="00242093">
        <w:trPr>
          <w:gridAfter w:val="1"/>
          <w:wAfter w:w="11" w:type="dxa"/>
          <w:trHeight w:val="284"/>
          <w:jc w:val="center"/>
        </w:trPr>
        <w:tc>
          <w:tcPr>
            <w:tcW w:w="1838" w:type="dxa"/>
            <w:vMerge/>
          </w:tcPr>
          <w:p w14:paraId="7981E65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76E96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88094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1108" w:type="dxa"/>
          </w:tcPr>
          <w:p w14:paraId="37DB0D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678" w:type="dxa"/>
            <w:gridSpan w:val="2"/>
          </w:tcPr>
          <w:p w14:paraId="69B1B5F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184</w:t>
            </w:r>
          </w:p>
        </w:tc>
        <w:tc>
          <w:tcPr>
            <w:tcW w:w="1701" w:type="dxa"/>
            <w:gridSpan w:val="2"/>
          </w:tcPr>
          <w:p w14:paraId="619F2E3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66FE78C1" w14:textId="77777777" w:rsidTr="00242093">
        <w:trPr>
          <w:gridAfter w:val="1"/>
          <w:wAfter w:w="11" w:type="dxa"/>
          <w:trHeight w:val="284"/>
          <w:jc w:val="center"/>
        </w:trPr>
        <w:tc>
          <w:tcPr>
            <w:tcW w:w="1838" w:type="dxa"/>
            <w:vMerge/>
          </w:tcPr>
          <w:p w14:paraId="04A5C7E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66F2F9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124D40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1108" w:type="dxa"/>
          </w:tcPr>
          <w:p w14:paraId="38A6FD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678" w:type="dxa"/>
            <w:gridSpan w:val="2"/>
          </w:tcPr>
          <w:p w14:paraId="79640C9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184</w:t>
            </w:r>
          </w:p>
        </w:tc>
        <w:tc>
          <w:tcPr>
            <w:tcW w:w="1701" w:type="dxa"/>
            <w:gridSpan w:val="2"/>
          </w:tcPr>
          <w:p w14:paraId="0E4422F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08D4D5A2" w14:textId="77777777" w:rsidTr="00242093">
        <w:trPr>
          <w:gridAfter w:val="1"/>
          <w:wAfter w:w="11" w:type="dxa"/>
          <w:trHeight w:val="284"/>
          <w:jc w:val="center"/>
        </w:trPr>
        <w:tc>
          <w:tcPr>
            <w:tcW w:w="1838" w:type="dxa"/>
            <w:vMerge/>
          </w:tcPr>
          <w:p w14:paraId="4B6B7D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5AED5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F3CF1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1108" w:type="dxa"/>
          </w:tcPr>
          <w:p w14:paraId="701756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678" w:type="dxa"/>
            <w:gridSpan w:val="2"/>
          </w:tcPr>
          <w:p w14:paraId="4A4DBF8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186</w:t>
            </w:r>
          </w:p>
        </w:tc>
        <w:tc>
          <w:tcPr>
            <w:tcW w:w="1701" w:type="dxa"/>
            <w:gridSpan w:val="2"/>
          </w:tcPr>
          <w:p w14:paraId="23B8EFD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222B6113" w14:textId="77777777" w:rsidTr="00242093">
        <w:trPr>
          <w:gridAfter w:val="1"/>
          <w:wAfter w:w="11" w:type="dxa"/>
          <w:trHeight w:val="284"/>
          <w:jc w:val="center"/>
        </w:trPr>
        <w:tc>
          <w:tcPr>
            <w:tcW w:w="1838" w:type="dxa"/>
            <w:vMerge/>
          </w:tcPr>
          <w:p w14:paraId="68145DD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06232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024356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1108" w:type="dxa"/>
          </w:tcPr>
          <w:p w14:paraId="6C4B4B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678" w:type="dxa"/>
            <w:gridSpan w:val="2"/>
          </w:tcPr>
          <w:p w14:paraId="1F9124B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188</w:t>
            </w:r>
          </w:p>
        </w:tc>
        <w:tc>
          <w:tcPr>
            <w:tcW w:w="1701" w:type="dxa"/>
            <w:gridSpan w:val="2"/>
          </w:tcPr>
          <w:p w14:paraId="1E39958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168</w:t>
            </w:r>
          </w:p>
        </w:tc>
      </w:tr>
      <w:tr w:rsidR="001F600C" w:rsidRPr="00285D58" w14:paraId="175BF1BB" w14:textId="77777777" w:rsidTr="00242093">
        <w:trPr>
          <w:gridAfter w:val="1"/>
          <w:wAfter w:w="11" w:type="dxa"/>
          <w:trHeight w:val="284"/>
          <w:jc w:val="center"/>
        </w:trPr>
        <w:tc>
          <w:tcPr>
            <w:tcW w:w="1838" w:type="dxa"/>
            <w:vMerge/>
          </w:tcPr>
          <w:p w14:paraId="7537CC5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8A85AB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6DADD2C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1108" w:type="dxa"/>
          </w:tcPr>
          <w:p w14:paraId="407D3A6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678" w:type="dxa"/>
            <w:gridSpan w:val="2"/>
          </w:tcPr>
          <w:p w14:paraId="1F37186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188</w:t>
            </w:r>
          </w:p>
        </w:tc>
        <w:tc>
          <w:tcPr>
            <w:tcW w:w="1701" w:type="dxa"/>
            <w:gridSpan w:val="2"/>
          </w:tcPr>
          <w:p w14:paraId="1FAEFE3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4C4213EA" w14:textId="77777777" w:rsidTr="00242093">
        <w:trPr>
          <w:gridAfter w:val="1"/>
          <w:wAfter w:w="11" w:type="dxa"/>
          <w:trHeight w:val="284"/>
          <w:jc w:val="center"/>
        </w:trPr>
        <w:tc>
          <w:tcPr>
            <w:tcW w:w="1838" w:type="dxa"/>
            <w:vMerge/>
          </w:tcPr>
          <w:p w14:paraId="3D5553A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D77C4E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6CA90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1108" w:type="dxa"/>
          </w:tcPr>
          <w:p w14:paraId="642817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678" w:type="dxa"/>
            <w:gridSpan w:val="2"/>
          </w:tcPr>
          <w:p w14:paraId="711BF1B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581582A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472CC694" w14:textId="77777777" w:rsidTr="00242093">
        <w:trPr>
          <w:gridAfter w:val="1"/>
          <w:wAfter w:w="11" w:type="dxa"/>
          <w:trHeight w:val="284"/>
          <w:jc w:val="center"/>
        </w:trPr>
        <w:tc>
          <w:tcPr>
            <w:tcW w:w="1838" w:type="dxa"/>
            <w:vMerge/>
          </w:tcPr>
          <w:p w14:paraId="1E02CA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6C16F0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717BE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1108" w:type="dxa"/>
          </w:tcPr>
          <w:p w14:paraId="74EC38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678" w:type="dxa"/>
            <w:gridSpan w:val="2"/>
          </w:tcPr>
          <w:p w14:paraId="253AF7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623931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5DE374B1" w14:textId="77777777" w:rsidTr="00242093">
        <w:trPr>
          <w:gridAfter w:val="1"/>
          <w:wAfter w:w="11" w:type="dxa"/>
          <w:trHeight w:val="284"/>
          <w:jc w:val="center"/>
        </w:trPr>
        <w:tc>
          <w:tcPr>
            <w:tcW w:w="1838" w:type="dxa"/>
            <w:vMerge/>
          </w:tcPr>
          <w:p w14:paraId="1BCAF5C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442CC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1B4A6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1108" w:type="dxa"/>
          </w:tcPr>
          <w:p w14:paraId="2A5EC0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678" w:type="dxa"/>
            <w:gridSpan w:val="2"/>
          </w:tcPr>
          <w:p w14:paraId="0FF9DDF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190</w:t>
            </w:r>
          </w:p>
        </w:tc>
        <w:tc>
          <w:tcPr>
            <w:tcW w:w="1701" w:type="dxa"/>
            <w:gridSpan w:val="2"/>
          </w:tcPr>
          <w:p w14:paraId="7FC5AF4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57032372" w14:textId="77777777" w:rsidTr="00242093">
        <w:trPr>
          <w:gridAfter w:val="1"/>
          <w:wAfter w:w="11" w:type="dxa"/>
          <w:trHeight w:val="284"/>
          <w:jc w:val="center"/>
        </w:trPr>
        <w:tc>
          <w:tcPr>
            <w:tcW w:w="1838" w:type="dxa"/>
            <w:vMerge/>
          </w:tcPr>
          <w:p w14:paraId="7A00820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0089A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3CF34C5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1108" w:type="dxa"/>
          </w:tcPr>
          <w:p w14:paraId="5CC4EA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678" w:type="dxa"/>
            <w:gridSpan w:val="2"/>
          </w:tcPr>
          <w:p w14:paraId="095FFD0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192</w:t>
            </w:r>
          </w:p>
        </w:tc>
        <w:tc>
          <w:tcPr>
            <w:tcW w:w="1701" w:type="dxa"/>
            <w:gridSpan w:val="2"/>
          </w:tcPr>
          <w:p w14:paraId="4279D5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097B1F1A" w14:textId="77777777" w:rsidTr="00242093">
        <w:trPr>
          <w:gridAfter w:val="1"/>
          <w:wAfter w:w="11" w:type="dxa"/>
          <w:trHeight w:val="284"/>
          <w:jc w:val="center"/>
        </w:trPr>
        <w:tc>
          <w:tcPr>
            <w:tcW w:w="1838" w:type="dxa"/>
            <w:vMerge/>
          </w:tcPr>
          <w:p w14:paraId="2E73AB5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268154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4A93337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1108" w:type="dxa"/>
          </w:tcPr>
          <w:p w14:paraId="0C2A90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678" w:type="dxa"/>
            <w:gridSpan w:val="2"/>
          </w:tcPr>
          <w:p w14:paraId="57FC65D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192</w:t>
            </w:r>
          </w:p>
        </w:tc>
        <w:tc>
          <w:tcPr>
            <w:tcW w:w="1701" w:type="dxa"/>
            <w:gridSpan w:val="2"/>
          </w:tcPr>
          <w:p w14:paraId="08DC60D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164</w:t>
            </w:r>
          </w:p>
        </w:tc>
      </w:tr>
      <w:tr w:rsidR="001F600C" w:rsidRPr="00285D58" w14:paraId="0575E6A6" w14:textId="77777777" w:rsidTr="00242093">
        <w:trPr>
          <w:gridAfter w:val="1"/>
          <w:wAfter w:w="11" w:type="dxa"/>
          <w:trHeight w:val="284"/>
          <w:jc w:val="center"/>
        </w:trPr>
        <w:tc>
          <w:tcPr>
            <w:tcW w:w="1838" w:type="dxa"/>
            <w:vMerge/>
          </w:tcPr>
          <w:p w14:paraId="5364CE8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5D5335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5C3A6A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1108" w:type="dxa"/>
          </w:tcPr>
          <w:p w14:paraId="481DD2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678" w:type="dxa"/>
            <w:gridSpan w:val="2"/>
          </w:tcPr>
          <w:p w14:paraId="3B3137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194</w:t>
            </w:r>
          </w:p>
        </w:tc>
        <w:tc>
          <w:tcPr>
            <w:tcW w:w="1701" w:type="dxa"/>
            <w:gridSpan w:val="2"/>
          </w:tcPr>
          <w:p w14:paraId="6A2416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164</w:t>
            </w:r>
          </w:p>
        </w:tc>
      </w:tr>
      <w:tr w:rsidR="001F600C" w:rsidRPr="00285D58" w14:paraId="283AA687" w14:textId="77777777" w:rsidTr="00242093">
        <w:trPr>
          <w:gridAfter w:val="1"/>
          <w:wAfter w:w="11" w:type="dxa"/>
          <w:trHeight w:val="284"/>
          <w:jc w:val="center"/>
        </w:trPr>
        <w:tc>
          <w:tcPr>
            <w:tcW w:w="1838" w:type="dxa"/>
            <w:vMerge/>
          </w:tcPr>
          <w:p w14:paraId="171E228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7A1F86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2665D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1108" w:type="dxa"/>
          </w:tcPr>
          <w:p w14:paraId="2CFB46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678" w:type="dxa"/>
            <w:gridSpan w:val="2"/>
          </w:tcPr>
          <w:p w14:paraId="3ED0A48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196</w:t>
            </w:r>
          </w:p>
        </w:tc>
        <w:tc>
          <w:tcPr>
            <w:tcW w:w="1701" w:type="dxa"/>
            <w:gridSpan w:val="2"/>
          </w:tcPr>
          <w:p w14:paraId="6545221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r w:rsidR="001F600C" w:rsidRPr="00285D58" w14:paraId="29AFBE2F" w14:textId="77777777" w:rsidTr="00242093">
        <w:trPr>
          <w:gridAfter w:val="1"/>
          <w:wAfter w:w="11" w:type="dxa"/>
          <w:trHeight w:val="284"/>
          <w:jc w:val="center"/>
        </w:trPr>
        <w:tc>
          <w:tcPr>
            <w:tcW w:w="1838" w:type="dxa"/>
            <w:vMerge/>
          </w:tcPr>
          <w:p w14:paraId="6D13436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851" w:type="dxa"/>
          </w:tcPr>
          <w:p w14:paraId="170E00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49" w:type="dxa"/>
          </w:tcPr>
          <w:p w14:paraId="0F2650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1108" w:type="dxa"/>
          </w:tcPr>
          <w:p w14:paraId="4BE6E4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678" w:type="dxa"/>
            <w:gridSpan w:val="2"/>
          </w:tcPr>
          <w:p w14:paraId="73DC740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198</w:t>
            </w:r>
          </w:p>
        </w:tc>
        <w:tc>
          <w:tcPr>
            <w:tcW w:w="1701" w:type="dxa"/>
            <w:gridSpan w:val="2"/>
          </w:tcPr>
          <w:p w14:paraId="6B5B53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166</w:t>
            </w:r>
          </w:p>
        </w:tc>
      </w:tr>
    </w:tbl>
    <w:p w14:paraId="561FDA21" w14:textId="11856CA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1F0001A7" w14:textId="77777777" w:rsidR="001F600C" w:rsidRPr="00285D58" w:rsidRDefault="001F600C" w:rsidP="008D1FFF">
      <w:pPr>
        <w:spacing w:line="276" w:lineRule="auto"/>
        <w:jc w:val="both"/>
        <w:rPr>
          <w:rFonts w:asciiTheme="minorHAnsi" w:eastAsia="Calibri" w:hAnsiTheme="minorHAnsi" w:cstheme="minorHAnsi"/>
        </w:rPr>
      </w:pPr>
    </w:p>
    <w:p w14:paraId="5E4C19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Ambas vías turísticas de acceso vehicular presentan un IMDA menor a 200 veh/día, con lo cual se trataría de vías de bajo volumen de tránsito; según la terminología del Ministerio de Transportes y Comunicaciones.</w:t>
      </w:r>
    </w:p>
    <w:p w14:paraId="286B74C1" w14:textId="77777777" w:rsidR="001F600C" w:rsidRPr="00285D58" w:rsidRDefault="001F600C" w:rsidP="008D1FFF">
      <w:pPr>
        <w:spacing w:line="276" w:lineRule="auto"/>
        <w:ind w:firstLine="567"/>
        <w:jc w:val="both"/>
        <w:rPr>
          <w:rFonts w:asciiTheme="minorHAnsi" w:eastAsia="Calibri" w:hAnsiTheme="minorHAnsi" w:cstheme="minorHAnsi"/>
        </w:rPr>
      </w:pPr>
    </w:p>
    <w:p w14:paraId="3D6ACB15"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Cálculo del Número de Ejes Equivalentes acumulados</w:t>
      </w:r>
    </w:p>
    <w:p w14:paraId="44FDBC98" w14:textId="77777777" w:rsidR="001F600C" w:rsidRPr="00285D58" w:rsidRDefault="001F600C" w:rsidP="008D1FFF">
      <w:pPr>
        <w:spacing w:line="276" w:lineRule="auto"/>
        <w:ind w:firstLine="567"/>
        <w:jc w:val="both"/>
        <w:rPr>
          <w:rFonts w:asciiTheme="minorHAnsi" w:eastAsia="Calibri" w:hAnsiTheme="minorHAnsi" w:cstheme="minorHAnsi"/>
        </w:rPr>
      </w:pPr>
    </w:p>
    <w:p w14:paraId="5538F6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Este parámetro obtenido de las características del volumen vehicular permite calcular el espesor de la capa de rodadura, según la metodología AASHTO-93. Siguiendo los siguientes pasos:</w:t>
      </w:r>
    </w:p>
    <w:p w14:paraId="055559D4" w14:textId="77777777" w:rsidR="001F600C" w:rsidRPr="00285D58" w:rsidRDefault="001F600C" w:rsidP="008D1FFF">
      <w:pPr>
        <w:spacing w:line="276" w:lineRule="auto"/>
        <w:ind w:firstLine="567"/>
        <w:jc w:val="both"/>
        <w:rPr>
          <w:rFonts w:asciiTheme="minorHAnsi" w:eastAsia="Calibri" w:hAnsiTheme="minorHAnsi" w:cstheme="minorHAnsi"/>
        </w:rPr>
      </w:pPr>
    </w:p>
    <w:p w14:paraId="3663DEE0"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Según la tipología del bus turístico y del peso sus ejes; se calculó el Factor de Vehículo Pesado que representa el número de ejes equivalentes de 8.2 t. Ver Figura 6.</w:t>
      </w:r>
    </w:p>
    <w:p w14:paraId="306A0E71" w14:textId="77777777" w:rsidR="001F600C" w:rsidRPr="00285D58" w:rsidRDefault="001F600C" w:rsidP="008D1FFF">
      <w:pPr>
        <w:spacing w:line="276" w:lineRule="auto"/>
        <w:ind w:firstLine="567"/>
        <w:jc w:val="both"/>
        <w:rPr>
          <w:rFonts w:asciiTheme="minorHAnsi" w:eastAsia="Calibri" w:hAnsiTheme="minorHAnsi" w:cstheme="minorHAnsi"/>
        </w:rPr>
      </w:pPr>
    </w:p>
    <w:p w14:paraId="6FB8E16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1E91FAD1" wp14:editId="614FEC28">
            <wp:extent cx="3867150" cy="2247900"/>
            <wp:effectExtent l="0" t="0" r="0" b="0"/>
            <wp:docPr id="213361739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60"/>
                    <a:srcRect/>
                    <a:stretch>
                      <a:fillRect/>
                    </a:stretch>
                  </pic:blipFill>
                  <pic:spPr>
                    <a:xfrm>
                      <a:off x="0" y="0"/>
                      <a:ext cx="3867150" cy="2247900"/>
                    </a:xfrm>
                    <a:prstGeom prst="rect">
                      <a:avLst/>
                    </a:prstGeom>
                    <a:ln/>
                  </pic:spPr>
                </pic:pic>
              </a:graphicData>
            </a:graphic>
          </wp:inline>
        </w:drawing>
      </w:r>
    </w:p>
    <w:p w14:paraId="22AD5E1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Figura 6: Factor de vehículo pesado del Bus turístico</w:t>
      </w:r>
    </w:p>
    <w:p w14:paraId="6FFFF22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8FA5CF2" w14:textId="77777777" w:rsidR="001F600C" w:rsidRPr="00285D58" w:rsidRDefault="001F600C" w:rsidP="008D1FFF">
      <w:pPr>
        <w:spacing w:line="276" w:lineRule="auto"/>
        <w:ind w:firstLine="567"/>
        <w:jc w:val="both"/>
        <w:rPr>
          <w:rFonts w:asciiTheme="minorHAnsi" w:eastAsia="Calibri" w:hAnsiTheme="minorHAnsi" w:cstheme="minorHAnsi"/>
        </w:rPr>
      </w:pPr>
    </w:p>
    <w:p w14:paraId="47CC9D89"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Según las características de la vía proyectada, sentidos de tránsito, factor del vehículo pesado y los días del año, se calculó el Factor ponderado. Ver Figura 7.</w:t>
      </w:r>
    </w:p>
    <w:p w14:paraId="0FC460A5" w14:textId="77777777" w:rsidR="001F600C" w:rsidRPr="00285D58" w:rsidRDefault="001F600C" w:rsidP="008D1FFF">
      <w:pPr>
        <w:spacing w:line="276" w:lineRule="auto"/>
        <w:ind w:firstLine="567"/>
        <w:jc w:val="both"/>
        <w:rPr>
          <w:rFonts w:asciiTheme="minorHAnsi" w:eastAsia="Calibri" w:hAnsiTheme="minorHAnsi" w:cstheme="minorHAnsi"/>
        </w:rPr>
      </w:pPr>
    </w:p>
    <w:p w14:paraId="7BBC658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2239844" wp14:editId="3A954B76">
            <wp:extent cx="2446500" cy="1260000"/>
            <wp:effectExtent l="0" t="0" r="0" b="0"/>
            <wp:docPr id="213361737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1"/>
                    <a:srcRect/>
                    <a:stretch>
                      <a:fillRect/>
                    </a:stretch>
                  </pic:blipFill>
                  <pic:spPr>
                    <a:xfrm>
                      <a:off x="0" y="0"/>
                      <a:ext cx="2446500" cy="1260000"/>
                    </a:xfrm>
                    <a:prstGeom prst="rect">
                      <a:avLst/>
                    </a:prstGeom>
                    <a:ln/>
                  </pic:spPr>
                </pic:pic>
              </a:graphicData>
            </a:graphic>
          </wp:inline>
        </w:drawing>
      </w:r>
    </w:p>
    <w:p w14:paraId="059069E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7: Factor ponderado</w:t>
      </w:r>
    </w:p>
    <w:p w14:paraId="103B85A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568437FB" w14:textId="77777777" w:rsidR="001F600C" w:rsidRPr="00285D58" w:rsidRDefault="001F600C" w:rsidP="008D1FFF">
      <w:pPr>
        <w:spacing w:line="276" w:lineRule="auto"/>
        <w:ind w:firstLine="567"/>
        <w:jc w:val="both"/>
        <w:rPr>
          <w:rFonts w:asciiTheme="minorHAnsi" w:eastAsia="Calibri" w:hAnsiTheme="minorHAnsi" w:cstheme="minorHAnsi"/>
        </w:rPr>
      </w:pPr>
    </w:p>
    <w:p w14:paraId="296474DF" w14:textId="77777777" w:rsidR="001F600C" w:rsidRPr="00285D58" w:rsidRDefault="001F600C" w:rsidP="008D1FFF">
      <w:pPr>
        <w:widowControl/>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Factor ponderado aplicado al IMDA de cada vía turística resulta el Número de Ejes Equivalentes anual. Se procede con la acumulación por año y se obtiene para el periodo de diseño de pavimentos. Ver Tabla 7.</w:t>
      </w:r>
    </w:p>
    <w:p w14:paraId="0DE45CF1" w14:textId="77777777" w:rsidR="001F600C" w:rsidRPr="00285D58" w:rsidRDefault="001F600C" w:rsidP="008D1FFF">
      <w:pPr>
        <w:spacing w:line="276" w:lineRule="auto"/>
        <w:ind w:firstLine="567"/>
        <w:jc w:val="both"/>
        <w:rPr>
          <w:rFonts w:asciiTheme="minorHAnsi" w:eastAsia="Calibri" w:hAnsiTheme="minorHAnsi" w:cstheme="minorHAnsi"/>
        </w:rPr>
      </w:pPr>
    </w:p>
    <w:p w14:paraId="0CCE396F" w14:textId="16F81CD4" w:rsidR="001F600C" w:rsidRPr="00285D58" w:rsidRDefault="001F600C" w:rsidP="008D1FFF">
      <w:pPr>
        <w:pStyle w:val="Descripcin"/>
        <w:spacing w:line="276" w:lineRule="auto"/>
        <w:rPr>
          <w:rFonts w:asciiTheme="minorHAnsi" w:eastAsia="Calibri" w:hAnsiTheme="minorHAnsi" w:cstheme="minorHAnsi"/>
          <w:sz w:val="22"/>
          <w:szCs w:val="22"/>
        </w:rPr>
      </w:pPr>
      <w:r w:rsidRPr="00285D58">
        <w:rPr>
          <w:rFonts w:asciiTheme="minorHAnsi" w:hAnsiTheme="minorHAnsi" w:cstheme="minorHAnsi"/>
          <w:sz w:val="22"/>
          <w:szCs w:val="22"/>
        </w:rPr>
        <w:t xml:space="preserve">Tabla </w:t>
      </w:r>
      <w:r w:rsidR="00F20B19" w:rsidRPr="00285D58">
        <w:rPr>
          <w:rFonts w:asciiTheme="minorHAnsi" w:hAnsiTheme="minorHAnsi" w:cstheme="minorHAnsi"/>
          <w:sz w:val="22"/>
          <w:szCs w:val="22"/>
        </w:rPr>
        <w:fldChar w:fldCharType="begin"/>
      </w:r>
      <w:r w:rsidR="00F20B19" w:rsidRPr="00285D58">
        <w:rPr>
          <w:rFonts w:asciiTheme="minorHAnsi" w:hAnsiTheme="minorHAnsi" w:cstheme="minorHAnsi"/>
          <w:sz w:val="22"/>
          <w:szCs w:val="22"/>
        </w:rPr>
        <w:instrText xml:space="preserve"> SEQ Tabla \* ARABIC </w:instrText>
      </w:r>
      <w:r w:rsidR="00F20B19" w:rsidRPr="00285D58">
        <w:rPr>
          <w:rFonts w:asciiTheme="minorHAnsi" w:hAnsiTheme="minorHAnsi" w:cstheme="minorHAnsi"/>
          <w:sz w:val="22"/>
          <w:szCs w:val="22"/>
        </w:rPr>
        <w:fldChar w:fldCharType="separate"/>
      </w:r>
      <w:r w:rsidR="007E3A44" w:rsidRPr="00285D58">
        <w:rPr>
          <w:rFonts w:asciiTheme="minorHAnsi" w:hAnsiTheme="minorHAnsi" w:cstheme="minorHAnsi"/>
          <w:noProof/>
          <w:sz w:val="22"/>
          <w:szCs w:val="22"/>
        </w:rPr>
        <w:t>20</w:t>
      </w:r>
      <w:r w:rsidR="00F20B19" w:rsidRPr="00285D58">
        <w:rPr>
          <w:rFonts w:asciiTheme="minorHAnsi" w:hAnsiTheme="minorHAnsi" w:cstheme="minorHAnsi"/>
          <w:noProof/>
          <w:sz w:val="22"/>
          <w:szCs w:val="22"/>
        </w:rPr>
        <w:fldChar w:fldCharType="end"/>
      </w:r>
      <w:r w:rsidRPr="00285D58">
        <w:rPr>
          <w:rFonts w:asciiTheme="minorHAnsi" w:hAnsiTheme="minorHAnsi" w:cstheme="minorHAnsi"/>
          <w:sz w:val="22"/>
          <w:szCs w:val="22"/>
        </w:rPr>
        <w:t xml:space="preserve">. NÚMERO DE EJES EQUIVALENTES ACUMULADOS DE LAS VÍAS TÚRISTICAS </w:t>
      </w:r>
    </w:p>
    <w:tbl>
      <w:tblPr>
        <w:tblW w:w="991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55"/>
        <w:gridCol w:w="708"/>
        <w:gridCol w:w="522"/>
        <w:gridCol w:w="45"/>
        <w:gridCol w:w="709"/>
        <w:gridCol w:w="556"/>
        <w:gridCol w:w="658"/>
        <w:gridCol w:w="1763"/>
        <w:gridCol w:w="11"/>
        <w:gridCol w:w="1548"/>
        <w:gridCol w:w="75"/>
        <w:gridCol w:w="1768"/>
      </w:tblGrid>
      <w:tr w:rsidR="001F600C" w:rsidRPr="00285D58" w14:paraId="1D7990B4" w14:textId="77777777" w:rsidTr="00242093">
        <w:trPr>
          <w:trHeight w:val="465"/>
          <w:jc w:val="center"/>
        </w:trPr>
        <w:tc>
          <w:tcPr>
            <w:tcW w:w="2785" w:type="dxa"/>
            <w:gridSpan w:val="3"/>
            <w:shd w:val="clear" w:color="auto" w:fill="E7E6E6" w:themeFill="background2"/>
          </w:tcPr>
          <w:p w14:paraId="5E7E0D6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Vía Turística</w:t>
            </w:r>
          </w:p>
        </w:tc>
        <w:tc>
          <w:tcPr>
            <w:tcW w:w="3731" w:type="dxa"/>
            <w:gridSpan w:val="5"/>
            <w:shd w:val="clear" w:color="auto" w:fill="E7E6E6" w:themeFill="background2"/>
          </w:tcPr>
          <w:p w14:paraId="24D5C79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E.C. Yanama - E.S. San Juan</w:t>
            </w:r>
          </w:p>
        </w:tc>
        <w:tc>
          <w:tcPr>
            <w:tcW w:w="3402" w:type="dxa"/>
            <w:gridSpan w:val="4"/>
            <w:shd w:val="clear" w:color="auto" w:fill="E7E6E6" w:themeFill="background2"/>
          </w:tcPr>
          <w:p w14:paraId="3857DB01"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Kiuñalla - E.S. Kiuñalla</w:t>
            </w:r>
          </w:p>
        </w:tc>
      </w:tr>
      <w:tr w:rsidR="001F600C" w:rsidRPr="00285D58" w14:paraId="44AF4790" w14:textId="77777777" w:rsidTr="00242093">
        <w:trPr>
          <w:trHeight w:val="255"/>
          <w:jc w:val="center"/>
        </w:trPr>
        <w:tc>
          <w:tcPr>
            <w:tcW w:w="2785" w:type="dxa"/>
            <w:gridSpan w:val="3"/>
            <w:shd w:val="clear" w:color="auto" w:fill="E7E6E6" w:themeFill="background2"/>
          </w:tcPr>
          <w:p w14:paraId="5BB10CF9" w14:textId="77777777" w:rsidR="001F600C" w:rsidRPr="00285D58" w:rsidRDefault="001F600C" w:rsidP="008D1FFF">
            <w:pPr>
              <w:spacing w:line="276" w:lineRule="auto"/>
              <w:ind w:firstLine="567"/>
              <w:jc w:val="both"/>
              <w:rPr>
                <w:rFonts w:asciiTheme="minorHAnsi" w:eastAsia="Calibri" w:hAnsiTheme="minorHAnsi" w:cstheme="minorHAnsi"/>
                <w:b/>
                <w:bCs/>
              </w:rPr>
            </w:pPr>
            <w:r w:rsidRPr="00285D58">
              <w:rPr>
                <w:rFonts w:asciiTheme="minorHAnsi" w:eastAsia="Calibri" w:hAnsiTheme="minorHAnsi" w:cstheme="minorHAnsi"/>
                <w:b/>
                <w:bCs/>
              </w:rPr>
              <w:t>Años</w:t>
            </w:r>
          </w:p>
        </w:tc>
        <w:tc>
          <w:tcPr>
            <w:tcW w:w="1310" w:type="dxa"/>
            <w:gridSpan w:val="3"/>
            <w:shd w:val="clear" w:color="auto" w:fill="E7E6E6" w:themeFill="background2"/>
          </w:tcPr>
          <w:p w14:paraId="324BA684"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anual</w:t>
            </w:r>
          </w:p>
        </w:tc>
        <w:tc>
          <w:tcPr>
            <w:tcW w:w="2421" w:type="dxa"/>
            <w:gridSpan w:val="2"/>
            <w:shd w:val="clear" w:color="auto" w:fill="E7E6E6" w:themeFill="background2"/>
          </w:tcPr>
          <w:p w14:paraId="1B3FEBA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acumul.</w:t>
            </w:r>
          </w:p>
        </w:tc>
        <w:tc>
          <w:tcPr>
            <w:tcW w:w="1559" w:type="dxa"/>
            <w:gridSpan w:val="2"/>
            <w:shd w:val="clear" w:color="auto" w:fill="E7E6E6" w:themeFill="background2"/>
          </w:tcPr>
          <w:p w14:paraId="7E40F78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anual</w:t>
            </w:r>
          </w:p>
        </w:tc>
        <w:tc>
          <w:tcPr>
            <w:tcW w:w="1843" w:type="dxa"/>
            <w:gridSpan w:val="2"/>
            <w:shd w:val="clear" w:color="auto" w:fill="E7E6E6" w:themeFill="background2"/>
          </w:tcPr>
          <w:p w14:paraId="1D64F247"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Nrep EE acumul.</w:t>
            </w:r>
          </w:p>
        </w:tc>
      </w:tr>
      <w:tr w:rsidR="001F600C" w:rsidRPr="00285D58" w14:paraId="2948434E" w14:textId="77777777" w:rsidTr="00242093">
        <w:trPr>
          <w:trHeight w:val="255"/>
          <w:jc w:val="center"/>
        </w:trPr>
        <w:tc>
          <w:tcPr>
            <w:tcW w:w="1555" w:type="dxa"/>
            <w:vMerge w:val="restart"/>
          </w:tcPr>
          <w:p w14:paraId="13593AE1"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t>OPERACIÓN Y MANTENIMIENTO</w:t>
            </w:r>
          </w:p>
        </w:tc>
        <w:tc>
          <w:tcPr>
            <w:tcW w:w="708" w:type="dxa"/>
          </w:tcPr>
          <w:p w14:paraId="61347BD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3580BA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709" w:type="dxa"/>
          </w:tcPr>
          <w:p w14:paraId="269206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2029</w:t>
            </w:r>
          </w:p>
        </w:tc>
        <w:tc>
          <w:tcPr>
            <w:tcW w:w="1214" w:type="dxa"/>
            <w:gridSpan w:val="2"/>
          </w:tcPr>
          <w:p w14:paraId="4AFE02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2.78E+03</w:t>
            </w:r>
          </w:p>
        </w:tc>
        <w:tc>
          <w:tcPr>
            <w:tcW w:w="1774" w:type="dxa"/>
            <w:gridSpan w:val="2"/>
          </w:tcPr>
          <w:p w14:paraId="0DA084F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2.78E+03</w:t>
            </w:r>
          </w:p>
        </w:tc>
        <w:tc>
          <w:tcPr>
            <w:tcW w:w="1623" w:type="dxa"/>
            <w:gridSpan w:val="2"/>
          </w:tcPr>
          <w:p w14:paraId="621990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9CD6FD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r>
      <w:tr w:rsidR="001F600C" w:rsidRPr="00285D58" w14:paraId="69103BFD" w14:textId="77777777" w:rsidTr="00242093">
        <w:trPr>
          <w:trHeight w:val="255"/>
          <w:jc w:val="center"/>
        </w:trPr>
        <w:tc>
          <w:tcPr>
            <w:tcW w:w="1555" w:type="dxa"/>
            <w:vMerge/>
          </w:tcPr>
          <w:p w14:paraId="544AC3A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340BF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761199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709" w:type="dxa"/>
          </w:tcPr>
          <w:p w14:paraId="1C32599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2030</w:t>
            </w:r>
          </w:p>
        </w:tc>
        <w:tc>
          <w:tcPr>
            <w:tcW w:w="1214" w:type="dxa"/>
            <w:gridSpan w:val="2"/>
          </w:tcPr>
          <w:p w14:paraId="52A3C8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70443E4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5.59E+03</w:t>
            </w:r>
          </w:p>
        </w:tc>
        <w:tc>
          <w:tcPr>
            <w:tcW w:w="1623" w:type="dxa"/>
            <w:gridSpan w:val="2"/>
          </w:tcPr>
          <w:p w14:paraId="0515AC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2B8A05E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5.24E+03</w:t>
            </w:r>
          </w:p>
        </w:tc>
      </w:tr>
      <w:tr w:rsidR="001F600C" w:rsidRPr="00285D58" w14:paraId="31D5FE1B" w14:textId="77777777" w:rsidTr="00242093">
        <w:trPr>
          <w:trHeight w:val="255"/>
          <w:jc w:val="center"/>
        </w:trPr>
        <w:tc>
          <w:tcPr>
            <w:tcW w:w="1555" w:type="dxa"/>
            <w:vMerge/>
          </w:tcPr>
          <w:p w14:paraId="2EDA3C0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53E316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3DF970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709" w:type="dxa"/>
          </w:tcPr>
          <w:p w14:paraId="254D12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2031</w:t>
            </w:r>
          </w:p>
        </w:tc>
        <w:tc>
          <w:tcPr>
            <w:tcW w:w="1214" w:type="dxa"/>
            <w:gridSpan w:val="2"/>
          </w:tcPr>
          <w:p w14:paraId="18CB4F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4AAA592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8.39E+03</w:t>
            </w:r>
          </w:p>
        </w:tc>
        <w:tc>
          <w:tcPr>
            <w:tcW w:w="1623" w:type="dxa"/>
            <w:gridSpan w:val="2"/>
          </w:tcPr>
          <w:p w14:paraId="042B102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31759A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7.86E+03</w:t>
            </w:r>
          </w:p>
        </w:tc>
      </w:tr>
      <w:tr w:rsidR="001F600C" w:rsidRPr="00285D58" w14:paraId="0B8F7CBE" w14:textId="77777777" w:rsidTr="00242093">
        <w:trPr>
          <w:trHeight w:val="255"/>
          <w:jc w:val="center"/>
        </w:trPr>
        <w:tc>
          <w:tcPr>
            <w:tcW w:w="1555" w:type="dxa"/>
            <w:vMerge/>
          </w:tcPr>
          <w:p w14:paraId="798227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12D8F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BE144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709" w:type="dxa"/>
          </w:tcPr>
          <w:p w14:paraId="2C16E6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2032</w:t>
            </w:r>
          </w:p>
        </w:tc>
        <w:tc>
          <w:tcPr>
            <w:tcW w:w="1214" w:type="dxa"/>
            <w:gridSpan w:val="2"/>
          </w:tcPr>
          <w:p w14:paraId="059DF5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2.81E+03</w:t>
            </w:r>
          </w:p>
        </w:tc>
        <w:tc>
          <w:tcPr>
            <w:tcW w:w="1774" w:type="dxa"/>
            <w:gridSpan w:val="2"/>
          </w:tcPr>
          <w:p w14:paraId="17DDA6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1.12E+04</w:t>
            </w:r>
          </w:p>
        </w:tc>
        <w:tc>
          <w:tcPr>
            <w:tcW w:w="1623" w:type="dxa"/>
            <w:gridSpan w:val="2"/>
          </w:tcPr>
          <w:p w14:paraId="2D419E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497AEAD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1.05E+04</w:t>
            </w:r>
          </w:p>
        </w:tc>
      </w:tr>
      <w:tr w:rsidR="001F600C" w:rsidRPr="00285D58" w14:paraId="6793EA76" w14:textId="77777777" w:rsidTr="00242093">
        <w:trPr>
          <w:trHeight w:val="255"/>
          <w:jc w:val="center"/>
        </w:trPr>
        <w:tc>
          <w:tcPr>
            <w:tcW w:w="1555" w:type="dxa"/>
            <w:vMerge/>
          </w:tcPr>
          <w:p w14:paraId="1AB1419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D2D28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687876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709" w:type="dxa"/>
          </w:tcPr>
          <w:p w14:paraId="70593E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2033</w:t>
            </w:r>
          </w:p>
        </w:tc>
        <w:tc>
          <w:tcPr>
            <w:tcW w:w="1214" w:type="dxa"/>
            <w:gridSpan w:val="2"/>
          </w:tcPr>
          <w:p w14:paraId="2AC4BA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5840E32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1.40E+04</w:t>
            </w:r>
          </w:p>
        </w:tc>
        <w:tc>
          <w:tcPr>
            <w:tcW w:w="1623" w:type="dxa"/>
            <w:gridSpan w:val="2"/>
          </w:tcPr>
          <w:p w14:paraId="4C585F6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75520B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1.31E+04</w:t>
            </w:r>
          </w:p>
        </w:tc>
      </w:tr>
      <w:tr w:rsidR="001F600C" w:rsidRPr="00285D58" w14:paraId="42B58815" w14:textId="77777777" w:rsidTr="00242093">
        <w:trPr>
          <w:trHeight w:val="255"/>
          <w:jc w:val="center"/>
        </w:trPr>
        <w:tc>
          <w:tcPr>
            <w:tcW w:w="1555" w:type="dxa"/>
            <w:vMerge/>
          </w:tcPr>
          <w:p w14:paraId="309690B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B3A09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C7B2D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709" w:type="dxa"/>
          </w:tcPr>
          <w:p w14:paraId="3C8369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2034</w:t>
            </w:r>
          </w:p>
        </w:tc>
        <w:tc>
          <w:tcPr>
            <w:tcW w:w="1214" w:type="dxa"/>
            <w:gridSpan w:val="2"/>
          </w:tcPr>
          <w:p w14:paraId="186DAC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4292331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1.69E+04</w:t>
            </w:r>
          </w:p>
        </w:tc>
        <w:tc>
          <w:tcPr>
            <w:tcW w:w="1623" w:type="dxa"/>
            <w:gridSpan w:val="2"/>
          </w:tcPr>
          <w:p w14:paraId="7DBEB0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77D731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1.57E+04</w:t>
            </w:r>
          </w:p>
        </w:tc>
      </w:tr>
      <w:tr w:rsidR="001F600C" w:rsidRPr="00285D58" w14:paraId="21FA69BB" w14:textId="77777777" w:rsidTr="00242093">
        <w:trPr>
          <w:trHeight w:val="255"/>
          <w:jc w:val="center"/>
        </w:trPr>
        <w:tc>
          <w:tcPr>
            <w:tcW w:w="1555" w:type="dxa"/>
            <w:vMerge/>
          </w:tcPr>
          <w:p w14:paraId="49326D1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2E8FCE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DF467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709" w:type="dxa"/>
          </w:tcPr>
          <w:p w14:paraId="044280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2035</w:t>
            </w:r>
          </w:p>
        </w:tc>
        <w:tc>
          <w:tcPr>
            <w:tcW w:w="1214" w:type="dxa"/>
            <w:gridSpan w:val="2"/>
          </w:tcPr>
          <w:p w14:paraId="063B28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2.84E+03</w:t>
            </w:r>
          </w:p>
        </w:tc>
        <w:tc>
          <w:tcPr>
            <w:tcW w:w="1774" w:type="dxa"/>
            <w:gridSpan w:val="2"/>
          </w:tcPr>
          <w:p w14:paraId="2687791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1.97E+04</w:t>
            </w:r>
          </w:p>
        </w:tc>
        <w:tc>
          <w:tcPr>
            <w:tcW w:w="1623" w:type="dxa"/>
            <w:gridSpan w:val="2"/>
          </w:tcPr>
          <w:p w14:paraId="363CEE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5A985B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1.83E+04</w:t>
            </w:r>
          </w:p>
        </w:tc>
      </w:tr>
      <w:tr w:rsidR="001F600C" w:rsidRPr="00285D58" w14:paraId="789DFB89" w14:textId="77777777" w:rsidTr="00242093">
        <w:trPr>
          <w:trHeight w:val="255"/>
          <w:jc w:val="center"/>
        </w:trPr>
        <w:tc>
          <w:tcPr>
            <w:tcW w:w="1555" w:type="dxa"/>
            <w:vMerge/>
          </w:tcPr>
          <w:p w14:paraId="1EB701E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6DD1B6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153C2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709" w:type="dxa"/>
          </w:tcPr>
          <w:p w14:paraId="25591B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2036</w:t>
            </w:r>
          </w:p>
        </w:tc>
        <w:tc>
          <w:tcPr>
            <w:tcW w:w="1214" w:type="dxa"/>
            <w:gridSpan w:val="2"/>
          </w:tcPr>
          <w:p w14:paraId="668DC6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2.87E+03</w:t>
            </w:r>
          </w:p>
        </w:tc>
        <w:tc>
          <w:tcPr>
            <w:tcW w:w="1774" w:type="dxa"/>
            <w:gridSpan w:val="2"/>
          </w:tcPr>
          <w:p w14:paraId="67F943C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2.26E+04</w:t>
            </w:r>
          </w:p>
        </w:tc>
        <w:tc>
          <w:tcPr>
            <w:tcW w:w="1623" w:type="dxa"/>
            <w:gridSpan w:val="2"/>
          </w:tcPr>
          <w:p w14:paraId="60A929E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54B9D7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2.10E+04</w:t>
            </w:r>
          </w:p>
        </w:tc>
      </w:tr>
      <w:tr w:rsidR="001F600C" w:rsidRPr="00285D58" w14:paraId="59B5D66E" w14:textId="77777777" w:rsidTr="00242093">
        <w:trPr>
          <w:trHeight w:val="255"/>
          <w:jc w:val="center"/>
        </w:trPr>
        <w:tc>
          <w:tcPr>
            <w:tcW w:w="1555" w:type="dxa"/>
            <w:vMerge/>
          </w:tcPr>
          <w:p w14:paraId="5FC79F7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83CA8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A25099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709" w:type="dxa"/>
          </w:tcPr>
          <w:p w14:paraId="19ED60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2037</w:t>
            </w:r>
          </w:p>
        </w:tc>
        <w:tc>
          <w:tcPr>
            <w:tcW w:w="1214" w:type="dxa"/>
            <w:gridSpan w:val="2"/>
          </w:tcPr>
          <w:p w14:paraId="42A3055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2.87E+03</w:t>
            </w:r>
          </w:p>
        </w:tc>
        <w:tc>
          <w:tcPr>
            <w:tcW w:w="1774" w:type="dxa"/>
            <w:gridSpan w:val="2"/>
          </w:tcPr>
          <w:p w14:paraId="030FFC4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2.55E+04</w:t>
            </w:r>
          </w:p>
        </w:tc>
        <w:tc>
          <w:tcPr>
            <w:tcW w:w="1623" w:type="dxa"/>
            <w:gridSpan w:val="2"/>
          </w:tcPr>
          <w:p w14:paraId="174DC8F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E23AD2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2.36E+04</w:t>
            </w:r>
          </w:p>
        </w:tc>
      </w:tr>
      <w:tr w:rsidR="001F600C" w:rsidRPr="00285D58" w14:paraId="782C72E9" w14:textId="77777777" w:rsidTr="00242093">
        <w:trPr>
          <w:trHeight w:val="255"/>
          <w:jc w:val="center"/>
        </w:trPr>
        <w:tc>
          <w:tcPr>
            <w:tcW w:w="1555" w:type="dxa"/>
            <w:vMerge/>
          </w:tcPr>
          <w:p w14:paraId="2FF0151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28654E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19279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709" w:type="dxa"/>
          </w:tcPr>
          <w:p w14:paraId="7B5E1A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2038</w:t>
            </w:r>
          </w:p>
        </w:tc>
        <w:tc>
          <w:tcPr>
            <w:tcW w:w="1214" w:type="dxa"/>
            <w:gridSpan w:val="2"/>
          </w:tcPr>
          <w:p w14:paraId="641A415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2.90E+03</w:t>
            </w:r>
          </w:p>
        </w:tc>
        <w:tc>
          <w:tcPr>
            <w:tcW w:w="1774" w:type="dxa"/>
            <w:gridSpan w:val="2"/>
          </w:tcPr>
          <w:p w14:paraId="5E49473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2.84E+04</w:t>
            </w:r>
          </w:p>
        </w:tc>
        <w:tc>
          <w:tcPr>
            <w:tcW w:w="1623" w:type="dxa"/>
            <w:gridSpan w:val="2"/>
          </w:tcPr>
          <w:p w14:paraId="3C3D49E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16488BE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2.62E+04</w:t>
            </w:r>
          </w:p>
        </w:tc>
      </w:tr>
      <w:tr w:rsidR="001F600C" w:rsidRPr="00285D58" w14:paraId="3C1FA661" w14:textId="77777777" w:rsidTr="00242093">
        <w:trPr>
          <w:trHeight w:val="255"/>
          <w:jc w:val="center"/>
        </w:trPr>
        <w:tc>
          <w:tcPr>
            <w:tcW w:w="1555" w:type="dxa"/>
            <w:vMerge/>
          </w:tcPr>
          <w:p w14:paraId="5C414BD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007EA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AAC9D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709" w:type="dxa"/>
          </w:tcPr>
          <w:p w14:paraId="2B193D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2039</w:t>
            </w:r>
          </w:p>
        </w:tc>
        <w:tc>
          <w:tcPr>
            <w:tcW w:w="1214" w:type="dxa"/>
            <w:gridSpan w:val="2"/>
          </w:tcPr>
          <w:p w14:paraId="02553E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2.93E+03</w:t>
            </w:r>
          </w:p>
        </w:tc>
        <w:tc>
          <w:tcPr>
            <w:tcW w:w="1774" w:type="dxa"/>
            <w:gridSpan w:val="2"/>
          </w:tcPr>
          <w:p w14:paraId="1B5658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3.13E+04</w:t>
            </w:r>
          </w:p>
        </w:tc>
        <w:tc>
          <w:tcPr>
            <w:tcW w:w="1623" w:type="dxa"/>
            <w:gridSpan w:val="2"/>
          </w:tcPr>
          <w:p w14:paraId="5A8DD1C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2.62E+03</w:t>
            </w:r>
          </w:p>
        </w:tc>
        <w:tc>
          <w:tcPr>
            <w:tcW w:w="1768" w:type="dxa"/>
          </w:tcPr>
          <w:p w14:paraId="0DB6E29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2.88E+04</w:t>
            </w:r>
          </w:p>
        </w:tc>
      </w:tr>
      <w:tr w:rsidR="001F600C" w:rsidRPr="00285D58" w14:paraId="639A1FC9" w14:textId="77777777" w:rsidTr="00242093">
        <w:trPr>
          <w:trHeight w:val="255"/>
          <w:jc w:val="center"/>
        </w:trPr>
        <w:tc>
          <w:tcPr>
            <w:tcW w:w="1555" w:type="dxa"/>
            <w:vMerge/>
          </w:tcPr>
          <w:p w14:paraId="253EA3D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6F1F54D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00622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709" w:type="dxa"/>
          </w:tcPr>
          <w:p w14:paraId="2676DD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2040</w:t>
            </w:r>
          </w:p>
        </w:tc>
        <w:tc>
          <w:tcPr>
            <w:tcW w:w="1214" w:type="dxa"/>
            <w:gridSpan w:val="2"/>
          </w:tcPr>
          <w:p w14:paraId="390D03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2.93E+03</w:t>
            </w:r>
          </w:p>
        </w:tc>
        <w:tc>
          <w:tcPr>
            <w:tcW w:w="1774" w:type="dxa"/>
            <w:gridSpan w:val="2"/>
          </w:tcPr>
          <w:p w14:paraId="4354521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3.42E+04</w:t>
            </w:r>
          </w:p>
        </w:tc>
        <w:tc>
          <w:tcPr>
            <w:tcW w:w="1623" w:type="dxa"/>
            <w:gridSpan w:val="2"/>
          </w:tcPr>
          <w:p w14:paraId="14DDB7D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18E350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3.14E+04</w:t>
            </w:r>
          </w:p>
        </w:tc>
      </w:tr>
      <w:tr w:rsidR="001F600C" w:rsidRPr="00285D58" w14:paraId="04935DFA" w14:textId="77777777" w:rsidTr="00242093">
        <w:trPr>
          <w:trHeight w:val="255"/>
          <w:jc w:val="center"/>
        </w:trPr>
        <w:tc>
          <w:tcPr>
            <w:tcW w:w="1555" w:type="dxa"/>
            <w:vMerge/>
          </w:tcPr>
          <w:p w14:paraId="2AC24B4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7ACF5D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00542E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709" w:type="dxa"/>
          </w:tcPr>
          <w:p w14:paraId="3878D0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2041</w:t>
            </w:r>
          </w:p>
        </w:tc>
        <w:tc>
          <w:tcPr>
            <w:tcW w:w="1214" w:type="dxa"/>
            <w:gridSpan w:val="2"/>
          </w:tcPr>
          <w:p w14:paraId="0DECDF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533B3EA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3.72E+04</w:t>
            </w:r>
          </w:p>
        </w:tc>
        <w:tc>
          <w:tcPr>
            <w:tcW w:w="1623" w:type="dxa"/>
            <w:gridSpan w:val="2"/>
          </w:tcPr>
          <w:p w14:paraId="22E077E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186562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3.40E+04</w:t>
            </w:r>
          </w:p>
        </w:tc>
      </w:tr>
      <w:tr w:rsidR="001F600C" w:rsidRPr="00285D58" w14:paraId="6C908F3C" w14:textId="77777777" w:rsidTr="00242093">
        <w:trPr>
          <w:trHeight w:val="255"/>
          <w:jc w:val="center"/>
        </w:trPr>
        <w:tc>
          <w:tcPr>
            <w:tcW w:w="1555" w:type="dxa"/>
            <w:vMerge/>
          </w:tcPr>
          <w:p w14:paraId="2489000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36D326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5D7100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709" w:type="dxa"/>
          </w:tcPr>
          <w:p w14:paraId="533E9E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2042</w:t>
            </w:r>
          </w:p>
        </w:tc>
        <w:tc>
          <w:tcPr>
            <w:tcW w:w="1214" w:type="dxa"/>
            <w:gridSpan w:val="2"/>
          </w:tcPr>
          <w:p w14:paraId="245588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006170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4.02E+04</w:t>
            </w:r>
          </w:p>
        </w:tc>
        <w:tc>
          <w:tcPr>
            <w:tcW w:w="1623" w:type="dxa"/>
            <w:gridSpan w:val="2"/>
          </w:tcPr>
          <w:p w14:paraId="352424E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6A96B9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3.66E+04</w:t>
            </w:r>
          </w:p>
        </w:tc>
      </w:tr>
      <w:tr w:rsidR="001F600C" w:rsidRPr="00285D58" w14:paraId="18F64F75" w14:textId="77777777" w:rsidTr="00242093">
        <w:trPr>
          <w:trHeight w:val="255"/>
          <w:jc w:val="center"/>
        </w:trPr>
        <w:tc>
          <w:tcPr>
            <w:tcW w:w="1555" w:type="dxa"/>
            <w:vMerge/>
          </w:tcPr>
          <w:p w14:paraId="00D3F0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DC8BF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795688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709" w:type="dxa"/>
          </w:tcPr>
          <w:p w14:paraId="07B40B7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2043</w:t>
            </w:r>
          </w:p>
        </w:tc>
        <w:tc>
          <w:tcPr>
            <w:tcW w:w="1214" w:type="dxa"/>
            <w:gridSpan w:val="2"/>
          </w:tcPr>
          <w:p w14:paraId="212855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2.96E+03</w:t>
            </w:r>
          </w:p>
        </w:tc>
        <w:tc>
          <w:tcPr>
            <w:tcW w:w="1774" w:type="dxa"/>
            <w:gridSpan w:val="2"/>
          </w:tcPr>
          <w:p w14:paraId="2376524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4.31E+04</w:t>
            </w:r>
          </w:p>
        </w:tc>
        <w:tc>
          <w:tcPr>
            <w:tcW w:w="1623" w:type="dxa"/>
            <w:gridSpan w:val="2"/>
          </w:tcPr>
          <w:p w14:paraId="0D4013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6E3C437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3.92E+04</w:t>
            </w:r>
          </w:p>
        </w:tc>
      </w:tr>
      <w:tr w:rsidR="001F600C" w:rsidRPr="00285D58" w14:paraId="065B26A3" w14:textId="77777777" w:rsidTr="00242093">
        <w:trPr>
          <w:trHeight w:val="255"/>
          <w:jc w:val="center"/>
        </w:trPr>
        <w:tc>
          <w:tcPr>
            <w:tcW w:w="1555" w:type="dxa"/>
            <w:vMerge/>
          </w:tcPr>
          <w:p w14:paraId="3C52F9C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5644D23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9420F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709" w:type="dxa"/>
          </w:tcPr>
          <w:p w14:paraId="664E1B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2044</w:t>
            </w:r>
          </w:p>
        </w:tc>
        <w:tc>
          <w:tcPr>
            <w:tcW w:w="1214" w:type="dxa"/>
            <w:gridSpan w:val="2"/>
          </w:tcPr>
          <w:p w14:paraId="5D898B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3.00E+03</w:t>
            </w:r>
          </w:p>
        </w:tc>
        <w:tc>
          <w:tcPr>
            <w:tcW w:w="1774" w:type="dxa"/>
            <w:gridSpan w:val="2"/>
          </w:tcPr>
          <w:p w14:paraId="00C329E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4.61E+04</w:t>
            </w:r>
          </w:p>
        </w:tc>
        <w:tc>
          <w:tcPr>
            <w:tcW w:w="1623" w:type="dxa"/>
            <w:gridSpan w:val="2"/>
          </w:tcPr>
          <w:p w14:paraId="5A2B64F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DCE81E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4.18E+04</w:t>
            </w:r>
          </w:p>
        </w:tc>
      </w:tr>
      <w:tr w:rsidR="001F600C" w:rsidRPr="00285D58" w14:paraId="2074A757" w14:textId="77777777" w:rsidTr="00242093">
        <w:trPr>
          <w:trHeight w:val="255"/>
          <w:jc w:val="center"/>
        </w:trPr>
        <w:tc>
          <w:tcPr>
            <w:tcW w:w="1555" w:type="dxa"/>
            <w:vMerge/>
          </w:tcPr>
          <w:p w14:paraId="71E5DDE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1A7EEA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1207FB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709" w:type="dxa"/>
          </w:tcPr>
          <w:p w14:paraId="5747BF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2045</w:t>
            </w:r>
          </w:p>
        </w:tc>
        <w:tc>
          <w:tcPr>
            <w:tcW w:w="1214" w:type="dxa"/>
            <w:gridSpan w:val="2"/>
          </w:tcPr>
          <w:p w14:paraId="7685C5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3.00E+03</w:t>
            </w:r>
          </w:p>
        </w:tc>
        <w:tc>
          <w:tcPr>
            <w:tcW w:w="1774" w:type="dxa"/>
            <w:gridSpan w:val="2"/>
          </w:tcPr>
          <w:p w14:paraId="04F000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4.91E+04</w:t>
            </w:r>
          </w:p>
        </w:tc>
        <w:tc>
          <w:tcPr>
            <w:tcW w:w="1623" w:type="dxa"/>
            <w:gridSpan w:val="2"/>
          </w:tcPr>
          <w:p w14:paraId="0645B3A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2.56E+03</w:t>
            </w:r>
          </w:p>
        </w:tc>
        <w:tc>
          <w:tcPr>
            <w:tcW w:w="1768" w:type="dxa"/>
          </w:tcPr>
          <w:p w14:paraId="3B0A97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4.43E+04</w:t>
            </w:r>
          </w:p>
        </w:tc>
      </w:tr>
      <w:tr w:rsidR="001F600C" w:rsidRPr="00285D58" w14:paraId="0BCBF470" w14:textId="77777777" w:rsidTr="00242093">
        <w:trPr>
          <w:trHeight w:val="255"/>
          <w:jc w:val="center"/>
        </w:trPr>
        <w:tc>
          <w:tcPr>
            <w:tcW w:w="1555" w:type="dxa"/>
            <w:vMerge/>
          </w:tcPr>
          <w:p w14:paraId="3644687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79681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A6CD7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709" w:type="dxa"/>
          </w:tcPr>
          <w:p w14:paraId="2CA03D2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2046</w:t>
            </w:r>
          </w:p>
        </w:tc>
        <w:tc>
          <w:tcPr>
            <w:tcW w:w="1214" w:type="dxa"/>
            <w:gridSpan w:val="2"/>
          </w:tcPr>
          <w:p w14:paraId="1A57AF6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3.03E+03</w:t>
            </w:r>
          </w:p>
        </w:tc>
        <w:tc>
          <w:tcPr>
            <w:tcW w:w="1774" w:type="dxa"/>
            <w:gridSpan w:val="2"/>
          </w:tcPr>
          <w:p w14:paraId="30F1DEC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5.21E+04</w:t>
            </w:r>
          </w:p>
        </w:tc>
        <w:tc>
          <w:tcPr>
            <w:tcW w:w="1623" w:type="dxa"/>
            <w:gridSpan w:val="2"/>
          </w:tcPr>
          <w:p w14:paraId="49FBA37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2.56E+03</w:t>
            </w:r>
          </w:p>
        </w:tc>
        <w:tc>
          <w:tcPr>
            <w:tcW w:w="1768" w:type="dxa"/>
          </w:tcPr>
          <w:p w14:paraId="55BB417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4.69E+04</w:t>
            </w:r>
          </w:p>
        </w:tc>
      </w:tr>
      <w:tr w:rsidR="001F600C" w:rsidRPr="00285D58" w14:paraId="3B5F39EA" w14:textId="77777777" w:rsidTr="00242093">
        <w:trPr>
          <w:trHeight w:val="255"/>
          <w:jc w:val="center"/>
        </w:trPr>
        <w:tc>
          <w:tcPr>
            <w:tcW w:w="1555" w:type="dxa"/>
            <w:vMerge/>
          </w:tcPr>
          <w:p w14:paraId="2A6D1D9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371601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623DBF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709" w:type="dxa"/>
          </w:tcPr>
          <w:p w14:paraId="75EB05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2047</w:t>
            </w:r>
          </w:p>
        </w:tc>
        <w:tc>
          <w:tcPr>
            <w:tcW w:w="1214" w:type="dxa"/>
            <w:gridSpan w:val="2"/>
          </w:tcPr>
          <w:p w14:paraId="543FDC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3.06E+03</w:t>
            </w:r>
          </w:p>
        </w:tc>
        <w:tc>
          <w:tcPr>
            <w:tcW w:w="1774" w:type="dxa"/>
            <w:gridSpan w:val="2"/>
          </w:tcPr>
          <w:p w14:paraId="30F8B1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5.52E+04</w:t>
            </w:r>
          </w:p>
        </w:tc>
        <w:tc>
          <w:tcPr>
            <w:tcW w:w="1623" w:type="dxa"/>
            <w:gridSpan w:val="2"/>
          </w:tcPr>
          <w:p w14:paraId="4FB0A6F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4702395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4.95E+04</w:t>
            </w:r>
          </w:p>
        </w:tc>
      </w:tr>
      <w:tr w:rsidR="001F600C" w:rsidRPr="00285D58" w14:paraId="78C7090D" w14:textId="77777777" w:rsidTr="00242093">
        <w:trPr>
          <w:trHeight w:val="255"/>
          <w:jc w:val="center"/>
        </w:trPr>
        <w:tc>
          <w:tcPr>
            <w:tcW w:w="1555" w:type="dxa"/>
            <w:vMerge/>
          </w:tcPr>
          <w:p w14:paraId="4F3DA86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708" w:type="dxa"/>
          </w:tcPr>
          <w:p w14:paraId="0B71CA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Año</w:t>
            </w:r>
          </w:p>
        </w:tc>
        <w:tc>
          <w:tcPr>
            <w:tcW w:w="567" w:type="dxa"/>
            <w:gridSpan w:val="2"/>
          </w:tcPr>
          <w:p w14:paraId="277C6A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709" w:type="dxa"/>
          </w:tcPr>
          <w:p w14:paraId="6B1999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2048</w:t>
            </w:r>
          </w:p>
        </w:tc>
        <w:tc>
          <w:tcPr>
            <w:tcW w:w="1214" w:type="dxa"/>
            <w:gridSpan w:val="2"/>
          </w:tcPr>
          <w:p w14:paraId="503405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3.09E+03</w:t>
            </w:r>
          </w:p>
        </w:tc>
        <w:tc>
          <w:tcPr>
            <w:tcW w:w="1774" w:type="dxa"/>
            <w:gridSpan w:val="2"/>
          </w:tcPr>
          <w:p w14:paraId="76D4184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5.83E+04</w:t>
            </w:r>
          </w:p>
        </w:tc>
        <w:tc>
          <w:tcPr>
            <w:tcW w:w="1623" w:type="dxa"/>
            <w:gridSpan w:val="2"/>
          </w:tcPr>
          <w:p w14:paraId="41B565E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2.59E+03</w:t>
            </w:r>
          </w:p>
        </w:tc>
        <w:tc>
          <w:tcPr>
            <w:tcW w:w="1768" w:type="dxa"/>
          </w:tcPr>
          <w:p w14:paraId="6713AC5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5.21E+04</w:t>
            </w:r>
          </w:p>
        </w:tc>
      </w:tr>
    </w:tbl>
    <w:p w14:paraId="06B31F34" w14:textId="34E8A745"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0C0BB86" w14:textId="77777777" w:rsidR="001F600C" w:rsidRPr="00285D58" w:rsidRDefault="001F600C" w:rsidP="008D1FFF">
      <w:pPr>
        <w:spacing w:line="276" w:lineRule="auto"/>
        <w:ind w:firstLine="567"/>
        <w:jc w:val="both"/>
        <w:rPr>
          <w:rFonts w:asciiTheme="minorHAnsi" w:eastAsia="Calibri" w:hAnsiTheme="minorHAnsi" w:cstheme="minorHAnsi"/>
        </w:rPr>
      </w:pPr>
    </w:p>
    <w:p w14:paraId="1CE6CE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Vía Turística de acceso vehicular E.C. Yanama - E.S. San Juan, considerando la solución de pavimento básico con periodo de diseño de 10 años, se obtiene </w:t>
      </w:r>
      <w:r w:rsidRPr="00285D58">
        <w:rPr>
          <w:rFonts w:asciiTheme="minorHAnsi" w:eastAsia="Calibri" w:hAnsiTheme="minorHAnsi" w:cstheme="minorHAnsi"/>
          <w:b/>
        </w:rPr>
        <w:t>2.84 E+04</w:t>
      </w:r>
      <w:r w:rsidRPr="00285D58">
        <w:rPr>
          <w:rFonts w:asciiTheme="minorHAnsi" w:eastAsia="Calibri" w:hAnsiTheme="minorHAnsi" w:cstheme="minorHAnsi"/>
        </w:rPr>
        <w:t xml:space="preserve"> Ejes Equivalentes Acumulados.</w:t>
      </w:r>
    </w:p>
    <w:p w14:paraId="5D9C8235" w14:textId="77777777" w:rsidR="001F600C" w:rsidRPr="00285D58" w:rsidRDefault="001F600C" w:rsidP="008D1FFF">
      <w:pPr>
        <w:spacing w:line="276" w:lineRule="auto"/>
        <w:ind w:firstLine="567"/>
        <w:jc w:val="both"/>
        <w:rPr>
          <w:rFonts w:asciiTheme="minorHAnsi" w:eastAsia="Calibri" w:hAnsiTheme="minorHAnsi" w:cstheme="minorHAnsi"/>
        </w:rPr>
      </w:pPr>
    </w:p>
    <w:p w14:paraId="583C02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Vía Turística de acceso vehicular Kiuñalla - E.S. Kiuñalla, considerando la solución de pavimento básico con periodo de diseño de 10 años, se obtiene </w:t>
      </w:r>
      <w:r w:rsidRPr="00285D58">
        <w:rPr>
          <w:rFonts w:asciiTheme="minorHAnsi" w:eastAsia="Calibri" w:hAnsiTheme="minorHAnsi" w:cstheme="minorHAnsi"/>
          <w:b/>
        </w:rPr>
        <w:t>2.62 E+04</w:t>
      </w:r>
      <w:r w:rsidRPr="00285D58">
        <w:rPr>
          <w:rFonts w:asciiTheme="minorHAnsi" w:eastAsia="Calibri" w:hAnsiTheme="minorHAnsi" w:cstheme="minorHAnsi"/>
        </w:rPr>
        <w:t xml:space="preserve"> Ejes Equivalentes Acumulados.</w:t>
      </w:r>
    </w:p>
    <w:p w14:paraId="113D5FA9" w14:textId="77777777" w:rsidR="001F600C" w:rsidRPr="00285D58" w:rsidRDefault="001F600C" w:rsidP="008D1FFF">
      <w:pPr>
        <w:spacing w:line="276" w:lineRule="auto"/>
        <w:ind w:firstLine="567"/>
        <w:jc w:val="both"/>
        <w:rPr>
          <w:rFonts w:asciiTheme="minorHAnsi" w:eastAsia="Calibri" w:hAnsiTheme="minorHAnsi" w:cstheme="minorHAnsi"/>
        </w:rPr>
      </w:pPr>
    </w:p>
    <w:p w14:paraId="7A8B9E53" w14:textId="77777777" w:rsidR="001F600C" w:rsidRPr="00285D58" w:rsidRDefault="001F600C"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Geotecnia-Geología</w:t>
      </w:r>
    </w:p>
    <w:p w14:paraId="5945B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determinación de las características geológicas y geotécnicas de los suelos donde se emplazarán las vías turísticas proyectadas. Se emplearon estudios anteriores, prospección de los suelos e inspección visual debido a que el terreno es de difícil acceso y con cobertura vegetal; las cuales se encuentran estudiadas con mayor detalle en el Estudio Específico N° 7 - Geología y Geotecnia.</w:t>
      </w:r>
    </w:p>
    <w:p w14:paraId="63A55C30" w14:textId="77777777" w:rsidR="001F600C" w:rsidRPr="00285D58" w:rsidRDefault="001F600C" w:rsidP="008D1FFF">
      <w:pPr>
        <w:spacing w:line="276" w:lineRule="auto"/>
        <w:ind w:firstLine="567"/>
        <w:jc w:val="both"/>
        <w:rPr>
          <w:rFonts w:asciiTheme="minorHAnsi" w:eastAsia="Calibri" w:hAnsiTheme="minorHAnsi" w:cstheme="minorHAnsi"/>
        </w:rPr>
      </w:pPr>
    </w:p>
    <w:p w14:paraId="59CE8C2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Vía Turística E.C. Yanama - E.S. San Juan</w:t>
      </w:r>
    </w:p>
    <w:p w14:paraId="63E4AC62" w14:textId="77777777" w:rsidR="001F600C" w:rsidRPr="00285D58" w:rsidRDefault="001F600C" w:rsidP="008D1FFF">
      <w:pPr>
        <w:spacing w:line="276" w:lineRule="auto"/>
        <w:ind w:firstLine="567"/>
        <w:jc w:val="both"/>
        <w:rPr>
          <w:rFonts w:asciiTheme="minorHAnsi" w:eastAsia="Calibri" w:hAnsiTheme="minorHAnsi" w:cstheme="minorHAnsi"/>
        </w:rPr>
      </w:pPr>
    </w:p>
    <w:p w14:paraId="56B606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eje de esta Vía Turística tiene 9.4 km, cuya trayectoria ha sido contrastada con el Plano Geológico Regional de la zona estudiada; además atraviesa tres unidades estratigráficas definidas, que se presentan en la Tabla 8, las cuales están delimitadas por las progresivas del eje: Unidad Geomorfológica, Unidad Estratigráfica, Descripción Geotécnica y taludes de corte estimados en cada caso.</w:t>
      </w:r>
    </w:p>
    <w:p w14:paraId="20157090" w14:textId="77777777" w:rsidR="001F600C" w:rsidRPr="00285D58" w:rsidRDefault="001F600C" w:rsidP="008D1FFF">
      <w:pPr>
        <w:spacing w:line="276" w:lineRule="auto"/>
        <w:ind w:firstLine="567"/>
        <w:jc w:val="both"/>
        <w:rPr>
          <w:rFonts w:asciiTheme="minorHAnsi" w:eastAsia="Calibri" w:hAnsiTheme="minorHAnsi" w:cstheme="minorHAnsi"/>
        </w:rPr>
      </w:pPr>
    </w:p>
    <w:p w14:paraId="718BF89C" w14:textId="0171F31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21</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EVALUACIÓN GEOLÓGICA – GEOTÉCNICA DE LA VIA TURÍSTICA NORTE</w:t>
      </w:r>
    </w:p>
    <w:tbl>
      <w:tblPr>
        <w:tblW w:w="9028"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63"/>
        <w:gridCol w:w="2261"/>
        <w:gridCol w:w="1683"/>
        <w:gridCol w:w="2055"/>
        <w:gridCol w:w="1466"/>
      </w:tblGrid>
      <w:tr w:rsidR="001F600C" w:rsidRPr="00AF1976" w14:paraId="0049740B" w14:textId="77777777" w:rsidTr="00242093">
        <w:trPr>
          <w:jc w:val="center"/>
        </w:trPr>
        <w:tc>
          <w:tcPr>
            <w:tcW w:w="1563" w:type="dxa"/>
          </w:tcPr>
          <w:p w14:paraId="21CD70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Progresivas </w:t>
            </w:r>
            <w:r w:rsidRPr="00285D58">
              <w:rPr>
                <w:rFonts w:asciiTheme="minorHAnsi" w:eastAsia="Calibri" w:hAnsiTheme="minorHAnsi" w:cstheme="minorHAnsi"/>
              </w:rPr>
              <w:lastRenderedPageBreak/>
              <w:t>(Km)</w:t>
            </w:r>
          </w:p>
        </w:tc>
        <w:tc>
          <w:tcPr>
            <w:tcW w:w="2261" w:type="dxa"/>
          </w:tcPr>
          <w:p w14:paraId="6166C9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Unidad </w:t>
            </w:r>
            <w:r w:rsidRPr="00285D58">
              <w:rPr>
                <w:rFonts w:asciiTheme="minorHAnsi" w:eastAsia="Calibri" w:hAnsiTheme="minorHAnsi" w:cstheme="minorHAnsi"/>
              </w:rPr>
              <w:lastRenderedPageBreak/>
              <w:t>Geomorfológica</w:t>
            </w:r>
          </w:p>
        </w:tc>
        <w:tc>
          <w:tcPr>
            <w:tcW w:w="1683" w:type="dxa"/>
          </w:tcPr>
          <w:p w14:paraId="3F4734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Unidad </w:t>
            </w:r>
            <w:r w:rsidRPr="00285D58">
              <w:rPr>
                <w:rFonts w:asciiTheme="minorHAnsi" w:eastAsia="Calibri" w:hAnsiTheme="minorHAnsi" w:cstheme="minorHAnsi"/>
              </w:rPr>
              <w:lastRenderedPageBreak/>
              <w:t>Estratigráfica</w:t>
            </w:r>
          </w:p>
        </w:tc>
        <w:tc>
          <w:tcPr>
            <w:tcW w:w="2055" w:type="dxa"/>
          </w:tcPr>
          <w:p w14:paraId="29BB8B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Descripción </w:t>
            </w:r>
            <w:r w:rsidRPr="00285D58">
              <w:rPr>
                <w:rFonts w:asciiTheme="minorHAnsi" w:eastAsia="Calibri" w:hAnsiTheme="minorHAnsi" w:cstheme="minorHAnsi"/>
              </w:rPr>
              <w:lastRenderedPageBreak/>
              <w:t>Geotécnica</w:t>
            </w:r>
          </w:p>
        </w:tc>
        <w:tc>
          <w:tcPr>
            <w:tcW w:w="1466" w:type="dxa"/>
          </w:tcPr>
          <w:p w14:paraId="1AE5E330"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lastRenderedPageBreak/>
              <w:t xml:space="preserve">Talud de </w:t>
            </w:r>
            <w:r w:rsidRPr="00BB5F42">
              <w:rPr>
                <w:rFonts w:asciiTheme="minorHAnsi" w:eastAsia="Calibri" w:hAnsiTheme="minorHAnsi" w:cstheme="minorHAnsi"/>
                <w:lang w:val="pt-BR"/>
              </w:rPr>
              <w:lastRenderedPageBreak/>
              <w:t>corte estimado (H:V)</w:t>
            </w:r>
          </w:p>
        </w:tc>
      </w:tr>
      <w:tr w:rsidR="001F600C" w:rsidRPr="00285D58" w14:paraId="4F92FAC3" w14:textId="77777777" w:rsidTr="00242093">
        <w:trPr>
          <w:jc w:val="center"/>
        </w:trPr>
        <w:tc>
          <w:tcPr>
            <w:tcW w:w="1563" w:type="dxa"/>
          </w:tcPr>
          <w:p w14:paraId="1CF588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0+000 - 2+900</w:t>
            </w:r>
          </w:p>
        </w:tc>
        <w:tc>
          <w:tcPr>
            <w:tcW w:w="2261" w:type="dxa"/>
          </w:tcPr>
          <w:p w14:paraId="1270AA6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 con pequeñas terrazas, constituidas por depósitos aluviales de la quebrada Yanama y afluentes.</w:t>
            </w:r>
          </w:p>
        </w:tc>
        <w:tc>
          <w:tcPr>
            <w:tcW w:w="1683" w:type="dxa"/>
          </w:tcPr>
          <w:p w14:paraId="0745C6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QpI-mo</w:t>
            </w:r>
          </w:p>
        </w:tc>
        <w:tc>
          <w:tcPr>
            <w:tcW w:w="2055" w:type="dxa"/>
          </w:tcPr>
          <w:p w14:paraId="1AEA4A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Bloques y gravas de formas mayormente sub redondeadas a sub angulosos con matriz areno arcillosas. Estos suelos presentan compacidad media a baja.</w:t>
            </w:r>
          </w:p>
        </w:tc>
        <w:tc>
          <w:tcPr>
            <w:tcW w:w="1466" w:type="dxa"/>
          </w:tcPr>
          <w:p w14:paraId="294177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 a 1:4</w:t>
            </w:r>
          </w:p>
        </w:tc>
      </w:tr>
      <w:tr w:rsidR="001F600C" w:rsidRPr="00285D58" w14:paraId="0E72C5DB" w14:textId="77777777" w:rsidTr="00242093">
        <w:trPr>
          <w:jc w:val="center"/>
        </w:trPr>
        <w:tc>
          <w:tcPr>
            <w:tcW w:w="1563" w:type="dxa"/>
          </w:tcPr>
          <w:p w14:paraId="54AAF5B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2+900 - 6+000</w:t>
            </w:r>
          </w:p>
        </w:tc>
        <w:tc>
          <w:tcPr>
            <w:tcW w:w="2261" w:type="dxa"/>
          </w:tcPr>
          <w:p w14:paraId="3DA03B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w:t>
            </w:r>
          </w:p>
        </w:tc>
        <w:tc>
          <w:tcPr>
            <w:tcW w:w="1683" w:type="dxa"/>
          </w:tcPr>
          <w:p w14:paraId="471874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Pe-i/gn,a,mi</w:t>
            </w:r>
          </w:p>
        </w:tc>
        <w:tc>
          <w:tcPr>
            <w:tcW w:w="2055" w:type="dxa"/>
          </w:tcPr>
          <w:p w14:paraId="1040C1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muy antiguas de tipo metamórfico del complejo Iscabamba constituidas por gneis, anfibolitas y mica esquistos.</w:t>
            </w:r>
          </w:p>
        </w:tc>
        <w:tc>
          <w:tcPr>
            <w:tcW w:w="1466" w:type="dxa"/>
          </w:tcPr>
          <w:p w14:paraId="1F39FB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 a 1:7</w:t>
            </w:r>
          </w:p>
        </w:tc>
      </w:tr>
      <w:tr w:rsidR="001F600C" w:rsidRPr="00285D58" w14:paraId="6A4FC584" w14:textId="77777777" w:rsidTr="00242093">
        <w:trPr>
          <w:jc w:val="center"/>
        </w:trPr>
        <w:tc>
          <w:tcPr>
            <w:tcW w:w="1563" w:type="dxa"/>
          </w:tcPr>
          <w:p w14:paraId="641D20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6+000 - 9+431</w:t>
            </w:r>
          </w:p>
        </w:tc>
        <w:tc>
          <w:tcPr>
            <w:tcW w:w="2261" w:type="dxa"/>
          </w:tcPr>
          <w:p w14:paraId="4C6CF7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Sector conformado por laderas de pendientes moderadas.</w:t>
            </w:r>
          </w:p>
        </w:tc>
        <w:tc>
          <w:tcPr>
            <w:tcW w:w="1683" w:type="dxa"/>
          </w:tcPr>
          <w:p w14:paraId="0B5529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Pe-i/cu,ma,a</w:t>
            </w:r>
          </w:p>
        </w:tc>
        <w:tc>
          <w:tcPr>
            <w:tcW w:w="2055" w:type="dxa"/>
          </w:tcPr>
          <w:p w14:paraId="5D379D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muy antiguas de tipo metamórfico del complejo Iscabamba constituidas por cuarcitas, mármoles y anfibolitas.</w:t>
            </w:r>
          </w:p>
        </w:tc>
        <w:tc>
          <w:tcPr>
            <w:tcW w:w="1466" w:type="dxa"/>
          </w:tcPr>
          <w:p w14:paraId="39A42C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 a 1:7</w:t>
            </w:r>
          </w:p>
        </w:tc>
      </w:tr>
    </w:tbl>
    <w:p w14:paraId="1159544A" w14:textId="5F2B67F0"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B034D9C" w14:textId="77777777" w:rsidR="001F600C" w:rsidRPr="00285D58" w:rsidRDefault="001F600C" w:rsidP="008D1FFF">
      <w:pPr>
        <w:spacing w:line="276" w:lineRule="auto"/>
        <w:ind w:firstLine="567"/>
        <w:jc w:val="both"/>
        <w:rPr>
          <w:rFonts w:asciiTheme="minorHAnsi" w:eastAsia="Calibri" w:hAnsiTheme="minorHAnsi" w:cstheme="minorHAnsi"/>
        </w:rPr>
      </w:pPr>
    </w:p>
    <w:p w14:paraId="38C532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la finalidad de determinar en forma preliminar la caracterización de los estratos de suelos con fines de construcción de infraestructura vial, se ha utilizado la información existente del estudio: “Creación del Servicio de Transitabilidad Vehicular Yanama - Rio Blanco - Rio Apurímac”, desarrollado por la municipalidad distrital de Santa Teresa en el año 2017. En este estudio se han ejecutado calicatas de investigación de suelos. </w:t>
      </w:r>
    </w:p>
    <w:p w14:paraId="002ADC35" w14:textId="77777777" w:rsidR="001F600C" w:rsidRPr="00285D58" w:rsidRDefault="001F600C" w:rsidP="008D1FFF">
      <w:pPr>
        <w:spacing w:line="276" w:lineRule="auto"/>
        <w:jc w:val="both"/>
        <w:rPr>
          <w:rFonts w:asciiTheme="minorHAnsi" w:eastAsia="Calibri" w:hAnsiTheme="minorHAnsi" w:cstheme="minorHAnsi"/>
        </w:rPr>
      </w:pPr>
    </w:p>
    <w:p w14:paraId="074E81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estudio mencionado, que se desarrolla a lo largo de la cuenca del rio Yanama en su margen izquierda, se encuentran sectores que coinciden o atraviesan algunas unidades estratigráficas del Plano Geológico Regional sobre el que se propone el alineamiento de la Vía Turística de acceso vehicular E.C. Yanama - E.S. San Juan.</w:t>
      </w:r>
    </w:p>
    <w:p w14:paraId="69C5E21E" w14:textId="77777777" w:rsidR="001F600C" w:rsidRPr="00285D58" w:rsidRDefault="001F600C" w:rsidP="008D1FFF">
      <w:pPr>
        <w:spacing w:line="276" w:lineRule="auto"/>
        <w:ind w:firstLine="567"/>
        <w:jc w:val="both"/>
        <w:rPr>
          <w:rFonts w:asciiTheme="minorHAnsi" w:eastAsia="Calibri" w:hAnsiTheme="minorHAnsi" w:cstheme="minorHAnsi"/>
        </w:rPr>
      </w:pPr>
    </w:p>
    <w:p w14:paraId="6780817D" w14:textId="106F3490" w:rsidR="001F600C" w:rsidRPr="00285D58" w:rsidRDefault="001F600C" w:rsidP="008D1FFF">
      <w:pPr>
        <w:pStyle w:val="Descripcin"/>
        <w:spacing w:line="276" w:lineRule="auto"/>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CALICATAS Y CORRELACIÓN CON EL EJE DE LA VÍA TURÍSTICA NORTE</w:t>
      </w:r>
    </w:p>
    <w:tbl>
      <w:tblPr>
        <w:tblW w:w="9209"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094"/>
        <w:gridCol w:w="1210"/>
        <w:gridCol w:w="1073"/>
        <w:gridCol w:w="1090"/>
        <w:gridCol w:w="970"/>
        <w:gridCol w:w="1126"/>
        <w:gridCol w:w="1065"/>
        <w:gridCol w:w="1581"/>
      </w:tblGrid>
      <w:tr w:rsidR="001F600C" w:rsidRPr="00285D58" w14:paraId="475B9CE2" w14:textId="77777777" w:rsidTr="00242093">
        <w:trPr>
          <w:trHeight w:val="851"/>
          <w:jc w:val="center"/>
        </w:trPr>
        <w:tc>
          <w:tcPr>
            <w:tcW w:w="1094" w:type="dxa"/>
          </w:tcPr>
          <w:p w14:paraId="47F478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Calicata</w:t>
            </w:r>
            <w:r w:rsidRPr="00285D58">
              <w:rPr>
                <w:rFonts w:asciiTheme="minorHAnsi" w:eastAsia="Calibri" w:hAnsiTheme="minorHAnsi" w:cstheme="minorHAnsi"/>
              </w:rPr>
              <w:br/>
              <w:t>Ref.</w:t>
            </w:r>
          </w:p>
        </w:tc>
        <w:tc>
          <w:tcPr>
            <w:tcW w:w="1210" w:type="dxa"/>
          </w:tcPr>
          <w:p w14:paraId="08CCC7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Contenido de Humedad</w:t>
            </w:r>
          </w:p>
        </w:tc>
        <w:tc>
          <w:tcPr>
            <w:tcW w:w="1073" w:type="dxa"/>
          </w:tcPr>
          <w:p w14:paraId="330FE78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Límite Líquido</w:t>
            </w:r>
          </w:p>
        </w:tc>
        <w:tc>
          <w:tcPr>
            <w:tcW w:w="1090" w:type="dxa"/>
          </w:tcPr>
          <w:p w14:paraId="043108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Límite Plástico</w:t>
            </w:r>
          </w:p>
        </w:tc>
        <w:tc>
          <w:tcPr>
            <w:tcW w:w="970" w:type="dxa"/>
          </w:tcPr>
          <w:p w14:paraId="68275D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SUCS</w:t>
            </w:r>
          </w:p>
        </w:tc>
        <w:tc>
          <w:tcPr>
            <w:tcW w:w="1126" w:type="dxa"/>
          </w:tcPr>
          <w:p w14:paraId="4937BA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AASHTO</w:t>
            </w:r>
          </w:p>
        </w:tc>
        <w:tc>
          <w:tcPr>
            <w:tcW w:w="1065" w:type="dxa"/>
          </w:tcPr>
          <w:p w14:paraId="79E83E1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w:t>
            </w:r>
          </w:p>
        </w:tc>
        <w:tc>
          <w:tcPr>
            <w:tcW w:w="1581" w:type="dxa"/>
          </w:tcPr>
          <w:p w14:paraId="5DA2BDE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Tramo</w:t>
            </w:r>
          </w:p>
        </w:tc>
      </w:tr>
      <w:tr w:rsidR="001F600C" w:rsidRPr="00285D58" w14:paraId="5E45BEAE" w14:textId="77777777" w:rsidTr="00242093">
        <w:trPr>
          <w:trHeight w:val="407"/>
          <w:jc w:val="center"/>
        </w:trPr>
        <w:tc>
          <w:tcPr>
            <w:tcW w:w="1094" w:type="dxa"/>
          </w:tcPr>
          <w:p w14:paraId="209E67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C-01**</w:t>
            </w:r>
          </w:p>
        </w:tc>
        <w:tc>
          <w:tcPr>
            <w:tcW w:w="1210" w:type="dxa"/>
          </w:tcPr>
          <w:p w14:paraId="77FF7F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18.89</w:t>
            </w:r>
          </w:p>
        </w:tc>
        <w:tc>
          <w:tcPr>
            <w:tcW w:w="1073" w:type="dxa"/>
          </w:tcPr>
          <w:p w14:paraId="1FD00A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29.83</w:t>
            </w:r>
          </w:p>
        </w:tc>
        <w:tc>
          <w:tcPr>
            <w:tcW w:w="1090" w:type="dxa"/>
          </w:tcPr>
          <w:p w14:paraId="0B3071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22.11</w:t>
            </w:r>
          </w:p>
        </w:tc>
        <w:tc>
          <w:tcPr>
            <w:tcW w:w="970" w:type="dxa"/>
          </w:tcPr>
          <w:p w14:paraId="5C84C54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GM</w:t>
            </w:r>
          </w:p>
        </w:tc>
        <w:tc>
          <w:tcPr>
            <w:tcW w:w="1126" w:type="dxa"/>
          </w:tcPr>
          <w:p w14:paraId="6C90CB5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9D5E2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20.00%</w:t>
            </w:r>
          </w:p>
        </w:tc>
        <w:tc>
          <w:tcPr>
            <w:tcW w:w="1581" w:type="dxa"/>
          </w:tcPr>
          <w:p w14:paraId="6D6532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1C6CE4C2" w14:textId="77777777" w:rsidTr="00242093">
        <w:trPr>
          <w:trHeight w:val="407"/>
          <w:jc w:val="center"/>
        </w:trPr>
        <w:tc>
          <w:tcPr>
            <w:tcW w:w="1094" w:type="dxa"/>
          </w:tcPr>
          <w:p w14:paraId="34B0F5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C-02</w:t>
            </w:r>
          </w:p>
        </w:tc>
        <w:tc>
          <w:tcPr>
            <w:tcW w:w="1210" w:type="dxa"/>
          </w:tcPr>
          <w:p w14:paraId="03D086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14.48</w:t>
            </w:r>
          </w:p>
        </w:tc>
        <w:tc>
          <w:tcPr>
            <w:tcW w:w="1073" w:type="dxa"/>
          </w:tcPr>
          <w:p w14:paraId="71CDDF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28.76</w:t>
            </w:r>
          </w:p>
        </w:tc>
        <w:tc>
          <w:tcPr>
            <w:tcW w:w="1090" w:type="dxa"/>
          </w:tcPr>
          <w:p w14:paraId="01F66A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20.16</w:t>
            </w:r>
          </w:p>
        </w:tc>
        <w:tc>
          <w:tcPr>
            <w:tcW w:w="970" w:type="dxa"/>
          </w:tcPr>
          <w:p w14:paraId="655340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45E1EC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741711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18.00%</w:t>
            </w:r>
          </w:p>
        </w:tc>
        <w:tc>
          <w:tcPr>
            <w:tcW w:w="1581" w:type="dxa"/>
          </w:tcPr>
          <w:p w14:paraId="749BE9F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7B477811" w14:textId="77777777" w:rsidTr="00242093">
        <w:trPr>
          <w:trHeight w:val="407"/>
          <w:jc w:val="center"/>
        </w:trPr>
        <w:tc>
          <w:tcPr>
            <w:tcW w:w="1094" w:type="dxa"/>
          </w:tcPr>
          <w:p w14:paraId="1890A9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C-03**</w:t>
            </w:r>
          </w:p>
        </w:tc>
        <w:tc>
          <w:tcPr>
            <w:tcW w:w="1210" w:type="dxa"/>
          </w:tcPr>
          <w:p w14:paraId="00C4DC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27.95</w:t>
            </w:r>
          </w:p>
        </w:tc>
        <w:tc>
          <w:tcPr>
            <w:tcW w:w="1073" w:type="dxa"/>
          </w:tcPr>
          <w:p w14:paraId="1B489A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36.88</w:t>
            </w:r>
          </w:p>
        </w:tc>
        <w:tc>
          <w:tcPr>
            <w:tcW w:w="1090" w:type="dxa"/>
          </w:tcPr>
          <w:p w14:paraId="4B6407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27.6</w:t>
            </w:r>
          </w:p>
        </w:tc>
        <w:tc>
          <w:tcPr>
            <w:tcW w:w="970" w:type="dxa"/>
          </w:tcPr>
          <w:p w14:paraId="578233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ML</w:t>
            </w:r>
          </w:p>
        </w:tc>
        <w:tc>
          <w:tcPr>
            <w:tcW w:w="1126" w:type="dxa"/>
          </w:tcPr>
          <w:p w14:paraId="38F144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A-4 (0)</w:t>
            </w:r>
          </w:p>
        </w:tc>
        <w:tc>
          <w:tcPr>
            <w:tcW w:w="1065" w:type="dxa"/>
          </w:tcPr>
          <w:p w14:paraId="1AE25F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6.00%</w:t>
            </w:r>
          </w:p>
        </w:tc>
        <w:tc>
          <w:tcPr>
            <w:tcW w:w="1581" w:type="dxa"/>
          </w:tcPr>
          <w:p w14:paraId="7970E6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3EF6081E" w14:textId="77777777" w:rsidTr="00242093">
        <w:trPr>
          <w:trHeight w:val="407"/>
          <w:jc w:val="center"/>
        </w:trPr>
        <w:tc>
          <w:tcPr>
            <w:tcW w:w="1094" w:type="dxa"/>
          </w:tcPr>
          <w:p w14:paraId="7FD60D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C-04**</w:t>
            </w:r>
          </w:p>
        </w:tc>
        <w:tc>
          <w:tcPr>
            <w:tcW w:w="1210" w:type="dxa"/>
          </w:tcPr>
          <w:p w14:paraId="51D496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12.65</w:t>
            </w:r>
          </w:p>
        </w:tc>
        <w:tc>
          <w:tcPr>
            <w:tcW w:w="1073" w:type="dxa"/>
          </w:tcPr>
          <w:p w14:paraId="6396DB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29.83</w:t>
            </w:r>
          </w:p>
        </w:tc>
        <w:tc>
          <w:tcPr>
            <w:tcW w:w="1090" w:type="dxa"/>
          </w:tcPr>
          <w:p w14:paraId="2D64C5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22.11</w:t>
            </w:r>
          </w:p>
        </w:tc>
        <w:tc>
          <w:tcPr>
            <w:tcW w:w="970" w:type="dxa"/>
          </w:tcPr>
          <w:p w14:paraId="0DFE02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64BE92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7E1351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21.00%</w:t>
            </w:r>
          </w:p>
        </w:tc>
        <w:tc>
          <w:tcPr>
            <w:tcW w:w="1581" w:type="dxa"/>
          </w:tcPr>
          <w:p w14:paraId="4618C2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2+000</w:t>
            </w:r>
          </w:p>
        </w:tc>
      </w:tr>
      <w:tr w:rsidR="001F600C" w:rsidRPr="00285D58" w14:paraId="3A04BD24" w14:textId="77777777" w:rsidTr="00242093">
        <w:trPr>
          <w:trHeight w:val="407"/>
          <w:jc w:val="center"/>
        </w:trPr>
        <w:tc>
          <w:tcPr>
            <w:tcW w:w="1094" w:type="dxa"/>
          </w:tcPr>
          <w:p w14:paraId="7FA231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C-05</w:t>
            </w:r>
          </w:p>
        </w:tc>
        <w:tc>
          <w:tcPr>
            <w:tcW w:w="1210" w:type="dxa"/>
          </w:tcPr>
          <w:p w14:paraId="0C641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7.18</w:t>
            </w:r>
          </w:p>
        </w:tc>
        <w:tc>
          <w:tcPr>
            <w:tcW w:w="1073" w:type="dxa"/>
          </w:tcPr>
          <w:p w14:paraId="77D86DE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29.21</w:t>
            </w:r>
          </w:p>
        </w:tc>
        <w:tc>
          <w:tcPr>
            <w:tcW w:w="1090" w:type="dxa"/>
          </w:tcPr>
          <w:p w14:paraId="44FC4F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7.36</w:t>
            </w:r>
          </w:p>
        </w:tc>
        <w:tc>
          <w:tcPr>
            <w:tcW w:w="970" w:type="dxa"/>
          </w:tcPr>
          <w:p w14:paraId="1E77E2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GC</w:t>
            </w:r>
          </w:p>
        </w:tc>
        <w:tc>
          <w:tcPr>
            <w:tcW w:w="1126" w:type="dxa"/>
          </w:tcPr>
          <w:p w14:paraId="782D839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A-2-4 (0)</w:t>
            </w:r>
          </w:p>
        </w:tc>
        <w:tc>
          <w:tcPr>
            <w:tcW w:w="1065" w:type="dxa"/>
          </w:tcPr>
          <w:p w14:paraId="051EE3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18.00%</w:t>
            </w:r>
          </w:p>
        </w:tc>
        <w:tc>
          <w:tcPr>
            <w:tcW w:w="1581" w:type="dxa"/>
          </w:tcPr>
          <w:p w14:paraId="0D1001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3+000 - 6+000</w:t>
            </w:r>
          </w:p>
        </w:tc>
      </w:tr>
      <w:tr w:rsidR="001F600C" w:rsidRPr="00285D58" w14:paraId="1522D654" w14:textId="77777777" w:rsidTr="00242093">
        <w:trPr>
          <w:trHeight w:val="407"/>
          <w:jc w:val="center"/>
        </w:trPr>
        <w:tc>
          <w:tcPr>
            <w:tcW w:w="1094" w:type="dxa"/>
          </w:tcPr>
          <w:p w14:paraId="62D8E61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C-10</w:t>
            </w:r>
          </w:p>
        </w:tc>
        <w:tc>
          <w:tcPr>
            <w:tcW w:w="6534" w:type="dxa"/>
            <w:gridSpan w:val="6"/>
          </w:tcPr>
          <w:p w14:paraId="3600F7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w:t>
            </w:r>
          </w:p>
        </w:tc>
        <w:tc>
          <w:tcPr>
            <w:tcW w:w="1581" w:type="dxa"/>
          </w:tcPr>
          <w:p w14:paraId="5E1636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7+000 - 9+400</w:t>
            </w:r>
          </w:p>
        </w:tc>
      </w:tr>
    </w:tbl>
    <w:p w14:paraId="748501B2" w14:textId="32394029"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3B55C6" w:rsidRPr="00285D58">
        <w:rPr>
          <w:rFonts w:asciiTheme="minorHAnsi" w:eastAsia="Calibri" w:hAnsiTheme="minorHAnsi" w:cstheme="minorHAnsi"/>
        </w:rPr>
        <w:t>.</w:t>
      </w:r>
    </w:p>
    <w:p w14:paraId="2D9EF7CF" w14:textId="77777777" w:rsidR="001F600C" w:rsidRPr="00285D58" w:rsidRDefault="001F600C" w:rsidP="008D1FFF">
      <w:pPr>
        <w:spacing w:line="276" w:lineRule="auto"/>
        <w:ind w:firstLine="567"/>
        <w:jc w:val="both"/>
        <w:rPr>
          <w:rFonts w:asciiTheme="minorHAnsi" w:eastAsia="Calibri" w:hAnsiTheme="minorHAnsi" w:cstheme="minorHAnsi"/>
        </w:rPr>
      </w:pPr>
    </w:p>
    <w:p w14:paraId="46959A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Debido a la configuración de la Vía Turística E.C. Yanama - E.S. San Juan de 9.4 km, vía en desarrollo con curvas de vuelta; y de los resultados estimados debido al impedimento de realizar los trabajos de campo; podemos apreciar una calicata en el límite de las categorías de subrasante entre insuficiente y regular, según el Manual de Suelos y Pavimentos del MTC, por tal motivo se adopta el menor valor de CBR de diseño de 6.00 %. Ver Tabla 9.</w:t>
      </w:r>
    </w:p>
    <w:p w14:paraId="745A4244" w14:textId="77777777" w:rsidR="001F600C" w:rsidRPr="00285D58" w:rsidRDefault="001F600C" w:rsidP="008D1FFF">
      <w:pPr>
        <w:spacing w:line="276" w:lineRule="auto"/>
        <w:ind w:firstLine="567"/>
        <w:jc w:val="both"/>
        <w:rPr>
          <w:rFonts w:asciiTheme="minorHAnsi" w:eastAsia="Calibri" w:hAnsiTheme="minorHAnsi" w:cstheme="minorHAnsi"/>
        </w:rPr>
      </w:pPr>
    </w:p>
    <w:p w14:paraId="45AD2FD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20118F7F" w14:textId="77777777" w:rsidR="001F600C" w:rsidRPr="00285D58" w:rsidRDefault="001F600C" w:rsidP="008D1FFF">
      <w:pPr>
        <w:spacing w:line="276" w:lineRule="auto"/>
        <w:ind w:firstLine="567"/>
        <w:jc w:val="both"/>
        <w:rPr>
          <w:rFonts w:asciiTheme="minorHAnsi" w:eastAsia="Calibri" w:hAnsiTheme="minorHAnsi" w:cstheme="minorHAnsi"/>
        </w:rPr>
      </w:pPr>
    </w:p>
    <w:p w14:paraId="5CBAB1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eje de esta Vía Turística tiene 1.3 km, cuya trayectoria ha sido contrastada con el Plano Geológico Regional de la zona estudiada; además atraviesa una unidad estratigráfica definida, que se presenta en la Tabla 10, la cual está delimitada por las progresivas del eje: Unidad Geomorfológica, Unidad Estratigráfica, Descripción Geotécnica y taludes de corte estimados en cada caso.</w:t>
      </w:r>
    </w:p>
    <w:p w14:paraId="013F6969" w14:textId="77777777" w:rsidR="001F600C" w:rsidRPr="00285D58" w:rsidRDefault="001F600C" w:rsidP="008D1FFF">
      <w:pPr>
        <w:spacing w:line="276" w:lineRule="auto"/>
        <w:ind w:firstLine="567"/>
        <w:jc w:val="both"/>
        <w:rPr>
          <w:rFonts w:asciiTheme="minorHAnsi" w:eastAsia="Calibri" w:hAnsiTheme="minorHAnsi" w:cstheme="minorHAnsi"/>
        </w:rPr>
      </w:pPr>
    </w:p>
    <w:p w14:paraId="4CDD24FB" w14:textId="5EF83D3C"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23</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EVALUACIÓN GEOLÓGICA – GEOTÉCNICA DE LA VÍA TURÍSTICA SUR.</w:t>
      </w:r>
    </w:p>
    <w:tbl>
      <w:tblPr>
        <w:tblW w:w="9072"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546"/>
        <w:gridCol w:w="2208"/>
        <w:gridCol w:w="1659"/>
        <w:gridCol w:w="2255"/>
        <w:gridCol w:w="1404"/>
      </w:tblGrid>
      <w:tr w:rsidR="001F600C" w:rsidRPr="00AF1976" w14:paraId="3AD67B38" w14:textId="77777777" w:rsidTr="00242093">
        <w:trPr>
          <w:jc w:val="center"/>
        </w:trPr>
        <w:tc>
          <w:tcPr>
            <w:tcW w:w="1546" w:type="dxa"/>
          </w:tcPr>
          <w:p w14:paraId="5AE091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Progresivas (Km)</w:t>
            </w:r>
          </w:p>
        </w:tc>
        <w:tc>
          <w:tcPr>
            <w:tcW w:w="2208" w:type="dxa"/>
          </w:tcPr>
          <w:p w14:paraId="743F2B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Unidad Geomorfológica</w:t>
            </w:r>
          </w:p>
        </w:tc>
        <w:tc>
          <w:tcPr>
            <w:tcW w:w="1659" w:type="dxa"/>
          </w:tcPr>
          <w:p w14:paraId="367388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Unidad Estratigráfica</w:t>
            </w:r>
          </w:p>
        </w:tc>
        <w:tc>
          <w:tcPr>
            <w:tcW w:w="2255" w:type="dxa"/>
          </w:tcPr>
          <w:p w14:paraId="095A34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Descripción Geotécnica</w:t>
            </w:r>
          </w:p>
        </w:tc>
        <w:tc>
          <w:tcPr>
            <w:tcW w:w="1404" w:type="dxa"/>
          </w:tcPr>
          <w:p w14:paraId="64A220F0"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Talud de corte estimado (H:V)</w:t>
            </w:r>
          </w:p>
        </w:tc>
      </w:tr>
      <w:tr w:rsidR="001F600C" w:rsidRPr="00285D58" w14:paraId="5642D6EF" w14:textId="77777777" w:rsidTr="00242093">
        <w:trPr>
          <w:jc w:val="center"/>
        </w:trPr>
        <w:tc>
          <w:tcPr>
            <w:tcW w:w="1546" w:type="dxa"/>
          </w:tcPr>
          <w:p w14:paraId="5141D9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c>
          <w:tcPr>
            <w:tcW w:w="2208" w:type="dxa"/>
          </w:tcPr>
          <w:p w14:paraId="6646B7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Laderas de pendientes moderadas a escarpadas ubicadas en la parte alta de la margen izquierda del valle del rio Huanipaca.</w:t>
            </w:r>
          </w:p>
        </w:tc>
        <w:tc>
          <w:tcPr>
            <w:tcW w:w="1659" w:type="dxa"/>
          </w:tcPr>
          <w:p w14:paraId="41FA8450" w14:textId="77777777" w:rsidR="001F600C" w:rsidRPr="00285D58" w:rsidRDefault="001F600C" w:rsidP="008D1FFF">
            <w:pPr>
              <w:spacing w:line="276" w:lineRule="auto"/>
              <w:jc w:val="both"/>
              <w:rPr>
                <w:rFonts w:asciiTheme="minorHAnsi" w:eastAsia="Calibri" w:hAnsiTheme="minorHAnsi" w:cstheme="minorHAnsi"/>
                <w:lang w:val="it-IT"/>
              </w:rPr>
            </w:pPr>
            <w:r w:rsidRPr="00285D58">
              <w:rPr>
                <w:rFonts w:asciiTheme="minorHAnsi" w:eastAsia="Calibri" w:hAnsiTheme="minorHAnsi" w:cstheme="minorHAnsi"/>
                <w:lang w:val="it-IT"/>
              </w:rPr>
              <w:t>CaOi-O/e,cu,ma,e</w:t>
            </w:r>
          </w:p>
        </w:tc>
        <w:tc>
          <w:tcPr>
            <w:tcW w:w="2255" w:type="dxa"/>
          </w:tcPr>
          <w:p w14:paraId="42B2D0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Rocas metamórficas conformadas por Meta volcánicos, cuarcitas, mármol y esquistos de sericita-micas.</w:t>
            </w:r>
          </w:p>
        </w:tc>
        <w:tc>
          <w:tcPr>
            <w:tcW w:w="1404" w:type="dxa"/>
          </w:tcPr>
          <w:p w14:paraId="60F947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 a 1:4</w:t>
            </w:r>
          </w:p>
        </w:tc>
      </w:tr>
    </w:tbl>
    <w:p w14:paraId="5D3C7985" w14:textId="203F3A63"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740ED654" w14:textId="77777777" w:rsidR="001F600C" w:rsidRPr="00285D58" w:rsidRDefault="001F600C" w:rsidP="008D1FFF">
      <w:pPr>
        <w:spacing w:line="276" w:lineRule="auto"/>
        <w:ind w:firstLine="567"/>
        <w:jc w:val="both"/>
        <w:rPr>
          <w:rFonts w:asciiTheme="minorHAnsi" w:eastAsia="Calibri" w:hAnsiTheme="minorHAnsi" w:cstheme="minorHAnsi"/>
        </w:rPr>
      </w:pPr>
    </w:p>
    <w:p w14:paraId="78414D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la finalidad de determinar en forma preliminar la caracterización de los estratos de suelos se </w:t>
      </w:r>
      <w:r w:rsidRPr="00285D58">
        <w:rPr>
          <w:rFonts w:asciiTheme="minorHAnsi" w:eastAsia="Calibri" w:hAnsiTheme="minorHAnsi" w:cstheme="minorHAnsi"/>
        </w:rPr>
        <w:lastRenderedPageBreak/>
        <w:t>han efectuado calicatas en la zona de la Estación de Salida Kiuñalla, excavación manual, durante el mes de Noviembre de 2019, y presentan una profundidad de 3.00 m. En cada calicata se obtuvieron muestras representativas para la realización de los ensayos de CBR (ASTM-D-1883), obteniéndose los resultados mostrados en la Tabla 11.</w:t>
      </w:r>
    </w:p>
    <w:p w14:paraId="7C5094B0" w14:textId="77777777" w:rsidR="001F600C" w:rsidRPr="00285D58" w:rsidRDefault="001F600C" w:rsidP="008D1FFF">
      <w:pPr>
        <w:spacing w:line="276" w:lineRule="auto"/>
        <w:ind w:firstLine="567"/>
        <w:jc w:val="both"/>
        <w:rPr>
          <w:rFonts w:asciiTheme="minorHAnsi" w:eastAsia="Calibri" w:hAnsiTheme="minorHAnsi" w:cstheme="minorHAnsi"/>
        </w:rPr>
      </w:pPr>
    </w:p>
    <w:p w14:paraId="3A653154" w14:textId="51BF454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24</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RESULTADOS DE ENSAYO CBR EN LA ZONA SUR</w:t>
      </w:r>
    </w:p>
    <w:tbl>
      <w:tblPr>
        <w:tblW w:w="8075" w:type="dxa"/>
        <w:jc w:val="center"/>
        <w:tblBorders>
          <w:top w:val="single" w:sz="4" w:space="0" w:color="BDD7EE"/>
          <w:left w:val="single" w:sz="4" w:space="0" w:color="BDD7EE"/>
          <w:bottom w:val="single" w:sz="4" w:space="0" w:color="BDD7EE"/>
          <w:right w:val="single" w:sz="4" w:space="0" w:color="BDD7EE"/>
          <w:insideH w:val="single" w:sz="4" w:space="0" w:color="BDD7EE"/>
          <w:insideV w:val="single" w:sz="4" w:space="0" w:color="BDD7EE"/>
        </w:tblBorders>
        <w:tblLayout w:type="fixed"/>
        <w:tblLook w:val="0400" w:firstRow="0" w:lastRow="0" w:firstColumn="0" w:lastColumn="0" w:noHBand="0" w:noVBand="1"/>
      </w:tblPr>
      <w:tblGrid>
        <w:gridCol w:w="1134"/>
        <w:gridCol w:w="1701"/>
        <w:gridCol w:w="1701"/>
        <w:gridCol w:w="1701"/>
        <w:gridCol w:w="1838"/>
      </w:tblGrid>
      <w:tr w:rsidR="001F600C" w:rsidRPr="00285D58" w14:paraId="6A6F2DDA" w14:textId="77777777" w:rsidTr="00242093">
        <w:trPr>
          <w:trHeight w:val="851"/>
          <w:jc w:val="center"/>
        </w:trPr>
        <w:tc>
          <w:tcPr>
            <w:tcW w:w="1134" w:type="dxa"/>
          </w:tcPr>
          <w:p w14:paraId="572234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Calicata</w:t>
            </w:r>
            <w:r w:rsidRPr="00285D58">
              <w:rPr>
                <w:rFonts w:asciiTheme="minorHAnsi" w:eastAsia="Calibri" w:hAnsiTheme="minorHAnsi" w:cstheme="minorHAnsi"/>
              </w:rPr>
              <w:br/>
              <w:t>Ref.</w:t>
            </w:r>
          </w:p>
        </w:tc>
        <w:tc>
          <w:tcPr>
            <w:tcW w:w="1701" w:type="dxa"/>
          </w:tcPr>
          <w:p w14:paraId="56342D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Máxima Densidad Seca (gr/cm3)</w:t>
            </w:r>
          </w:p>
        </w:tc>
        <w:tc>
          <w:tcPr>
            <w:tcW w:w="1701" w:type="dxa"/>
          </w:tcPr>
          <w:p w14:paraId="2ACC9D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Óptimo Contenido de Humedad (%)</w:t>
            </w:r>
          </w:p>
        </w:tc>
        <w:tc>
          <w:tcPr>
            <w:tcW w:w="1701" w:type="dxa"/>
          </w:tcPr>
          <w:p w14:paraId="06D1AD3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 al 95% M.D.S</w:t>
            </w:r>
          </w:p>
        </w:tc>
        <w:tc>
          <w:tcPr>
            <w:tcW w:w="1838" w:type="dxa"/>
          </w:tcPr>
          <w:p w14:paraId="34EFB1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Tramo</w:t>
            </w:r>
          </w:p>
        </w:tc>
      </w:tr>
      <w:tr w:rsidR="001F600C" w:rsidRPr="00285D58" w14:paraId="5C5FC90D" w14:textId="77777777" w:rsidTr="00242093">
        <w:trPr>
          <w:trHeight w:val="407"/>
          <w:jc w:val="center"/>
        </w:trPr>
        <w:tc>
          <w:tcPr>
            <w:tcW w:w="1134" w:type="dxa"/>
          </w:tcPr>
          <w:p w14:paraId="463EE2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C-09</w:t>
            </w:r>
          </w:p>
        </w:tc>
        <w:tc>
          <w:tcPr>
            <w:tcW w:w="1701" w:type="dxa"/>
          </w:tcPr>
          <w:p w14:paraId="759688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1.965</w:t>
            </w:r>
          </w:p>
        </w:tc>
        <w:tc>
          <w:tcPr>
            <w:tcW w:w="1701" w:type="dxa"/>
          </w:tcPr>
          <w:p w14:paraId="2AFBD3B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9.92</w:t>
            </w:r>
          </w:p>
        </w:tc>
        <w:tc>
          <w:tcPr>
            <w:tcW w:w="1701" w:type="dxa"/>
          </w:tcPr>
          <w:p w14:paraId="19F647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38.60 %</w:t>
            </w:r>
          </w:p>
        </w:tc>
        <w:tc>
          <w:tcPr>
            <w:tcW w:w="1838" w:type="dxa"/>
          </w:tcPr>
          <w:p w14:paraId="181799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r w:rsidR="001F600C" w:rsidRPr="00285D58" w14:paraId="64EC4242" w14:textId="77777777" w:rsidTr="00242093">
        <w:trPr>
          <w:trHeight w:val="407"/>
          <w:jc w:val="center"/>
        </w:trPr>
        <w:tc>
          <w:tcPr>
            <w:tcW w:w="1134" w:type="dxa"/>
          </w:tcPr>
          <w:p w14:paraId="61B0E18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C-10</w:t>
            </w:r>
          </w:p>
        </w:tc>
        <w:tc>
          <w:tcPr>
            <w:tcW w:w="1701" w:type="dxa"/>
          </w:tcPr>
          <w:p w14:paraId="59C8977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1.953</w:t>
            </w:r>
          </w:p>
        </w:tc>
        <w:tc>
          <w:tcPr>
            <w:tcW w:w="1701" w:type="dxa"/>
          </w:tcPr>
          <w:p w14:paraId="7F668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8.66</w:t>
            </w:r>
          </w:p>
        </w:tc>
        <w:tc>
          <w:tcPr>
            <w:tcW w:w="1701" w:type="dxa"/>
          </w:tcPr>
          <w:p w14:paraId="1A888E9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28.82 %</w:t>
            </w:r>
          </w:p>
        </w:tc>
        <w:tc>
          <w:tcPr>
            <w:tcW w:w="1838" w:type="dxa"/>
          </w:tcPr>
          <w:p w14:paraId="03D386E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r w:rsidR="001F600C" w:rsidRPr="00285D58" w14:paraId="560762AA" w14:textId="77777777" w:rsidTr="00242093">
        <w:trPr>
          <w:trHeight w:val="407"/>
          <w:jc w:val="center"/>
        </w:trPr>
        <w:tc>
          <w:tcPr>
            <w:tcW w:w="1134" w:type="dxa"/>
          </w:tcPr>
          <w:p w14:paraId="56B6CA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C-11</w:t>
            </w:r>
          </w:p>
        </w:tc>
        <w:tc>
          <w:tcPr>
            <w:tcW w:w="1701" w:type="dxa"/>
          </w:tcPr>
          <w:p w14:paraId="3D73FF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1.706</w:t>
            </w:r>
          </w:p>
        </w:tc>
        <w:tc>
          <w:tcPr>
            <w:tcW w:w="1701" w:type="dxa"/>
          </w:tcPr>
          <w:p w14:paraId="260C1A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14.76</w:t>
            </w:r>
          </w:p>
        </w:tc>
        <w:tc>
          <w:tcPr>
            <w:tcW w:w="1701" w:type="dxa"/>
          </w:tcPr>
          <w:p w14:paraId="39598C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8.66 %</w:t>
            </w:r>
          </w:p>
        </w:tc>
        <w:tc>
          <w:tcPr>
            <w:tcW w:w="1838" w:type="dxa"/>
          </w:tcPr>
          <w:p w14:paraId="3B62BD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0+000 -  1+281</w:t>
            </w:r>
          </w:p>
        </w:tc>
      </w:tr>
    </w:tbl>
    <w:p w14:paraId="7460F157" w14:textId="1E1B816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461791CA" w14:textId="77777777" w:rsidR="001F600C" w:rsidRPr="00285D58" w:rsidRDefault="001F600C" w:rsidP="008D1FFF">
      <w:pPr>
        <w:spacing w:line="276" w:lineRule="auto"/>
        <w:ind w:firstLine="567"/>
        <w:jc w:val="both"/>
        <w:rPr>
          <w:rFonts w:asciiTheme="minorHAnsi" w:eastAsia="Calibri" w:hAnsiTheme="minorHAnsi" w:cstheme="minorHAnsi"/>
        </w:rPr>
      </w:pPr>
    </w:p>
    <w:p w14:paraId="1140BD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Debido a la extensión de la Vía Turística Kiuñalla - E.S. Kiuñalla de 1.3 km no es necesario sectorizar la vía para el diseño de pavimentos; y de los resultados obtenidos podemos apreciar una elevada variabilidad, por tal motivo por seguridad del diseño se adopta el menor valor de CBR de diseño de 8.66 %. </w:t>
      </w:r>
    </w:p>
    <w:p w14:paraId="7BB411B9" w14:textId="77777777" w:rsidR="001F600C" w:rsidRPr="00285D58" w:rsidRDefault="001F600C" w:rsidP="008D1FFF">
      <w:pPr>
        <w:spacing w:line="276" w:lineRule="auto"/>
        <w:ind w:firstLine="567"/>
        <w:jc w:val="both"/>
        <w:rPr>
          <w:rFonts w:asciiTheme="minorHAnsi" w:eastAsia="Calibri" w:hAnsiTheme="minorHAnsi" w:cstheme="minorHAnsi"/>
        </w:rPr>
      </w:pPr>
    </w:p>
    <w:p w14:paraId="4618E8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D.2.4)</w:t>
      </w:r>
      <w:r w:rsidRPr="00285D58">
        <w:rPr>
          <w:rFonts w:asciiTheme="minorHAnsi" w:eastAsia="Calibri" w:hAnsiTheme="minorHAnsi" w:cstheme="minorHAnsi"/>
        </w:rPr>
        <w:tab/>
        <w:t>Hidrología y Drenaje</w:t>
      </w:r>
    </w:p>
    <w:p w14:paraId="448B59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determinación de las características hidrológicas de las sub-cuencas que atraviesan el alineamiento; las cuales se encuentran estudiadas con mayor detalle en el Estudio Específico N° 8 - Hidrología y Drenaje, para lo cual se ha realizado lo siguiente:</w:t>
      </w:r>
    </w:p>
    <w:p w14:paraId="30E3F3C8" w14:textId="77777777" w:rsidR="001F600C" w:rsidRPr="00285D58" w:rsidRDefault="001F600C" w:rsidP="008D1FFF">
      <w:pPr>
        <w:spacing w:line="276" w:lineRule="auto"/>
        <w:ind w:firstLine="567"/>
        <w:jc w:val="both"/>
        <w:rPr>
          <w:rFonts w:asciiTheme="minorHAnsi" w:eastAsia="Calibri" w:hAnsiTheme="minorHAnsi" w:cstheme="minorHAnsi"/>
        </w:rPr>
      </w:pPr>
    </w:p>
    <w:p w14:paraId="340C120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Caracterización fisiográfica de las cuencas tributarias en el área del estudio.</w:t>
      </w:r>
    </w:p>
    <w:p w14:paraId="4E1B7BBE"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Determinación de las tormentas de diseño en las cuencas.</w:t>
      </w:r>
    </w:p>
    <w:p w14:paraId="0F66F787"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Determinación de caudales de diseño en puntos de confluencia y cruces de los alineamientos.</w:t>
      </w:r>
    </w:p>
    <w:p w14:paraId="7C329ECD" w14:textId="77777777" w:rsidR="001F600C" w:rsidRPr="00285D58" w:rsidRDefault="001F600C" w:rsidP="008D1FFF">
      <w:pPr>
        <w:spacing w:line="276" w:lineRule="auto"/>
        <w:ind w:firstLine="567"/>
        <w:jc w:val="both"/>
        <w:rPr>
          <w:rFonts w:asciiTheme="minorHAnsi" w:eastAsia="Calibri" w:hAnsiTheme="minorHAnsi" w:cstheme="minorHAnsi"/>
        </w:rPr>
      </w:pPr>
    </w:p>
    <w:p w14:paraId="3D031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análisis hidrológico se ha consultado con los datos de precipitación de las estaciones de Servicio Nacional de Meteorología e Hidráulica del Perú (SENAMHI)</w:t>
      </w:r>
    </w:p>
    <w:p w14:paraId="3AA8B103" w14:textId="77777777" w:rsidR="001F600C" w:rsidRPr="00285D58" w:rsidRDefault="001F600C" w:rsidP="008D1FFF">
      <w:pPr>
        <w:spacing w:line="276" w:lineRule="auto"/>
        <w:ind w:firstLine="567"/>
        <w:jc w:val="both"/>
        <w:rPr>
          <w:rFonts w:asciiTheme="minorHAnsi" w:eastAsia="Calibri" w:hAnsiTheme="minorHAnsi" w:cstheme="minorHAnsi"/>
        </w:rPr>
      </w:pPr>
    </w:p>
    <w:p w14:paraId="749B8612"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Curahuasi</w:t>
      </w:r>
    </w:p>
    <w:p w14:paraId="0D73536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Granja San Antonio</w:t>
      </w:r>
    </w:p>
    <w:p w14:paraId="1C5381C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Huyro</w:t>
      </w:r>
    </w:p>
    <w:p w14:paraId="4AA7076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Machu Picchu</w:t>
      </w:r>
    </w:p>
    <w:p w14:paraId="04D3351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Maramura</w:t>
      </w:r>
    </w:p>
    <w:p w14:paraId="35A94C5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Mollepata</w:t>
      </w:r>
    </w:p>
    <w:p w14:paraId="3AE25EED" w14:textId="77777777" w:rsidR="001F600C" w:rsidRPr="00285D58" w:rsidRDefault="001F600C" w:rsidP="008D1FFF">
      <w:pPr>
        <w:spacing w:line="276" w:lineRule="auto"/>
        <w:ind w:firstLine="567"/>
        <w:jc w:val="both"/>
        <w:rPr>
          <w:rFonts w:asciiTheme="minorHAnsi" w:eastAsia="Calibri" w:hAnsiTheme="minorHAnsi" w:cstheme="minorHAnsi"/>
        </w:rPr>
      </w:pPr>
    </w:p>
    <w:p w14:paraId="1960823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Vía Turística E.C. Yanama - E.S. San Juan</w:t>
      </w:r>
    </w:p>
    <w:p w14:paraId="267042D6" w14:textId="77777777" w:rsidR="001F600C" w:rsidRPr="00285D58" w:rsidRDefault="001F600C" w:rsidP="008D1FFF">
      <w:pPr>
        <w:spacing w:line="276" w:lineRule="auto"/>
        <w:ind w:firstLine="567"/>
        <w:jc w:val="both"/>
        <w:rPr>
          <w:rFonts w:asciiTheme="minorHAnsi" w:eastAsia="Calibri" w:hAnsiTheme="minorHAnsi" w:cstheme="minorHAnsi"/>
        </w:rPr>
      </w:pPr>
    </w:p>
    <w:p w14:paraId="3BC0D0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Se han delimitado 81 sub-cuencas que atraviesan la vía turística como se aprecia en la Figura 8; obteniéndose el mayor caudal en la sub-cuenca N° 4 con 18.67 m3/s. Además, para la estimación de caudales en cunetas se determinó un caudal máximo de 0.11 m3/s.</w:t>
      </w:r>
    </w:p>
    <w:p w14:paraId="6F181A9F" w14:textId="77777777" w:rsidR="001F600C" w:rsidRPr="00285D58" w:rsidRDefault="001F600C" w:rsidP="008D1FFF">
      <w:pPr>
        <w:spacing w:line="276" w:lineRule="auto"/>
        <w:jc w:val="both"/>
        <w:rPr>
          <w:rFonts w:asciiTheme="minorHAnsi" w:eastAsia="Calibri" w:hAnsiTheme="minorHAnsi" w:cstheme="minorHAnsi"/>
        </w:rPr>
      </w:pPr>
    </w:p>
    <w:p w14:paraId="0AC23C27"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C7CB0C8" wp14:editId="2696A400">
            <wp:extent cx="4534450" cy="3492000"/>
            <wp:effectExtent l="0" t="0" r="0" b="0"/>
            <wp:docPr id="2133617377" name="image45.png" descr="Un dibujo de una ro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5.png" descr="Un dibujo de una roca&#10;&#10;Descripción generada automáticamente con confianza media"/>
                    <pic:cNvPicPr preferRelativeResize="0"/>
                  </pic:nvPicPr>
                  <pic:blipFill>
                    <a:blip r:embed="rId62"/>
                    <a:srcRect/>
                    <a:stretch>
                      <a:fillRect/>
                    </a:stretch>
                  </pic:blipFill>
                  <pic:spPr>
                    <a:xfrm>
                      <a:off x="0" y="0"/>
                      <a:ext cx="4534450" cy="3492000"/>
                    </a:xfrm>
                    <a:prstGeom prst="rect">
                      <a:avLst/>
                    </a:prstGeom>
                    <a:ln/>
                  </pic:spPr>
                </pic:pic>
              </a:graphicData>
            </a:graphic>
          </wp:inline>
        </w:drawing>
      </w:r>
    </w:p>
    <w:p w14:paraId="588A5758"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8: Sub-cuencas de la zona Norte</w:t>
      </w:r>
    </w:p>
    <w:p w14:paraId="4E45A72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612986DC" w14:textId="77777777" w:rsidR="001F600C" w:rsidRPr="00285D58" w:rsidRDefault="001F600C" w:rsidP="008D1FFF">
      <w:pPr>
        <w:spacing w:line="276" w:lineRule="auto"/>
        <w:ind w:firstLine="567"/>
        <w:jc w:val="both"/>
        <w:rPr>
          <w:rFonts w:asciiTheme="minorHAnsi" w:eastAsia="Calibri" w:hAnsiTheme="minorHAnsi" w:cstheme="minorHAnsi"/>
        </w:rPr>
      </w:pPr>
    </w:p>
    <w:p w14:paraId="1127990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3725E1EE" w14:textId="77777777" w:rsidR="001F600C" w:rsidRPr="00285D58" w:rsidRDefault="001F600C" w:rsidP="008D1FFF">
      <w:pPr>
        <w:spacing w:line="276" w:lineRule="auto"/>
        <w:jc w:val="both"/>
        <w:rPr>
          <w:rFonts w:asciiTheme="minorHAnsi" w:eastAsia="Calibri" w:hAnsiTheme="minorHAnsi" w:cstheme="minorHAnsi"/>
        </w:rPr>
      </w:pPr>
    </w:p>
    <w:p w14:paraId="4359392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han delimitado 7 sub-cuencas que atraviesan la vía turística como se aprecia en la Figura 9; obteniéndose el mayor caudal en la sub-cuenca N° 5 con 0.42 m3/s. Además, para la estimación de caudales en cunetas se determinó un caudal máximo de 0.11 m3/s.</w:t>
      </w:r>
    </w:p>
    <w:p w14:paraId="50F1A6BE" w14:textId="77777777" w:rsidR="001F600C" w:rsidRPr="00285D58" w:rsidRDefault="001F600C" w:rsidP="008D1FFF">
      <w:pPr>
        <w:spacing w:line="276" w:lineRule="auto"/>
        <w:ind w:firstLine="567"/>
        <w:jc w:val="both"/>
        <w:rPr>
          <w:rFonts w:asciiTheme="minorHAnsi" w:eastAsia="Calibri" w:hAnsiTheme="minorHAnsi" w:cstheme="minorHAnsi"/>
        </w:rPr>
      </w:pPr>
    </w:p>
    <w:p w14:paraId="6196953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7C1E6871" wp14:editId="3599AC17">
            <wp:extent cx="1554420" cy="2700000"/>
            <wp:effectExtent l="9525" t="9525" r="9525" b="9525"/>
            <wp:docPr id="2133617378" name="image31.pn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1.png" descr="Mapa&#10;&#10;Descripción generada automáticamente"/>
                    <pic:cNvPicPr preferRelativeResize="0"/>
                  </pic:nvPicPr>
                  <pic:blipFill>
                    <a:blip r:embed="rId63"/>
                    <a:srcRect l="3714" t="2218" r="4085" b="2074"/>
                    <a:stretch>
                      <a:fillRect/>
                    </a:stretch>
                  </pic:blipFill>
                  <pic:spPr>
                    <a:xfrm>
                      <a:off x="0" y="0"/>
                      <a:ext cx="1554420" cy="2700000"/>
                    </a:xfrm>
                    <a:prstGeom prst="rect">
                      <a:avLst/>
                    </a:prstGeom>
                    <a:ln w="9525">
                      <a:solidFill>
                        <a:srgbClr val="000000"/>
                      </a:solidFill>
                      <a:prstDash val="solid"/>
                    </a:ln>
                  </pic:spPr>
                </pic:pic>
              </a:graphicData>
            </a:graphic>
          </wp:inline>
        </w:drawing>
      </w:r>
    </w:p>
    <w:p w14:paraId="68E88400" w14:textId="5B7FBAFB"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9: Sub-cuencas de la zona Sur</w:t>
      </w:r>
      <w:r w:rsidR="007712EA" w:rsidRPr="00285D58">
        <w:rPr>
          <w:rFonts w:asciiTheme="minorHAnsi" w:eastAsia="Calibri" w:hAnsiTheme="minorHAnsi" w:cstheme="minorHAnsi"/>
        </w:rPr>
        <w:t>.</w:t>
      </w:r>
    </w:p>
    <w:p w14:paraId="3B1CE657" w14:textId="274D4C95"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712EA" w:rsidRPr="00285D58">
        <w:rPr>
          <w:rFonts w:asciiTheme="minorHAnsi" w:eastAsia="Calibri" w:hAnsiTheme="minorHAnsi" w:cstheme="minorHAnsi"/>
        </w:rPr>
        <w:t>.</w:t>
      </w:r>
    </w:p>
    <w:p w14:paraId="5EBD787C" w14:textId="77777777" w:rsidR="001F600C" w:rsidRPr="00285D58" w:rsidRDefault="001F600C" w:rsidP="008D1FFF">
      <w:pPr>
        <w:spacing w:line="276" w:lineRule="auto"/>
        <w:ind w:firstLine="567"/>
        <w:jc w:val="both"/>
        <w:rPr>
          <w:rFonts w:asciiTheme="minorHAnsi" w:eastAsia="Calibri" w:hAnsiTheme="minorHAnsi" w:cstheme="minorHAnsi"/>
        </w:rPr>
      </w:pPr>
    </w:p>
    <w:p w14:paraId="25C427E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w:t>
      </w:r>
      <w:r w:rsidRPr="00285D58">
        <w:rPr>
          <w:rFonts w:asciiTheme="minorHAnsi" w:eastAsia="Calibri" w:hAnsiTheme="minorHAnsi" w:cstheme="minorHAnsi"/>
        </w:rPr>
        <w:tab/>
        <w:t>Parámetros de Diseño</w:t>
      </w:r>
    </w:p>
    <w:p w14:paraId="713CAB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las Vías Turísticas es de vital importancia definir la sección transversal, ya que es una variable que depende tanto de la categoría de la vía como de la velocidad de diseño, cuyas dimensiones responden a un rango recomendado por el Manual de Carreteras: Diseño Geométrico DG-2018 del Ministerio de Transportes y Comunicaciones. </w:t>
      </w:r>
    </w:p>
    <w:p w14:paraId="3F7CF5E3" w14:textId="77777777" w:rsidR="001F600C" w:rsidRPr="00285D58" w:rsidRDefault="001F600C" w:rsidP="008D1FFF">
      <w:pPr>
        <w:spacing w:line="276" w:lineRule="auto"/>
        <w:ind w:firstLine="567"/>
        <w:jc w:val="both"/>
        <w:rPr>
          <w:rFonts w:asciiTheme="minorHAnsi" w:eastAsia="Calibri" w:hAnsiTheme="minorHAnsi" w:cstheme="minorHAnsi"/>
        </w:rPr>
      </w:pPr>
    </w:p>
    <w:p w14:paraId="37F1DF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D.3.1)</w:t>
      </w:r>
      <w:r w:rsidRPr="00285D58">
        <w:rPr>
          <w:rFonts w:asciiTheme="minorHAnsi" w:eastAsia="Calibri" w:hAnsiTheme="minorHAnsi" w:cstheme="minorHAnsi"/>
        </w:rPr>
        <w:tab/>
        <w:t>Clasificación por Demanda</w:t>
      </w:r>
    </w:p>
    <w:p w14:paraId="551C047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Según la estimación de tránsito vehicular se obtiene:</w:t>
      </w:r>
    </w:p>
    <w:p w14:paraId="2EE51EAE" w14:textId="77777777" w:rsidR="001F600C" w:rsidRPr="00285D58" w:rsidRDefault="001F600C" w:rsidP="008D1FFF">
      <w:pPr>
        <w:spacing w:line="276" w:lineRule="auto"/>
        <w:ind w:firstLine="567"/>
        <w:jc w:val="both"/>
        <w:rPr>
          <w:rFonts w:asciiTheme="minorHAnsi" w:eastAsia="Calibri" w:hAnsiTheme="minorHAnsi" w:cstheme="minorHAnsi"/>
        </w:rPr>
      </w:pPr>
    </w:p>
    <w:p w14:paraId="26D6C8F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Trochas Carrozables</w:t>
      </w:r>
    </w:p>
    <w:p w14:paraId="18E75CD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vías transitables, que no alcanzan las características geométricas de una carretera, que por lo general tienen un IMDA menor a 200 veh/día. Sus calzadas deben tener un ancho mínimo de 4.00 m, en cuyo caso se construirá ensanches denominados plazoletas de cruce, por lo menos cada 500 m. La superficie de rodadura puede ser afirmada o sin afirmar.</w:t>
      </w:r>
    </w:p>
    <w:p w14:paraId="7EE203D6" w14:textId="77777777" w:rsidR="001F600C" w:rsidRPr="00285D58" w:rsidRDefault="001F600C" w:rsidP="008D1FFF">
      <w:pPr>
        <w:spacing w:line="276" w:lineRule="auto"/>
        <w:ind w:firstLine="567"/>
        <w:jc w:val="both"/>
        <w:rPr>
          <w:rFonts w:asciiTheme="minorHAnsi" w:eastAsia="Calibri" w:hAnsiTheme="minorHAnsi" w:cstheme="minorHAnsi"/>
        </w:rPr>
      </w:pPr>
    </w:p>
    <w:p w14:paraId="3FBA3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definición, las Vías Turísticas proyectadas se encuentran dentro de la categoría de “Trochas Carrozables” al no alcanzar los niveles de tráfico requeridos para otras categorías.</w:t>
      </w:r>
    </w:p>
    <w:p w14:paraId="65EF4492" w14:textId="77777777" w:rsidR="001F600C" w:rsidRPr="00285D58" w:rsidRDefault="001F600C" w:rsidP="008D1FFF">
      <w:pPr>
        <w:spacing w:line="276" w:lineRule="auto"/>
        <w:ind w:firstLine="567"/>
        <w:jc w:val="both"/>
        <w:rPr>
          <w:rFonts w:asciiTheme="minorHAnsi" w:eastAsia="Calibri" w:hAnsiTheme="minorHAnsi" w:cstheme="minorHAnsi"/>
        </w:rPr>
      </w:pPr>
    </w:p>
    <w:p w14:paraId="27267B8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D.3.2)</w:t>
      </w:r>
      <w:r w:rsidRPr="00285D58">
        <w:rPr>
          <w:rFonts w:asciiTheme="minorHAnsi" w:eastAsia="Calibri" w:hAnsiTheme="minorHAnsi" w:cstheme="minorHAnsi"/>
        </w:rPr>
        <w:tab/>
        <w:t xml:space="preserve">Clasificación por Orografía </w:t>
      </w:r>
    </w:p>
    <w:p w14:paraId="0A5E4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la Sección 102 del Manual de Carreteras: Diseño Geométrico DG-2018, la Clasificación de vías se efectúan en función a la orografía predominante del terreno por la que discurre su trazo. Según la topografía se obtiene:</w:t>
      </w:r>
    </w:p>
    <w:p w14:paraId="5E38A00E" w14:textId="77777777" w:rsidR="001F600C" w:rsidRPr="00285D58" w:rsidRDefault="001F600C" w:rsidP="008D1FFF">
      <w:pPr>
        <w:spacing w:line="276" w:lineRule="auto"/>
        <w:ind w:firstLine="567"/>
        <w:jc w:val="both"/>
        <w:rPr>
          <w:rFonts w:asciiTheme="minorHAnsi" w:eastAsia="Calibri" w:hAnsiTheme="minorHAnsi" w:cstheme="minorHAnsi"/>
        </w:rPr>
      </w:pPr>
    </w:p>
    <w:p w14:paraId="3D61204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Terreno accidentado (tipo 3)</w:t>
      </w:r>
    </w:p>
    <w:p w14:paraId="521F88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Tiene pendientes transversales al eje de la vía entre 51% y el 100% y sus pendientes longitudinales </w:t>
      </w:r>
      <w:r w:rsidRPr="00285D58">
        <w:rPr>
          <w:rFonts w:asciiTheme="minorHAnsi" w:eastAsia="Calibri" w:hAnsiTheme="minorHAnsi" w:cstheme="minorHAnsi"/>
        </w:rPr>
        <w:lastRenderedPageBreak/>
        <w:t>predominantes se encuentran entre 6% y 8%, por lo que requiere importantes movimientos de tierras, razón por la cual presenta dificultades en el trazo.</w:t>
      </w:r>
    </w:p>
    <w:p w14:paraId="1ECE027F" w14:textId="77777777" w:rsidR="001F600C" w:rsidRPr="00285D58" w:rsidRDefault="001F600C" w:rsidP="008D1FFF">
      <w:pPr>
        <w:spacing w:line="276" w:lineRule="auto"/>
        <w:ind w:firstLine="567"/>
        <w:jc w:val="both"/>
        <w:rPr>
          <w:rFonts w:asciiTheme="minorHAnsi" w:eastAsia="Calibri" w:hAnsiTheme="minorHAnsi" w:cstheme="minorHAnsi"/>
        </w:rPr>
      </w:pPr>
    </w:p>
    <w:p w14:paraId="60428652"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Terreno escarpado (tipo 4)</w:t>
      </w:r>
    </w:p>
    <w:p w14:paraId="7327DCD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Tiene pendientes transversales al eje de la vía superiores al 100% y sus pendientes longitudinales excepcionales son superiores al 8%, exigiendo el máximo de movimiento de tierras, razón por la cual presenta grandes dificultades en su trazo.</w:t>
      </w:r>
    </w:p>
    <w:p w14:paraId="5B510BC3" w14:textId="77777777" w:rsidR="001F600C" w:rsidRPr="00285D58" w:rsidRDefault="001F600C" w:rsidP="008D1FFF">
      <w:pPr>
        <w:spacing w:line="276" w:lineRule="auto"/>
        <w:ind w:firstLine="567"/>
        <w:jc w:val="both"/>
        <w:rPr>
          <w:rFonts w:asciiTheme="minorHAnsi" w:eastAsia="Calibri" w:hAnsiTheme="minorHAnsi" w:cstheme="minorHAnsi"/>
        </w:rPr>
      </w:pPr>
    </w:p>
    <w:p w14:paraId="4F3D0C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estas definiciones, las vías turísticas proyectadas presentan dos tipos de terreno 3 y 4, es decir de terreno accidentado y escarpado respectivamente.</w:t>
      </w:r>
    </w:p>
    <w:p w14:paraId="74241A28" w14:textId="77777777" w:rsidR="001F600C" w:rsidRPr="00285D58" w:rsidRDefault="001F600C" w:rsidP="008D1FFF">
      <w:pPr>
        <w:spacing w:line="276" w:lineRule="auto"/>
        <w:ind w:firstLine="567"/>
        <w:jc w:val="both"/>
        <w:rPr>
          <w:rFonts w:asciiTheme="minorHAnsi" w:eastAsia="Calibri" w:hAnsiTheme="minorHAnsi" w:cstheme="minorHAnsi"/>
        </w:rPr>
      </w:pPr>
    </w:p>
    <w:p w14:paraId="280C6B7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D.3.3)</w:t>
      </w:r>
      <w:r w:rsidRPr="00285D58">
        <w:rPr>
          <w:rFonts w:asciiTheme="minorHAnsi" w:eastAsia="Calibri" w:hAnsiTheme="minorHAnsi" w:cstheme="minorHAnsi"/>
        </w:rPr>
        <w:tab/>
        <w:t xml:space="preserve">Velocidad de Diseño </w:t>
      </w:r>
    </w:p>
    <w:p w14:paraId="7F8477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velocidad de Diseño aplicable a una determinada vía está en función de su clasificación por demanda y por el tipo de orografía, como se detalla en la Tabla 204.01 del Manual de Carreteras: Diseño Geométrico, DG-2018 del Ministerio de Transportes y Comunicaciones. Ver Figura 10.</w:t>
      </w:r>
    </w:p>
    <w:p w14:paraId="17D9C803" w14:textId="77777777" w:rsidR="001F600C" w:rsidRPr="00285D58" w:rsidRDefault="001F600C" w:rsidP="008D1FFF">
      <w:pPr>
        <w:spacing w:line="276" w:lineRule="auto"/>
        <w:ind w:firstLine="567"/>
        <w:jc w:val="both"/>
        <w:rPr>
          <w:rFonts w:asciiTheme="minorHAnsi" w:eastAsia="Calibri" w:hAnsiTheme="minorHAnsi" w:cstheme="minorHAnsi"/>
        </w:rPr>
      </w:pPr>
    </w:p>
    <w:p w14:paraId="18DACAF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36BBDB4" wp14:editId="375989F1">
            <wp:extent cx="3944966" cy="3420000"/>
            <wp:effectExtent l="0" t="0" r="0" b="0"/>
            <wp:docPr id="213361737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4"/>
                    <a:srcRect/>
                    <a:stretch>
                      <a:fillRect/>
                    </a:stretch>
                  </pic:blipFill>
                  <pic:spPr>
                    <a:xfrm>
                      <a:off x="0" y="0"/>
                      <a:ext cx="3944966" cy="3420000"/>
                    </a:xfrm>
                    <a:prstGeom prst="rect">
                      <a:avLst/>
                    </a:prstGeom>
                    <a:ln/>
                  </pic:spPr>
                </pic:pic>
              </a:graphicData>
            </a:graphic>
          </wp:inline>
        </w:drawing>
      </w:r>
    </w:p>
    <w:p w14:paraId="1CA9688F" w14:textId="664B7E75"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10: Rango de velocidad de diseño</w:t>
      </w:r>
      <w:r w:rsidR="007712EA" w:rsidRPr="00285D58">
        <w:rPr>
          <w:rFonts w:asciiTheme="minorHAnsi" w:eastAsia="Calibri" w:hAnsiTheme="minorHAnsi" w:cstheme="minorHAnsi"/>
        </w:rPr>
        <w:t>.</w:t>
      </w:r>
    </w:p>
    <w:p w14:paraId="2A1CEEF9" w14:textId="4E351AA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330882B3" w14:textId="77777777" w:rsidR="001F600C" w:rsidRPr="00285D58" w:rsidRDefault="001F600C" w:rsidP="008D1FFF">
      <w:pPr>
        <w:spacing w:line="276" w:lineRule="auto"/>
        <w:ind w:firstLine="567"/>
        <w:jc w:val="both"/>
        <w:rPr>
          <w:rFonts w:asciiTheme="minorHAnsi" w:eastAsia="Calibri" w:hAnsiTheme="minorHAnsi" w:cstheme="minorHAnsi"/>
        </w:rPr>
      </w:pPr>
    </w:p>
    <w:p w14:paraId="688AE8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tabla, para carreteras de tercera clase con clasificación por orografía para el tipo 3 y 4 se debe emplear como velocidad de diseño 30 km/h. Sin embargo, para las vías turísticas con una clasificación por demanda de Trochas carrozables, se adoptó la velocidad de diseño de 20 km/h y en configuraciones especiales se considera una velocidad de maniobra con el fin de garantizar la máxima comodidad y seguridad a los turistas.</w:t>
      </w:r>
    </w:p>
    <w:p w14:paraId="340121BC" w14:textId="77777777" w:rsidR="001F600C" w:rsidRPr="00285D58" w:rsidRDefault="001F600C" w:rsidP="008D1FFF">
      <w:pPr>
        <w:spacing w:line="276" w:lineRule="auto"/>
        <w:ind w:firstLine="567"/>
        <w:jc w:val="both"/>
        <w:rPr>
          <w:rFonts w:asciiTheme="minorHAnsi" w:eastAsia="Calibri" w:hAnsiTheme="minorHAnsi" w:cstheme="minorHAnsi"/>
        </w:rPr>
      </w:pPr>
    </w:p>
    <w:p w14:paraId="2A77FC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D.3.4)</w:t>
      </w:r>
      <w:r w:rsidRPr="00285D58">
        <w:rPr>
          <w:rFonts w:asciiTheme="minorHAnsi" w:eastAsia="Calibri" w:hAnsiTheme="minorHAnsi" w:cstheme="minorHAnsi"/>
        </w:rPr>
        <w:tab/>
        <w:t xml:space="preserve">Sección Típica </w:t>
      </w:r>
    </w:p>
    <w:p w14:paraId="583171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sección típica presenta las siguientes dimensiones: calzada de 5.50 m de ancho en dos sentidos de circulación y sobreanchos en curvas horizontales, sobreancho de compactación de 0.60 m para la instalación de elementos de señalización y seguridad vial, cunetas de 0.80 m según el cálculo hidráulico, espesores de pavimento según el diseño adoptado, subdrenes y ductos. Ver figura 11.</w:t>
      </w:r>
    </w:p>
    <w:p w14:paraId="7BEEEF51" w14:textId="77777777" w:rsidR="001F600C" w:rsidRPr="00285D58" w:rsidRDefault="001F600C" w:rsidP="008D1FFF">
      <w:pPr>
        <w:spacing w:line="276" w:lineRule="auto"/>
        <w:ind w:firstLine="567"/>
        <w:jc w:val="both"/>
        <w:rPr>
          <w:rFonts w:asciiTheme="minorHAnsi" w:eastAsia="Calibri" w:hAnsiTheme="minorHAnsi" w:cstheme="minorHAnsi"/>
        </w:rPr>
      </w:pPr>
    </w:p>
    <w:p w14:paraId="185FF2A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10DBD71" wp14:editId="07295831">
            <wp:extent cx="5017871" cy="2126561"/>
            <wp:effectExtent l="0" t="0" r="0" b="0"/>
            <wp:docPr id="2133617380" name="image22.png" descr="Gráfic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2.png" descr="Gráfico&#10;&#10;Descripción generada automáticamente con confianza baja"/>
                    <pic:cNvPicPr preferRelativeResize="0"/>
                  </pic:nvPicPr>
                  <pic:blipFill>
                    <a:blip r:embed="rId65"/>
                    <a:srcRect r="-21" b="4723"/>
                    <a:stretch>
                      <a:fillRect/>
                    </a:stretch>
                  </pic:blipFill>
                  <pic:spPr>
                    <a:xfrm>
                      <a:off x="0" y="0"/>
                      <a:ext cx="5017871" cy="2126561"/>
                    </a:xfrm>
                    <a:prstGeom prst="rect">
                      <a:avLst/>
                    </a:prstGeom>
                    <a:ln/>
                  </pic:spPr>
                </pic:pic>
              </a:graphicData>
            </a:graphic>
          </wp:inline>
        </w:drawing>
      </w:r>
    </w:p>
    <w:p w14:paraId="33ECF72A"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11: Sección Típica propuesta</w:t>
      </w:r>
    </w:p>
    <w:p w14:paraId="24D2E1D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p>
    <w:p w14:paraId="492E0DC7" w14:textId="77777777" w:rsidR="001F600C" w:rsidRPr="00285D58" w:rsidRDefault="001F600C" w:rsidP="008D1FFF">
      <w:pPr>
        <w:spacing w:line="276" w:lineRule="auto"/>
        <w:ind w:firstLine="567"/>
        <w:jc w:val="both"/>
        <w:rPr>
          <w:rFonts w:asciiTheme="minorHAnsi" w:eastAsia="Calibri" w:hAnsiTheme="minorHAnsi" w:cstheme="minorHAnsi"/>
        </w:rPr>
      </w:pPr>
    </w:p>
    <w:p w14:paraId="06D378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w:t>
      </w:r>
      <w:r w:rsidRPr="00285D58">
        <w:rPr>
          <w:rFonts w:asciiTheme="minorHAnsi" w:eastAsia="Calibri" w:hAnsiTheme="minorHAnsi" w:cstheme="minorHAnsi"/>
        </w:rPr>
        <w:tab/>
        <w:t>Diseño Geométrico Vial</w:t>
      </w:r>
    </w:p>
    <w:p w14:paraId="79D558C0" w14:textId="0B42B85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principales criterios que se deben considerar en el diseño geométrico </w:t>
      </w:r>
      <w:r w:rsidR="007712EA" w:rsidRPr="00285D58">
        <w:rPr>
          <w:rFonts w:asciiTheme="minorHAnsi" w:eastAsia="Calibri" w:hAnsiTheme="minorHAnsi" w:cstheme="minorHAnsi"/>
        </w:rPr>
        <w:t>vial</w:t>
      </w:r>
      <w:r w:rsidRPr="00285D58">
        <w:rPr>
          <w:rFonts w:asciiTheme="minorHAnsi" w:eastAsia="Calibri" w:hAnsiTheme="minorHAnsi" w:cstheme="minorHAnsi"/>
        </w:rPr>
        <w:t xml:space="preserve"> son los siguientes:</w:t>
      </w:r>
    </w:p>
    <w:p w14:paraId="08BAAB99" w14:textId="77777777" w:rsidR="001F600C" w:rsidRPr="00285D58" w:rsidRDefault="001F600C" w:rsidP="008D1FFF">
      <w:pPr>
        <w:spacing w:line="276" w:lineRule="auto"/>
        <w:ind w:firstLine="567"/>
        <w:jc w:val="both"/>
        <w:rPr>
          <w:rFonts w:asciiTheme="minorHAnsi" w:eastAsia="Calibri" w:hAnsiTheme="minorHAnsi" w:cstheme="minorHAnsi"/>
        </w:rPr>
      </w:pPr>
    </w:p>
    <w:p w14:paraId="7C55CB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D.5.1)</w:t>
      </w:r>
      <w:r w:rsidRPr="00285D58">
        <w:rPr>
          <w:rFonts w:asciiTheme="minorHAnsi" w:eastAsia="Calibri" w:hAnsiTheme="minorHAnsi" w:cstheme="minorHAnsi"/>
        </w:rPr>
        <w:tab/>
        <w:t>Diseño Horizontal</w:t>
      </w:r>
    </w:p>
    <w:p w14:paraId="025F3DF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Tramos en Tangente</w:t>
      </w:r>
    </w:p>
    <w:p w14:paraId="1AD9A39F" w14:textId="77777777" w:rsidR="001F600C" w:rsidRPr="00285D58" w:rsidRDefault="001F600C" w:rsidP="008D1FFF">
      <w:pPr>
        <w:spacing w:line="276" w:lineRule="auto"/>
        <w:ind w:firstLine="567"/>
        <w:jc w:val="both"/>
        <w:rPr>
          <w:rFonts w:asciiTheme="minorHAnsi" w:eastAsia="Calibri" w:hAnsiTheme="minorHAnsi" w:cstheme="minorHAnsi"/>
        </w:rPr>
      </w:pPr>
    </w:p>
    <w:p w14:paraId="2A66D1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longitudes mínimas admisibles y máximas deseables de los tramos en tangente que se intercalan entre curvas circulares son indicadas en la sección 302.03 y Tabla 302.01 del Manual DG-2018. Ver Figura 12.</w:t>
      </w:r>
    </w:p>
    <w:p w14:paraId="45859157" w14:textId="77777777" w:rsidR="001F600C" w:rsidRPr="00285D58" w:rsidRDefault="001F600C" w:rsidP="008D1FFF">
      <w:pPr>
        <w:spacing w:line="276" w:lineRule="auto"/>
        <w:ind w:firstLine="567"/>
        <w:jc w:val="both"/>
        <w:rPr>
          <w:rFonts w:asciiTheme="minorHAnsi" w:eastAsia="Calibri" w:hAnsiTheme="minorHAnsi" w:cstheme="minorHAnsi"/>
        </w:rPr>
      </w:pPr>
    </w:p>
    <w:p w14:paraId="30258DC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82915DC" wp14:editId="3B3877E5">
            <wp:extent cx="4519646" cy="3096000"/>
            <wp:effectExtent l="0" t="0" r="0" b="0"/>
            <wp:docPr id="213361738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6"/>
                    <a:srcRect/>
                    <a:stretch>
                      <a:fillRect/>
                    </a:stretch>
                  </pic:blipFill>
                  <pic:spPr>
                    <a:xfrm>
                      <a:off x="0" y="0"/>
                      <a:ext cx="4519646" cy="3096000"/>
                    </a:xfrm>
                    <a:prstGeom prst="rect">
                      <a:avLst/>
                    </a:prstGeom>
                    <a:ln/>
                  </pic:spPr>
                </pic:pic>
              </a:graphicData>
            </a:graphic>
          </wp:inline>
        </w:drawing>
      </w:r>
    </w:p>
    <w:p w14:paraId="2BBBBBBE" w14:textId="1BFD375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12: Tramos en tangente</w:t>
      </w:r>
      <w:r w:rsidR="00764D55" w:rsidRPr="00285D58">
        <w:rPr>
          <w:rFonts w:asciiTheme="minorHAnsi" w:eastAsia="Calibri" w:hAnsiTheme="minorHAnsi" w:cstheme="minorHAnsi"/>
        </w:rPr>
        <w:t>.</w:t>
      </w:r>
    </w:p>
    <w:p w14:paraId="5C1E3C51" w14:textId="5C4062D0"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EFCD688" w14:textId="77777777" w:rsidR="001F600C" w:rsidRPr="00285D58" w:rsidRDefault="001F600C" w:rsidP="008D1FFF">
      <w:pPr>
        <w:spacing w:line="276" w:lineRule="auto"/>
        <w:jc w:val="both"/>
        <w:rPr>
          <w:rFonts w:asciiTheme="minorHAnsi" w:eastAsia="Calibri" w:hAnsiTheme="minorHAnsi" w:cstheme="minorHAnsi"/>
        </w:rPr>
      </w:pPr>
    </w:p>
    <w:p w14:paraId="14BED07D" w14:textId="77777777" w:rsidR="001F600C" w:rsidRPr="00285D58" w:rsidRDefault="001F600C" w:rsidP="008D1FFF">
      <w:pPr>
        <w:spacing w:line="276" w:lineRule="auto"/>
        <w:jc w:val="both"/>
        <w:rPr>
          <w:rFonts w:asciiTheme="minorHAnsi" w:eastAsia="Calibri" w:hAnsiTheme="minorHAnsi" w:cstheme="minorHAnsi"/>
        </w:rPr>
      </w:pPr>
    </w:p>
    <w:p w14:paraId="7750FD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velocidad de diseño de 20 km/h, las longitudes máximas aplicables según fórmulas del Manual DG-2018 son:</w:t>
      </w:r>
    </w:p>
    <w:p w14:paraId="7929BDD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Lmín S</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28 m</w:t>
      </w:r>
    </w:p>
    <w:p w14:paraId="5163E39A"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Lmín 0</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56 m</w:t>
      </w:r>
    </w:p>
    <w:p w14:paraId="001F5B59"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Lmáx</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335 m</w:t>
      </w:r>
    </w:p>
    <w:p w14:paraId="4E0014FC" w14:textId="77777777" w:rsidR="001F600C" w:rsidRPr="00285D58" w:rsidRDefault="001F600C" w:rsidP="008D1FFF">
      <w:pPr>
        <w:spacing w:line="276" w:lineRule="auto"/>
        <w:ind w:firstLine="567"/>
        <w:jc w:val="both"/>
        <w:rPr>
          <w:rFonts w:asciiTheme="minorHAnsi" w:eastAsia="Calibri" w:hAnsiTheme="minorHAnsi" w:cstheme="minorHAnsi"/>
        </w:rPr>
      </w:pPr>
    </w:p>
    <w:p w14:paraId="7431F5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Radio Mínimo</w:t>
      </w:r>
    </w:p>
    <w:p w14:paraId="3BA2D05D" w14:textId="77777777" w:rsidR="001F600C" w:rsidRPr="00285D58" w:rsidRDefault="001F600C" w:rsidP="008D1FFF">
      <w:pPr>
        <w:spacing w:line="276" w:lineRule="auto"/>
        <w:jc w:val="both"/>
        <w:rPr>
          <w:rFonts w:asciiTheme="minorHAnsi" w:eastAsia="Calibri" w:hAnsiTheme="minorHAnsi" w:cstheme="minorHAnsi"/>
        </w:rPr>
      </w:pPr>
    </w:p>
    <w:p w14:paraId="70205C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radio mínimo por utilizar en los diseños está dado en la sección 302.04.02 y la Tabla 302.02 del Manual DG-2018, para diferentes tipos de ubicación de la vía, peraltes y coeficientes de fricción. Ver Figura 13.</w:t>
      </w:r>
    </w:p>
    <w:p w14:paraId="248E1BA0" w14:textId="77777777" w:rsidR="001F600C" w:rsidRPr="00285D58" w:rsidRDefault="001F600C" w:rsidP="008D1FFF">
      <w:pPr>
        <w:spacing w:line="276" w:lineRule="auto"/>
        <w:ind w:firstLine="567"/>
        <w:jc w:val="both"/>
        <w:rPr>
          <w:rFonts w:asciiTheme="minorHAnsi" w:eastAsia="Calibri" w:hAnsiTheme="minorHAnsi" w:cstheme="minorHAnsi"/>
        </w:rPr>
      </w:pPr>
    </w:p>
    <w:p w14:paraId="7AC69746"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005C5B9F" wp14:editId="7233848D">
            <wp:extent cx="4029597" cy="5760000"/>
            <wp:effectExtent l="0" t="0" r="0" b="0"/>
            <wp:docPr id="213361738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7"/>
                    <a:srcRect/>
                    <a:stretch>
                      <a:fillRect/>
                    </a:stretch>
                  </pic:blipFill>
                  <pic:spPr>
                    <a:xfrm>
                      <a:off x="0" y="0"/>
                      <a:ext cx="4029597" cy="5760000"/>
                    </a:xfrm>
                    <a:prstGeom prst="rect">
                      <a:avLst/>
                    </a:prstGeom>
                    <a:ln/>
                  </pic:spPr>
                </pic:pic>
              </a:graphicData>
            </a:graphic>
          </wp:inline>
        </w:drawing>
      </w:r>
    </w:p>
    <w:p w14:paraId="2FA64394" w14:textId="68C9ACF6"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13: Radios mínimos y peraltes máximos</w:t>
      </w:r>
      <w:r w:rsidR="00764D55" w:rsidRPr="00285D58">
        <w:rPr>
          <w:rFonts w:asciiTheme="minorHAnsi" w:eastAsia="Calibri" w:hAnsiTheme="minorHAnsi" w:cstheme="minorHAnsi"/>
        </w:rPr>
        <w:t>.</w:t>
      </w:r>
    </w:p>
    <w:p w14:paraId="187B5504" w14:textId="0A1528C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E794289" w14:textId="77777777" w:rsidR="001F600C" w:rsidRPr="00285D58" w:rsidRDefault="001F600C" w:rsidP="008D1FFF">
      <w:pPr>
        <w:spacing w:line="276" w:lineRule="auto"/>
        <w:jc w:val="both"/>
        <w:rPr>
          <w:rFonts w:asciiTheme="minorHAnsi" w:eastAsia="Calibri" w:hAnsiTheme="minorHAnsi" w:cstheme="minorHAnsi"/>
        </w:rPr>
      </w:pPr>
    </w:p>
    <w:p w14:paraId="1CFA51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el radio mínimo a utilizar para una velocidad de 30 km/h ubicada en área rural escarpada, con peralte máximo de 12% y fmax de 0.17 es de 25 m.</w:t>
      </w:r>
    </w:p>
    <w:p w14:paraId="4A1812AC" w14:textId="77777777" w:rsidR="001F600C" w:rsidRPr="00285D58" w:rsidRDefault="001F600C" w:rsidP="008D1FFF">
      <w:pPr>
        <w:spacing w:line="276" w:lineRule="auto"/>
        <w:ind w:firstLine="567"/>
        <w:jc w:val="both"/>
        <w:rPr>
          <w:rFonts w:asciiTheme="minorHAnsi" w:eastAsia="Calibri" w:hAnsiTheme="minorHAnsi" w:cstheme="minorHAnsi"/>
        </w:rPr>
      </w:pPr>
    </w:p>
    <w:p w14:paraId="1891390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este caso, se recomienda utilizar la norma establecida en “A Policy on Geometric Design of Highways and Streets” - Edicion 2011 de la American Association of State Highway and Transportation Officials (AASHTO), que es una publicación de uso internacional y de mayor consulta en los países que formulan sus propias normas de diseño vial. La AASHTO en la sección 3-46 (Tabla 3-10a) de la publicación indica que para una velocidad de 20 km/h, estableciendo el radio mínimo de 20 m con peralte máximo de 5.8 %. Ver Figura 14.</w:t>
      </w:r>
    </w:p>
    <w:p w14:paraId="1644EA7B" w14:textId="77777777" w:rsidR="001F600C" w:rsidRPr="00285D58" w:rsidRDefault="001F600C" w:rsidP="008D1FFF">
      <w:pPr>
        <w:spacing w:line="276" w:lineRule="auto"/>
        <w:ind w:firstLine="567"/>
        <w:jc w:val="both"/>
        <w:rPr>
          <w:rFonts w:asciiTheme="minorHAnsi" w:eastAsia="Calibri" w:hAnsiTheme="minorHAnsi" w:cstheme="minorHAnsi"/>
        </w:rPr>
      </w:pPr>
    </w:p>
    <w:p w14:paraId="6CE4219C"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D71125B" wp14:editId="35D9FBF6">
            <wp:extent cx="5029200" cy="4863142"/>
            <wp:effectExtent l="0" t="0" r="0" b="0"/>
            <wp:docPr id="213361738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68"/>
                    <a:srcRect/>
                    <a:stretch>
                      <a:fillRect/>
                    </a:stretch>
                  </pic:blipFill>
                  <pic:spPr>
                    <a:xfrm>
                      <a:off x="0" y="0"/>
                      <a:ext cx="5029200" cy="4863142"/>
                    </a:xfrm>
                    <a:prstGeom prst="rect">
                      <a:avLst/>
                    </a:prstGeom>
                    <a:ln/>
                  </pic:spPr>
                </pic:pic>
              </a:graphicData>
            </a:graphic>
          </wp:inline>
        </w:drawing>
      </w:r>
    </w:p>
    <w:p w14:paraId="06EA4EF8" w14:textId="1946243F"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14: Radios mínimos para diseño de peraltes</w:t>
      </w:r>
      <w:r w:rsidR="007712EA" w:rsidRPr="00285D58">
        <w:rPr>
          <w:rFonts w:asciiTheme="minorHAnsi" w:eastAsia="Calibri" w:hAnsiTheme="minorHAnsi" w:cstheme="minorHAnsi"/>
        </w:rPr>
        <w:t>.</w:t>
      </w:r>
    </w:p>
    <w:p w14:paraId="65E425C8" w14:textId="7BF24B78"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AASHTO 2011</w:t>
      </w:r>
      <w:r w:rsidR="007712EA" w:rsidRPr="00285D58">
        <w:rPr>
          <w:rFonts w:asciiTheme="minorHAnsi" w:eastAsia="Calibri" w:hAnsiTheme="minorHAnsi" w:cstheme="minorHAnsi"/>
        </w:rPr>
        <w:t>.</w:t>
      </w:r>
    </w:p>
    <w:p w14:paraId="7C8A5181" w14:textId="77777777" w:rsidR="001F600C" w:rsidRPr="00285D58" w:rsidRDefault="001F600C" w:rsidP="008D1FFF">
      <w:pPr>
        <w:spacing w:line="276" w:lineRule="auto"/>
        <w:ind w:firstLine="567"/>
        <w:jc w:val="both"/>
        <w:rPr>
          <w:rFonts w:asciiTheme="minorHAnsi" w:eastAsia="Calibri" w:hAnsiTheme="minorHAnsi" w:cstheme="minorHAnsi"/>
        </w:rPr>
      </w:pPr>
    </w:p>
    <w:p w14:paraId="6165B89F" w14:textId="77777777" w:rsidR="001F600C" w:rsidRPr="00285D58" w:rsidRDefault="001F600C" w:rsidP="008D1FFF">
      <w:pPr>
        <w:spacing w:line="276" w:lineRule="auto"/>
        <w:ind w:firstLine="567"/>
        <w:jc w:val="both"/>
        <w:rPr>
          <w:rFonts w:asciiTheme="minorHAnsi" w:eastAsia="Calibri" w:hAnsiTheme="minorHAnsi" w:cstheme="minorHAnsi"/>
        </w:rPr>
      </w:pPr>
    </w:p>
    <w:p w14:paraId="1668A8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consecuencia, recomendamos para los diseños viales en las Vías Turísticas del Proyecto:</w:t>
      </w:r>
    </w:p>
    <w:p w14:paraId="480A3ADE"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Peralte máximo</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5.8%, que es variable en función a un determinado radio de las curvas que conforman el trazo.</w:t>
      </w:r>
    </w:p>
    <w:p w14:paraId="4B813E46"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Radio mínimo</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para el peralte máximo establecido.</w:t>
      </w:r>
    </w:p>
    <w:p w14:paraId="383EE549" w14:textId="77777777" w:rsidR="001F600C" w:rsidRPr="00285D58" w:rsidRDefault="001F600C" w:rsidP="008D1FFF">
      <w:pPr>
        <w:spacing w:line="276" w:lineRule="auto"/>
        <w:jc w:val="both"/>
        <w:rPr>
          <w:rFonts w:asciiTheme="minorHAnsi" w:eastAsia="Calibri" w:hAnsiTheme="minorHAnsi" w:cstheme="minorHAnsi"/>
        </w:rPr>
      </w:pPr>
    </w:p>
    <w:p w14:paraId="5FEF03E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 Curvas de vuelta</w:t>
      </w:r>
    </w:p>
    <w:p w14:paraId="6F757B59" w14:textId="77777777" w:rsidR="001F600C" w:rsidRPr="00285D58" w:rsidRDefault="001F600C" w:rsidP="008D1FFF">
      <w:pPr>
        <w:spacing w:line="276" w:lineRule="auto"/>
        <w:ind w:firstLine="567"/>
        <w:jc w:val="both"/>
        <w:rPr>
          <w:rFonts w:asciiTheme="minorHAnsi" w:eastAsia="Calibri" w:hAnsiTheme="minorHAnsi" w:cstheme="minorHAnsi"/>
        </w:rPr>
      </w:pPr>
    </w:p>
    <w:p w14:paraId="0909FB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orografía accidentada y escarpada que tienen difíciles condiciones para el alineamiento son frecuentes las curvas de vuelta que tienen una normatividad específica en el Manual DG-2018 en la Sección 302.07 y en la Tabla 302.12. Ver Figura 15.</w:t>
      </w:r>
    </w:p>
    <w:p w14:paraId="5F07BB96" w14:textId="77777777" w:rsidR="001F600C" w:rsidRPr="00285D58" w:rsidRDefault="001F600C" w:rsidP="008D1FFF">
      <w:pPr>
        <w:spacing w:line="276" w:lineRule="auto"/>
        <w:ind w:firstLine="567"/>
        <w:jc w:val="both"/>
        <w:rPr>
          <w:rFonts w:asciiTheme="minorHAnsi" w:eastAsia="Calibri" w:hAnsiTheme="minorHAnsi" w:cstheme="minorHAnsi"/>
        </w:rPr>
      </w:pPr>
    </w:p>
    <w:p w14:paraId="46B450BE"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06A3CA1D" wp14:editId="548D616C">
            <wp:extent cx="4620000" cy="2880000"/>
            <wp:effectExtent l="0" t="0" r="0" b="0"/>
            <wp:docPr id="213361738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9"/>
                    <a:srcRect/>
                    <a:stretch>
                      <a:fillRect/>
                    </a:stretch>
                  </pic:blipFill>
                  <pic:spPr>
                    <a:xfrm>
                      <a:off x="0" y="0"/>
                      <a:ext cx="4620000" cy="2880000"/>
                    </a:xfrm>
                    <a:prstGeom prst="rect">
                      <a:avLst/>
                    </a:prstGeom>
                    <a:ln/>
                  </pic:spPr>
                </pic:pic>
              </a:graphicData>
            </a:graphic>
          </wp:inline>
        </w:drawing>
      </w:r>
    </w:p>
    <w:p w14:paraId="0E8A6E68" w14:textId="549BE6C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15: Radio exterior e interior en curvas de vuelta</w:t>
      </w:r>
      <w:r w:rsidR="007712EA" w:rsidRPr="00285D58">
        <w:rPr>
          <w:rFonts w:asciiTheme="minorHAnsi" w:eastAsia="Calibri" w:hAnsiTheme="minorHAnsi" w:cstheme="minorHAnsi"/>
        </w:rPr>
        <w:t>.</w:t>
      </w:r>
    </w:p>
    <w:p w14:paraId="6FBA360A" w14:textId="518774E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55B8088E" w14:textId="77777777" w:rsidR="001F600C" w:rsidRPr="00285D58" w:rsidRDefault="001F600C" w:rsidP="008D1FFF">
      <w:pPr>
        <w:spacing w:line="276" w:lineRule="auto"/>
        <w:ind w:firstLine="567"/>
        <w:jc w:val="both"/>
        <w:rPr>
          <w:rFonts w:asciiTheme="minorHAnsi" w:eastAsia="Calibri" w:hAnsiTheme="minorHAnsi" w:cstheme="minorHAnsi"/>
        </w:rPr>
      </w:pPr>
    </w:p>
    <w:p w14:paraId="102D11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para un vehículo T2S2 se utilizará para las curvas de vuelta un radio interno de 8.0 m y un radio exterior de 15.25 m como como valores mínimos. Estos parámetros permiten la operación en doble sentido de circulación, lo que permite dar mayor seguridad en los sectores en curva de volteo, a la vez que pueden servir como plazoletas de cruce.</w:t>
      </w:r>
    </w:p>
    <w:p w14:paraId="2BFA5ED2" w14:textId="77777777" w:rsidR="001F600C" w:rsidRPr="00285D58" w:rsidRDefault="001F600C" w:rsidP="008D1FFF">
      <w:pPr>
        <w:spacing w:line="276" w:lineRule="auto"/>
        <w:ind w:firstLine="567"/>
        <w:jc w:val="both"/>
        <w:rPr>
          <w:rFonts w:asciiTheme="minorHAnsi" w:eastAsia="Calibri" w:hAnsiTheme="minorHAnsi" w:cstheme="minorHAnsi"/>
        </w:rPr>
      </w:pPr>
    </w:p>
    <w:p w14:paraId="3F147116"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d) Sobreancho </w:t>
      </w:r>
    </w:p>
    <w:p w14:paraId="0E4327D2" w14:textId="77777777" w:rsidR="001F600C" w:rsidRPr="00285D58" w:rsidRDefault="001F600C" w:rsidP="008D1FFF">
      <w:pPr>
        <w:spacing w:line="276" w:lineRule="auto"/>
        <w:ind w:firstLine="567"/>
        <w:jc w:val="both"/>
        <w:rPr>
          <w:rFonts w:asciiTheme="minorHAnsi" w:eastAsia="Calibri" w:hAnsiTheme="minorHAnsi" w:cstheme="minorHAnsi"/>
        </w:rPr>
      </w:pPr>
    </w:p>
    <w:p w14:paraId="415B5A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sobreancho es el ancho adicional de la superficie de rodadura de una carretera en los tramos en curva para compensar el mayor espacio requerido por los vehículos.</w:t>
      </w:r>
    </w:p>
    <w:p w14:paraId="689AE92F" w14:textId="77777777" w:rsidR="001F600C" w:rsidRPr="00285D58" w:rsidRDefault="001F600C" w:rsidP="008D1FFF">
      <w:pPr>
        <w:spacing w:line="276" w:lineRule="auto"/>
        <w:ind w:firstLine="567"/>
        <w:jc w:val="both"/>
        <w:rPr>
          <w:rFonts w:asciiTheme="minorHAnsi" w:eastAsia="Calibri" w:hAnsiTheme="minorHAnsi" w:cstheme="minorHAnsi"/>
        </w:rPr>
      </w:pPr>
    </w:p>
    <w:p w14:paraId="19F093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302.09 y en la figura 302.18 del Manual DG-2018 del MTC se presenta curvas diseñadas en función al radio de curva y a la velocidad de diseño. Ver Figura 16.</w:t>
      </w:r>
    </w:p>
    <w:p w14:paraId="3D68D65A" w14:textId="77777777" w:rsidR="001F600C" w:rsidRPr="00285D58" w:rsidRDefault="001F600C" w:rsidP="008D1FFF">
      <w:pPr>
        <w:spacing w:line="276" w:lineRule="auto"/>
        <w:ind w:firstLine="567"/>
        <w:jc w:val="both"/>
        <w:rPr>
          <w:rFonts w:asciiTheme="minorHAnsi" w:eastAsia="Calibri" w:hAnsiTheme="minorHAnsi" w:cstheme="minorHAnsi"/>
        </w:rPr>
      </w:pPr>
    </w:p>
    <w:p w14:paraId="79F404F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4EDF507D" wp14:editId="681FA699">
            <wp:extent cx="4349407" cy="2592000"/>
            <wp:effectExtent l="0" t="0" r="0" b="0"/>
            <wp:docPr id="2133617385" name="image28.png"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8.png" descr="Diagrama&#10;&#10;Descripción generada automáticamente con confianza baja"/>
                    <pic:cNvPicPr preferRelativeResize="0"/>
                  </pic:nvPicPr>
                  <pic:blipFill>
                    <a:blip r:embed="rId70"/>
                    <a:srcRect b="3522"/>
                    <a:stretch>
                      <a:fillRect/>
                    </a:stretch>
                  </pic:blipFill>
                  <pic:spPr>
                    <a:xfrm>
                      <a:off x="0" y="0"/>
                      <a:ext cx="4349407" cy="2592000"/>
                    </a:xfrm>
                    <a:prstGeom prst="rect">
                      <a:avLst/>
                    </a:prstGeom>
                    <a:ln/>
                  </pic:spPr>
                </pic:pic>
              </a:graphicData>
            </a:graphic>
          </wp:inline>
        </w:drawing>
      </w:r>
    </w:p>
    <w:p w14:paraId="216EB858" w14:textId="3476EDA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16: Valores de sobreancho en curvas horizontales</w:t>
      </w:r>
      <w:r w:rsidR="007712EA" w:rsidRPr="00285D58">
        <w:rPr>
          <w:rFonts w:asciiTheme="minorHAnsi" w:eastAsia="Calibri" w:hAnsiTheme="minorHAnsi" w:cstheme="minorHAnsi"/>
        </w:rPr>
        <w:t>.</w:t>
      </w:r>
    </w:p>
    <w:p w14:paraId="2FA2C855" w14:textId="184F478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12EC3FD8" w14:textId="77777777" w:rsidR="001F600C" w:rsidRPr="00285D58" w:rsidRDefault="001F600C" w:rsidP="008D1FFF">
      <w:pPr>
        <w:spacing w:line="276" w:lineRule="auto"/>
        <w:ind w:firstLine="567"/>
        <w:jc w:val="both"/>
        <w:rPr>
          <w:rFonts w:asciiTheme="minorHAnsi" w:eastAsia="Calibri" w:hAnsiTheme="minorHAnsi" w:cstheme="minorHAnsi"/>
        </w:rPr>
      </w:pPr>
    </w:p>
    <w:p w14:paraId="0C5A08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esta norma para una velocidad de 20 km/h y un radio mínimo de 20 m se tiene un sobreancho máximo de 1.80 m.</w:t>
      </w:r>
    </w:p>
    <w:p w14:paraId="7507D7B3" w14:textId="77777777" w:rsidR="001F600C" w:rsidRPr="00285D58" w:rsidRDefault="001F600C" w:rsidP="008D1FFF">
      <w:pPr>
        <w:spacing w:line="276" w:lineRule="auto"/>
        <w:ind w:firstLine="567"/>
        <w:jc w:val="both"/>
        <w:rPr>
          <w:rFonts w:asciiTheme="minorHAnsi" w:eastAsia="Calibri" w:hAnsiTheme="minorHAnsi" w:cstheme="minorHAnsi"/>
        </w:rPr>
      </w:pPr>
    </w:p>
    <w:p w14:paraId="48EAE83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e) Transición de Peralte</w:t>
      </w:r>
    </w:p>
    <w:p w14:paraId="76DC2986" w14:textId="77777777" w:rsidR="001F600C" w:rsidRPr="00285D58" w:rsidRDefault="001F600C" w:rsidP="008D1FFF">
      <w:pPr>
        <w:spacing w:line="276" w:lineRule="auto"/>
        <w:ind w:firstLine="567"/>
        <w:jc w:val="both"/>
        <w:rPr>
          <w:rFonts w:asciiTheme="minorHAnsi" w:eastAsia="Calibri" w:hAnsiTheme="minorHAnsi" w:cstheme="minorHAnsi"/>
        </w:rPr>
      </w:pPr>
    </w:p>
    <w:p w14:paraId="7731F0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transición de peralte a emplear para los diseños está dada en la Sección 302.08 y en la Tabla Nº 302.13 del Manual indicado para diferentes velocidades y peraltes. Ver Figura 17.</w:t>
      </w:r>
    </w:p>
    <w:p w14:paraId="51F05492" w14:textId="77777777" w:rsidR="001F600C" w:rsidRPr="00285D58" w:rsidRDefault="001F600C" w:rsidP="008D1FFF">
      <w:pPr>
        <w:spacing w:line="276" w:lineRule="auto"/>
        <w:ind w:firstLine="567"/>
        <w:jc w:val="both"/>
        <w:rPr>
          <w:rFonts w:asciiTheme="minorHAnsi" w:eastAsia="Calibri" w:hAnsiTheme="minorHAnsi" w:cstheme="minorHAnsi"/>
        </w:rPr>
      </w:pPr>
    </w:p>
    <w:p w14:paraId="0BE94C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carretas de Tercera Clase, se tomarán los valores que muestra la Tabla 302.13 para definir la velocidad de diseño y el valor del peralte.</w:t>
      </w:r>
    </w:p>
    <w:p w14:paraId="10237822" w14:textId="77777777" w:rsidR="001F600C" w:rsidRPr="00285D58" w:rsidRDefault="001F600C" w:rsidP="008D1FFF">
      <w:pPr>
        <w:spacing w:line="276" w:lineRule="auto"/>
        <w:ind w:firstLine="567"/>
        <w:jc w:val="both"/>
        <w:rPr>
          <w:rFonts w:asciiTheme="minorHAnsi" w:eastAsia="Calibri" w:hAnsiTheme="minorHAnsi" w:cstheme="minorHAnsi"/>
        </w:rPr>
      </w:pPr>
    </w:p>
    <w:p w14:paraId="3BC47CD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1471799" wp14:editId="3F60FE28">
            <wp:extent cx="3774856" cy="2160000"/>
            <wp:effectExtent l="0" t="0" r="0" b="0"/>
            <wp:docPr id="2133617408"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71"/>
                    <a:srcRect/>
                    <a:stretch>
                      <a:fillRect/>
                    </a:stretch>
                  </pic:blipFill>
                  <pic:spPr>
                    <a:xfrm>
                      <a:off x="0" y="0"/>
                      <a:ext cx="3774856" cy="2160000"/>
                    </a:xfrm>
                    <a:prstGeom prst="rect">
                      <a:avLst/>
                    </a:prstGeom>
                    <a:ln/>
                  </pic:spPr>
                </pic:pic>
              </a:graphicData>
            </a:graphic>
          </wp:inline>
        </w:drawing>
      </w:r>
    </w:p>
    <w:p w14:paraId="7BF6A27D" w14:textId="1913515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17: Longitud de transición de peralte</w:t>
      </w:r>
      <w:r w:rsidR="007712EA" w:rsidRPr="00285D58">
        <w:rPr>
          <w:rFonts w:asciiTheme="minorHAnsi" w:eastAsia="Calibri" w:hAnsiTheme="minorHAnsi" w:cstheme="minorHAnsi"/>
        </w:rPr>
        <w:t>.</w:t>
      </w:r>
    </w:p>
    <w:p w14:paraId="3FC499CF" w14:textId="1523C528"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744D7289" w14:textId="77777777" w:rsidR="001F600C" w:rsidRPr="00285D58" w:rsidRDefault="001F600C" w:rsidP="008D1FFF">
      <w:pPr>
        <w:spacing w:line="276" w:lineRule="auto"/>
        <w:ind w:firstLine="567"/>
        <w:jc w:val="both"/>
        <w:rPr>
          <w:rFonts w:asciiTheme="minorHAnsi" w:eastAsia="Calibri" w:hAnsiTheme="minorHAnsi" w:cstheme="minorHAnsi"/>
        </w:rPr>
      </w:pPr>
    </w:p>
    <w:p w14:paraId="5A2FF7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Según la tabla y con las recomendaciones para definir el peralte máximo y el radio mínimo, la longitud de transición mínima del peralte será 27 m.</w:t>
      </w:r>
    </w:p>
    <w:p w14:paraId="7D45C50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D.5.2)</w:t>
      </w:r>
      <w:r w:rsidRPr="00285D58">
        <w:rPr>
          <w:rFonts w:asciiTheme="minorHAnsi" w:eastAsia="Calibri" w:hAnsiTheme="minorHAnsi" w:cstheme="minorHAnsi"/>
        </w:rPr>
        <w:tab/>
        <w:t>Diseño Vertical</w:t>
      </w:r>
    </w:p>
    <w:p w14:paraId="78A5CB7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Pendiente Máxima</w:t>
      </w:r>
    </w:p>
    <w:p w14:paraId="0B7C116B" w14:textId="77777777" w:rsidR="001F600C" w:rsidRPr="00285D58" w:rsidRDefault="001F600C" w:rsidP="008D1FFF">
      <w:pPr>
        <w:spacing w:line="276" w:lineRule="auto"/>
        <w:ind w:firstLine="567"/>
        <w:jc w:val="both"/>
        <w:rPr>
          <w:rFonts w:asciiTheme="minorHAnsi" w:eastAsia="Calibri" w:hAnsiTheme="minorHAnsi" w:cstheme="minorHAnsi"/>
        </w:rPr>
      </w:pPr>
    </w:p>
    <w:p w14:paraId="31B4E0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303.03 y en la Tabla 303.01 del Manual indicado se dan los valores de las pendientes máximas para el diseño vial, en función a la clasificación de las carreteras y a la velocidad de diseño. Ver Figura 18.</w:t>
      </w:r>
    </w:p>
    <w:p w14:paraId="030FDC87" w14:textId="77777777" w:rsidR="001F600C" w:rsidRPr="00285D58" w:rsidRDefault="001F600C" w:rsidP="008D1FFF">
      <w:pPr>
        <w:spacing w:line="276" w:lineRule="auto"/>
        <w:ind w:firstLine="567"/>
        <w:jc w:val="both"/>
        <w:rPr>
          <w:rFonts w:asciiTheme="minorHAnsi" w:eastAsia="Calibri" w:hAnsiTheme="minorHAnsi" w:cstheme="minorHAnsi"/>
        </w:rPr>
      </w:pPr>
    </w:p>
    <w:p w14:paraId="128BD5E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7031981" wp14:editId="1CF61C98">
            <wp:extent cx="5559736" cy="3060000"/>
            <wp:effectExtent l="0" t="0" r="0" b="0"/>
            <wp:docPr id="213361740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2"/>
                    <a:srcRect l="1468" t="3464" r="1413" b="1933"/>
                    <a:stretch>
                      <a:fillRect/>
                    </a:stretch>
                  </pic:blipFill>
                  <pic:spPr>
                    <a:xfrm>
                      <a:off x="0" y="0"/>
                      <a:ext cx="5559736" cy="3060000"/>
                    </a:xfrm>
                    <a:prstGeom prst="rect">
                      <a:avLst/>
                    </a:prstGeom>
                    <a:ln/>
                  </pic:spPr>
                </pic:pic>
              </a:graphicData>
            </a:graphic>
          </wp:inline>
        </w:drawing>
      </w:r>
    </w:p>
    <w:p w14:paraId="1998BA03" w14:textId="2D1BA27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18: Pendientes máximas</w:t>
      </w:r>
      <w:r w:rsidR="00764D55" w:rsidRPr="00285D58">
        <w:rPr>
          <w:rFonts w:asciiTheme="minorHAnsi" w:eastAsia="Calibri" w:hAnsiTheme="minorHAnsi" w:cstheme="minorHAnsi"/>
        </w:rPr>
        <w:t>.</w:t>
      </w:r>
    </w:p>
    <w:p w14:paraId="1324C216" w14:textId="1834DEC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43673ED" w14:textId="77777777" w:rsidR="001F600C" w:rsidRPr="00285D58" w:rsidRDefault="001F600C" w:rsidP="008D1FFF">
      <w:pPr>
        <w:spacing w:line="276" w:lineRule="auto"/>
        <w:ind w:firstLine="567"/>
        <w:jc w:val="both"/>
        <w:rPr>
          <w:rFonts w:asciiTheme="minorHAnsi" w:eastAsia="Calibri" w:hAnsiTheme="minorHAnsi" w:cstheme="minorHAnsi"/>
        </w:rPr>
      </w:pPr>
    </w:p>
    <w:p w14:paraId="380A0B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disposición la máxima pendiente para carreteras de Tercera Clase a utilizar será de 10%. El valor de la pendiente máxima podrá incrementarse hasta en 1% para todos los casos, debiendo justificarse técnica y económicamente la necesidad de dicho incremento.</w:t>
      </w:r>
    </w:p>
    <w:p w14:paraId="7474E82E" w14:textId="77777777" w:rsidR="001F600C" w:rsidRPr="00285D58" w:rsidRDefault="001F600C" w:rsidP="008D1FFF">
      <w:pPr>
        <w:spacing w:line="276" w:lineRule="auto"/>
        <w:ind w:firstLine="567"/>
        <w:jc w:val="both"/>
        <w:rPr>
          <w:rFonts w:asciiTheme="minorHAnsi" w:eastAsia="Calibri" w:hAnsiTheme="minorHAnsi" w:cstheme="minorHAnsi"/>
        </w:rPr>
      </w:pPr>
    </w:p>
    <w:p w14:paraId="43FC2B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Longitud de Curva Vertical </w:t>
      </w:r>
    </w:p>
    <w:p w14:paraId="3C2E80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Manual de Diseño del MTC, indica en la Sección 303.04.03 y en la Tabla 303.02 la determinación de las longitudes de las curvas convexas y cóncavas. Ver Figuras 19 y 20.</w:t>
      </w:r>
    </w:p>
    <w:p w14:paraId="0060E287" w14:textId="77777777" w:rsidR="00764D55" w:rsidRPr="00285D58" w:rsidRDefault="00764D55" w:rsidP="008D1FFF">
      <w:pPr>
        <w:spacing w:line="276" w:lineRule="auto"/>
        <w:jc w:val="both"/>
        <w:rPr>
          <w:rFonts w:asciiTheme="minorHAnsi" w:eastAsia="Calibri" w:hAnsiTheme="minorHAnsi" w:cstheme="minorHAnsi"/>
        </w:rPr>
      </w:pPr>
    </w:p>
    <w:p w14:paraId="5F04F1C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28B3A593" wp14:editId="0EE3AE47">
            <wp:extent cx="3812063" cy="2262004"/>
            <wp:effectExtent l="0" t="0" r="0" b="0"/>
            <wp:docPr id="2133617410"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73"/>
                    <a:srcRect/>
                    <a:stretch>
                      <a:fillRect/>
                    </a:stretch>
                  </pic:blipFill>
                  <pic:spPr>
                    <a:xfrm>
                      <a:off x="0" y="0"/>
                      <a:ext cx="3812063" cy="2262004"/>
                    </a:xfrm>
                    <a:prstGeom prst="rect">
                      <a:avLst/>
                    </a:prstGeom>
                    <a:ln/>
                  </pic:spPr>
                </pic:pic>
              </a:graphicData>
            </a:graphic>
          </wp:inline>
        </w:drawing>
      </w:r>
    </w:p>
    <w:p w14:paraId="5BBBAD50" w14:textId="095DA8E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19: Longitud de curva vertical convexa</w:t>
      </w:r>
      <w:r w:rsidR="00764D55" w:rsidRPr="00285D58">
        <w:rPr>
          <w:rFonts w:asciiTheme="minorHAnsi" w:eastAsia="Calibri" w:hAnsiTheme="minorHAnsi" w:cstheme="minorHAnsi"/>
        </w:rPr>
        <w:t>.</w:t>
      </w:r>
    </w:p>
    <w:p w14:paraId="49F4D058" w14:textId="3F53B543"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FE9AA97" w14:textId="77777777" w:rsidR="001F600C" w:rsidRPr="00285D58" w:rsidRDefault="001F600C" w:rsidP="008D1FFF">
      <w:pPr>
        <w:spacing w:line="276" w:lineRule="auto"/>
        <w:ind w:firstLine="567"/>
        <w:jc w:val="both"/>
        <w:rPr>
          <w:rFonts w:asciiTheme="minorHAnsi" w:eastAsia="Calibri" w:hAnsiTheme="minorHAnsi" w:cstheme="minorHAnsi"/>
        </w:rPr>
      </w:pPr>
    </w:p>
    <w:p w14:paraId="52424EE7" w14:textId="77777777" w:rsidR="001F600C" w:rsidRPr="00285D58" w:rsidRDefault="001F600C" w:rsidP="008D1FFF">
      <w:pPr>
        <w:spacing w:line="276" w:lineRule="auto"/>
        <w:ind w:firstLine="567"/>
        <w:jc w:val="both"/>
        <w:rPr>
          <w:rFonts w:asciiTheme="minorHAnsi" w:eastAsia="Calibri" w:hAnsiTheme="minorHAnsi" w:cstheme="minorHAnsi"/>
        </w:rPr>
      </w:pPr>
    </w:p>
    <w:p w14:paraId="54D9CAE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FA1A445" wp14:editId="0727DA0A">
            <wp:extent cx="3679648" cy="2352716"/>
            <wp:effectExtent l="0" t="0" r="0" b="0"/>
            <wp:docPr id="2133617411"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74"/>
                    <a:srcRect/>
                    <a:stretch>
                      <a:fillRect/>
                    </a:stretch>
                  </pic:blipFill>
                  <pic:spPr>
                    <a:xfrm>
                      <a:off x="0" y="0"/>
                      <a:ext cx="3679648" cy="2352716"/>
                    </a:xfrm>
                    <a:prstGeom prst="rect">
                      <a:avLst/>
                    </a:prstGeom>
                    <a:ln/>
                  </pic:spPr>
                </pic:pic>
              </a:graphicData>
            </a:graphic>
          </wp:inline>
        </w:drawing>
      </w:r>
    </w:p>
    <w:p w14:paraId="424A2210" w14:textId="550C027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20: Longitud de curva vertical cóncava</w:t>
      </w:r>
      <w:r w:rsidR="007712EA" w:rsidRPr="00285D58">
        <w:rPr>
          <w:rFonts w:asciiTheme="minorHAnsi" w:eastAsia="Calibri" w:hAnsiTheme="minorHAnsi" w:cstheme="minorHAnsi"/>
        </w:rPr>
        <w:t>.</w:t>
      </w:r>
    </w:p>
    <w:p w14:paraId="31099C5A" w14:textId="19A7CA63"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712EA" w:rsidRPr="00285D58">
        <w:rPr>
          <w:rFonts w:asciiTheme="minorHAnsi" w:eastAsia="Calibri" w:hAnsiTheme="minorHAnsi" w:cstheme="minorHAnsi"/>
        </w:rPr>
        <w:t>.</w:t>
      </w:r>
    </w:p>
    <w:p w14:paraId="58BFE8AF" w14:textId="77777777" w:rsidR="001F600C" w:rsidRPr="00285D58" w:rsidRDefault="001F600C" w:rsidP="008D1FFF">
      <w:pPr>
        <w:spacing w:line="276" w:lineRule="auto"/>
        <w:ind w:firstLine="567"/>
        <w:jc w:val="both"/>
        <w:rPr>
          <w:rFonts w:asciiTheme="minorHAnsi" w:eastAsia="Calibri" w:hAnsiTheme="minorHAnsi" w:cstheme="minorHAnsi"/>
        </w:rPr>
      </w:pPr>
    </w:p>
    <w:p w14:paraId="554E60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Según lo normado en estas tablas los valores a utilizar para el diseño de las curvas verticales para la velocidad de 20 km/h son: </w:t>
      </w:r>
    </w:p>
    <w:p w14:paraId="3AC7FB29"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Longitud de curva vertical convexa</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(Control de visibilidad de parada)</w:t>
      </w:r>
    </w:p>
    <w:p w14:paraId="24FB3A53"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Longitud de curva vertical cóncava</w:t>
      </w:r>
      <w:r w:rsidRPr="00285D58">
        <w:rPr>
          <w:rFonts w:asciiTheme="minorHAnsi" w:eastAsia="Calibri" w:hAnsiTheme="minorHAnsi" w:cstheme="minorHAnsi"/>
          <w:color w:val="000000"/>
        </w:rPr>
        <w:tab/>
        <w:t>:</w:t>
      </w:r>
      <w:r w:rsidRPr="00285D58">
        <w:rPr>
          <w:rFonts w:asciiTheme="minorHAnsi" w:eastAsia="Calibri" w:hAnsiTheme="minorHAnsi" w:cstheme="minorHAnsi"/>
          <w:color w:val="000000"/>
        </w:rPr>
        <w:tab/>
        <w:t>20 m (Control de visibilidad de parada)</w:t>
      </w:r>
    </w:p>
    <w:p w14:paraId="54F9413E" w14:textId="77777777" w:rsidR="001F600C" w:rsidRPr="00285D58" w:rsidRDefault="001F600C" w:rsidP="008D1FFF">
      <w:pPr>
        <w:spacing w:line="276" w:lineRule="auto"/>
        <w:ind w:firstLine="567"/>
        <w:jc w:val="both"/>
        <w:rPr>
          <w:rFonts w:asciiTheme="minorHAnsi" w:eastAsia="Calibri" w:hAnsiTheme="minorHAnsi" w:cstheme="minorHAnsi"/>
        </w:rPr>
      </w:pPr>
    </w:p>
    <w:p w14:paraId="7948BF1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parámetro de curvatura K es función de la longitud de curva vertical y de la diferencia algebraica de las pendientes:</w:t>
      </w:r>
    </w:p>
    <w:p w14:paraId="76D8A25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K=L/A</w:t>
      </w:r>
    </w:p>
    <w:p w14:paraId="6FD89F2C" w14:textId="77777777" w:rsidR="001F600C" w:rsidRPr="00285D58" w:rsidRDefault="001F600C" w:rsidP="008D1FFF">
      <w:pPr>
        <w:spacing w:line="276" w:lineRule="auto"/>
        <w:ind w:firstLine="567"/>
        <w:jc w:val="both"/>
        <w:rPr>
          <w:rFonts w:asciiTheme="minorHAnsi" w:eastAsia="Calibri" w:hAnsiTheme="minorHAnsi" w:cstheme="minorHAnsi"/>
        </w:rPr>
      </w:pPr>
    </w:p>
    <w:p w14:paraId="645F44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D.5.3)</w:t>
      </w:r>
      <w:r w:rsidRPr="00285D58">
        <w:rPr>
          <w:rFonts w:asciiTheme="minorHAnsi" w:eastAsia="Calibri" w:hAnsiTheme="minorHAnsi" w:cstheme="minorHAnsi"/>
        </w:rPr>
        <w:tab/>
        <w:t xml:space="preserve">Sección Transversal </w:t>
      </w:r>
    </w:p>
    <w:p w14:paraId="35D0398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a) Calzada o superficie de rodadura </w:t>
      </w:r>
    </w:p>
    <w:p w14:paraId="103AB6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la Sección 304.03 y en la Tabla 304.01 del Manual DG-2018 del MTC se determinan al ancho mínimo de calzada en tangente, entendiéndose que las dimensiones normadas son a nivel de rasante terminada. Ver Figura 21.</w:t>
      </w:r>
    </w:p>
    <w:p w14:paraId="122AA0EB"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EE4657C" wp14:editId="3B161433">
            <wp:extent cx="5683402" cy="3204000"/>
            <wp:effectExtent l="0" t="0" r="0" b="0"/>
            <wp:docPr id="213361741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75"/>
                    <a:srcRect l="1764" r="1582"/>
                    <a:stretch>
                      <a:fillRect/>
                    </a:stretch>
                  </pic:blipFill>
                  <pic:spPr>
                    <a:xfrm>
                      <a:off x="0" y="0"/>
                      <a:ext cx="5683402" cy="3204000"/>
                    </a:xfrm>
                    <a:prstGeom prst="rect">
                      <a:avLst/>
                    </a:prstGeom>
                    <a:ln/>
                  </pic:spPr>
                </pic:pic>
              </a:graphicData>
            </a:graphic>
          </wp:inline>
        </w:drawing>
      </w:r>
    </w:p>
    <w:p w14:paraId="086C0442" w14:textId="1FDF0FA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21: Anchos de calzada en tangente</w:t>
      </w:r>
      <w:r w:rsidR="00764D55" w:rsidRPr="00285D58">
        <w:rPr>
          <w:rFonts w:asciiTheme="minorHAnsi" w:eastAsia="Calibri" w:hAnsiTheme="minorHAnsi" w:cstheme="minorHAnsi"/>
        </w:rPr>
        <w:t>.</w:t>
      </w:r>
    </w:p>
    <w:p w14:paraId="32EC03E3" w14:textId="4B67BBB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235DDFE0" w14:textId="77777777" w:rsidR="001F600C" w:rsidRPr="00285D58" w:rsidRDefault="001F600C" w:rsidP="008D1FFF">
      <w:pPr>
        <w:spacing w:line="276" w:lineRule="auto"/>
        <w:ind w:firstLine="567"/>
        <w:jc w:val="both"/>
        <w:rPr>
          <w:rFonts w:asciiTheme="minorHAnsi" w:eastAsia="Calibri" w:hAnsiTheme="minorHAnsi" w:cstheme="minorHAnsi"/>
        </w:rPr>
      </w:pPr>
    </w:p>
    <w:p w14:paraId="636267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ancho de calzada para las vías turísticas clasificadas como trochas carrozables, se ha adoptado un ancho de calzada mínimo de 5.50 m considerando mejores condiciones de tránsito para los vehículos turísticos.</w:t>
      </w:r>
    </w:p>
    <w:p w14:paraId="513C7063" w14:textId="77777777" w:rsidR="001F600C" w:rsidRPr="00285D58" w:rsidRDefault="001F600C" w:rsidP="008D1FFF">
      <w:pPr>
        <w:spacing w:line="276" w:lineRule="auto"/>
        <w:ind w:firstLine="567"/>
        <w:jc w:val="both"/>
        <w:rPr>
          <w:rFonts w:asciiTheme="minorHAnsi" w:eastAsia="Calibri" w:hAnsiTheme="minorHAnsi" w:cstheme="minorHAnsi"/>
        </w:rPr>
      </w:pPr>
    </w:p>
    <w:p w14:paraId="16B05C2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Bermas </w:t>
      </w:r>
    </w:p>
    <w:p w14:paraId="06CB59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304.04.01 y en la Tabla 304.02 del Manual DG-2018 del MTC, se establece el ancho de las bermas para cada caso, entendiéndose que las dimensiones normadas son a nivel de rasante terminada. Ver Figura 22.</w:t>
      </w:r>
    </w:p>
    <w:p w14:paraId="424296F9" w14:textId="77777777" w:rsidR="001F600C" w:rsidRPr="00285D58" w:rsidRDefault="001F600C" w:rsidP="008D1FFF">
      <w:pPr>
        <w:spacing w:line="276" w:lineRule="auto"/>
        <w:ind w:firstLine="567"/>
        <w:jc w:val="both"/>
        <w:rPr>
          <w:rFonts w:asciiTheme="minorHAnsi" w:eastAsia="Calibri" w:hAnsiTheme="minorHAnsi" w:cstheme="minorHAnsi"/>
        </w:rPr>
      </w:pPr>
    </w:p>
    <w:p w14:paraId="0FA6B0B1"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5911AD4F" wp14:editId="1632A62A">
            <wp:extent cx="5597003" cy="3240000"/>
            <wp:effectExtent l="0" t="0" r="0" b="0"/>
            <wp:docPr id="213361741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76"/>
                    <a:srcRect l="1820" r="1586"/>
                    <a:stretch>
                      <a:fillRect/>
                    </a:stretch>
                  </pic:blipFill>
                  <pic:spPr>
                    <a:xfrm>
                      <a:off x="0" y="0"/>
                      <a:ext cx="5597003" cy="3240000"/>
                    </a:xfrm>
                    <a:prstGeom prst="rect">
                      <a:avLst/>
                    </a:prstGeom>
                    <a:ln/>
                  </pic:spPr>
                </pic:pic>
              </a:graphicData>
            </a:graphic>
          </wp:inline>
        </w:drawing>
      </w:r>
    </w:p>
    <w:p w14:paraId="08D52ECD" w14:textId="6598C84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22: Anchos de bermas</w:t>
      </w:r>
      <w:r w:rsidR="00764D55" w:rsidRPr="00285D58">
        <w:rPr>
          <w:rFonts w:asciiTheme="minorHAnsi" w:eastAsia="Calibri" w:hAnsiTheme="minorHAnsi" w:cstheme="minorHAnsi"/>
        </w:rPr>
        <w:t>.</w:t>
      </w:r>
    </w:p>
    <w:p w14:paraId="7571204C" w14:textId="3148F8A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0FF0FBCC" w14:textId="77777777" w:rsidR="001F600C" w:rsidRPr="00285D58" w:rsidRDefault="001F600C" w:rsidP="008D1FFF">
      <w:pPr>
        <w:spacing w:line="276" w:lineRule="auto"/>
        <w:ind w:firstLine="567"/>
        <w:jc w:val="both"/>
        <w:rPr>
          <w:rFonts w:asciiTheme="minorHAnsi" w:eastAsia="Calibri" w:hAnsiTheme="minorHAnsi" w:cstheme="minorHAnsi"/>
        </w:rPr>
      </w:pPr>
    </w:p>
    <w:p w14:paraId="2AF882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Sección 304.02 Elementos de la sección transversal del Manual DG-2018 del MTC se exige que las vías tengan un sobreancho mínimo de compactación de 0.50 m adosado al borde vía exterior, espacio que sirve para la instalación de la señalización vertical y de los elementos de seguridad como guardavías de metal.</w:t>
      </w:r>
    </w:p>
    <w:p w14:paraId="1AA2D8E3" w14:textId="77777777" w:rsidR="001F600C" w:rsidRPr="00285D58" w:rsidRDefault="001F600C" w:rsidP="008D1FFF">
      <w:pPr>
        <w:spacing w:line="276" w:lineRule="auto"/>
        <w:ind w:firstLine="567"/>
        <w:jc w:val="both"/>
        <w:rPr>
          <w:rFonts w:asciiTheme="minorHAnsi" w:eastAsia="Calibri" w:hAnsiTheme="minorHAnsi" w:cstheme="minorHAnsi"/>
        </w:rPr>
      </w:pPr>
    </w:p>
    <w:p w14:paraId="746748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lo indicado, la calzada, berma y sobreancho de compactación a emplear presentarán las dimensiones indicadas en la Tabla 12.</w:t>
      </w:r>
    </w:p>
    <w:p w14:paraId="39671707" w14:textId="77777777" w:rsidR="001F600C" w:rsidRPr="00285D58" w:rsidRDefault="001F600C" w:rsidP="008D1FFF">
      <w:pPr>
        <w:spacing w:line="276" w:lineRule="auto"/>
        <w:ind w:firstLine="567"/>
        <w:jc w:val="both"/>
        <w:rPr>
          <w:rFonts w:asciiTheme="minorHAnsi" w:eastAsia="Calibri" w:hAnsiTheme="minorHAnsi" w:cstheme="minorHAnsi"/>
        </w:rPr>
      </w:pPr>
    </w:p>
    <w:p w14:paraId="42EB4594" w14:textId="08472468" w:rsidR="001F600C" w:rsidRPr="00285D58" w:rsidRDefault="001F600C" w:rsidP="008D1FFF">
      <w:pPr>
        <w:pStyle w:val="Descripcin"/>
        <w:spacing w:line="276" w:lineRule="auto"/>
        <w:jc w:val="center"/>
        <w:rPr>
          <w:rFonts w:asciiTheme="minorHAnsi" w:eastAsia="Calibri" w:hAnsiTheme="minorHAnsi" w:cstheme="minorHAnsi"/>
          <w:sz w:val="22"/>
          <w:szCs w:val="22"/>
        </w:rPr>
      </w:pPr>
      <w:r w:rsidRPr="00285D58">
        <w:rPr>
          <w:rFonts w:asciiTheme="minorHAnsi" w:hAnsiTheme="minorHAnsi" w:cstheme="minorHAnsi"/>
          <w:sz w:val="22"/>
          <w:szCs w:val="22"/>
        </w:rPr>
        <w:t xml:space="preserve">Tabla </w:t>
      </w:r>
      <w:r w:rsidR="00F20B19" w:rsidRPr="00285D58">
        <w:rPr>
          <w:rFonts w:asciiTheme="minorHAnsi" w:hAnsiTheme="minorHAnsi" w:cstheme="minorHAnsi"/>
          <w:sz w:val="22"/>
          <w:szCs w:val="22"/>
        </w:rPr>
        <w:fldChar w:fldCharType="begin"/>
      </w:r>
      <w:r w:rsidR="00F20B19" w:rsidRPr="00285D58">
        <w:rPr>
          <w:rFonts w:asciiTheme="minorHAnsi" w:hAnsiTheme="minorHAnsi" w:cstheme="minorHAnsi"/>
          <w:sz w:val="22"/>
          <w:szCs w:val="22"/>
        </w:rPr>
        <w:instrText xml:space="preserve"> SEQ Tabla \* ARABIC </w:instrText>
      </w:r>
      <w:r w:rsidR="00F20B19" w:rsidRPr="00285D58">
        <w:rPr>
          <w:rFonts w:asciiTheme="minorHAnsi" w:hAnsiTheme="minorHAnsi" w:cstheme="minorHAnsi"/>
          <w:sz w:val="22"/>
          <w:szCs w:val="22"/>
        </w:rPr>
        <w:fldChar w:fldCharType="separate"/>
      </w:r>
      <w:r w:rsidR="007E3A44" w:rsidRPr="00285D58">
        <w:rPr>
          <w:rFonts w:asciiTheme="minorHAnsi" w:hAnsiTheme="minorHAnsi" w:cstheme="minorHAnsi"/>
          <w:noProof/>
          <w:sz w:val="22"/>
          <w:szCs w:val="22"/>
        </w:rPr>
        <w:t>25</w:t>
      </w:r>
      <w:r w:rsidR="00F20B19" w:rsidRPr="00285D58">
        <w:rPr>
          <w:rFonts w:asciiTheme="minorHAnsi" w:hAnsiTheme="minorHAnsi" w:cstheme="minorHAnsi"/>
          <w:noProof/>
          <w:sz w:val="22"/>
          <w:szCs w:val="22"/>
        </w:rPr>
        <w:fldChar w:fldCharType="end"/>
      </w:r>
      <w:r w:rsidRPr="00285D58">
        <w:rPr>
          <w:rFonts w:asciiTheme="minorHAnsi" w:hAnsiTheme="minorHAnsi" w:cstheme="minorHAnsi"/>
          <w:sz w:val="22"/>
          <w:szCs w:val="22"/>
        </w:rPr>
        <w:t>. VALORES ADOPTADOS PARA LA SECCIÓN TRANSVERSAL</w:t>
      </w:r>
    </w:p>
    <w:tbl>
      <w:tblPr>
        <w:tblW w:w="6222"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2258"/>
        <w:gridCol w:w="1394"/>
        <w:gridCol w:w="1294"/>
        <w:gridCol w:w="1276"/>
      </w:tblGrid>
      <w:tr w:rsidR="001F600C" w:rsidRPr="00285D58" w14:paraId="3E26177E" w14:textId="77777777" w:rsidTr="00242093">
        <w:trPr>
          <w:trHeight w:val="446"/>
          <w:jc w:val="center"/>
        </w:trPr>
        <w:tc>
          <w:tcPr>
            <w:tcW w:w="2258" w:type="dxa"/>
            <w:shd w:val="clear" w:color="auto" w:fill="DEEBF6"/>
          </w:tcPr>
          <w:p w14:paraId="56D917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Categoría</w:t>
            </w:r>
          </w:p>
        </w:tc>
        <w:tc>
          <w:tcPr>
            <w:tcW w:w="1394" w:type="dxa"/>
            <w:shd w:val="clear" w:color="auto" w:fill="DEEBF6"/>
          </w:tcPr>
          <w:p w14:paraId="615566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Calzada (m)</w:t>
            </w:r>
          </w:p>
        </w:tc>
        <w:tc>
          <w:tcPr>
            <w:tcW w:w="1294" w:type="dxa"/>
            <w:shd w:val="clear" w:color="auto" w:fill="DEEBF6"/>
          </w:tcPr>
          <w:p w14:paraId="24519D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Berma (m)</w:t>
            </w:r>
          </w:p>
        </w:tc>
        <w:tc>
          <w:tcPr>
            <w:tcW w:w="1276" w:type="dxa"/>
            <w:shd w:val="clear" w:color="auto" w:fill="DEEBF6"/>
          </w:tcPr>
          <w:p w14:paraId="6A223A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S.A.C (m)</w:t>
            </w:r>
          </w:p>
        </w:tc>
      </w:tr>
      <w:tr w:rsidR="001F600C" w:rsidRPr="00285D58" w14:paraId="119C9A87" w14:textId="77777777" w:rsidTr="00242093">
        <w:trPr>
          <w:trHeight w:val="340"/>
          <w:jc w:val="center"/>
        </w:trPr>
        <w:tc>
          <w:tcPr>
            <w:tcW w:w="2258" w:type="dxa"/>
          </w:tcPr>
          <w:p w14:paraId="566013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Trochas Carrozables </w:t>
            </w:r>
          </w:p>
        </w:tc>
        <w:tc>
          <w:tcPr>
            <w:tcW w:w="1394" w:type="dxa"/>
          </w:tcPr>
          <w:p w14:paraId="3ED79C2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5.50</w:t>
            </w:r>
          </w:p>
        </w:tc>
        <w:tc>
          <w:tcPr>
            <w:tcW w:w="1294" w:type="dxa"/>
          </w:tcPr>
          <w:p w14:paraId="708DD7B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c>
          <w:tcPr>
            <w:tcW w:w="1276" w:type="dxa"/>
          </w:tcPr>
          <w:p w14:paraId="0C9A2C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0.60 (*)</w:t>
            </w:r>
          </w:p>
        </w:tc>
      </w:tr>
    </w:tbl>
    <w:p w14:paraId="3FE0F6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Solo en el borde exterior de la vía</w:t>
      </w:r>
    </w:p>
    <w:p w14:paraId="344B1ADF" w14:textId="57771D5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052BCEC" w14:textId="77777777" w:rsidR="001F600C" w:rsidRPr="00285D58" w:rsidRDefault="001F600C" w:rsidP="008D1FFF">
      <w:pPr>
        <w:spacing w:line="276" w:lineRule="auto"/>
        <w:ind w:firstLine="567"/>
        <w:jc w:val="both"/>
        <w:rPr>
          <w:rFonts w:asciiTheme="minorHAnsi" w:eastAsia="Calibri" w:hAnsiTheme="minorHAnsi" w:cstheme="minorHAnsi"/>
        </w:rPr>
      </w:pPr>
    </w:p>
    <w:p w14:paraId="4126706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D.5.4)</w:t>
      </w:r>
      <w:r w:rsidRPr="00285D58">
        <w:rPr>
          <w:rFonts w:asciiTheme="minorHAnsi" w:eastAsia="Calibri" w:hAnsiTheme="minorHAnsi" w:cstheme="minorHAnsi"/>
        </w:rPr>
        <w:tab/>
        <w:t xml:space="preserve">Derecho de Vía </w:t>
      </w:r>
    </w:p>
    <w:p w14:paraId="7AB2912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ancho mínimo del derecho de vía está establecido en la Tabla 304.09 del Manual DG-2018 del MTC en función a la clasificación de la carretera por demanda orográfica. Ver Figura 23.</w:t>
      </w:r>
    </w:p>
    <w:p w14:paraId="2F787E49" w14:textId="77777777" w:rsidR="001F600C" w:rsidRPr="00285D58" w:rsidRDefault="001F600C" w:rsidP="008D1FFF">
      <w:pPr>
        <w:spacing w:line="276" w:lineRule="auto"/>
        <w:ind w:firstLine="567"/>
        <w:jc w:val="both"/>
        <w:rPr>
          <w:rFonts w:asciiTheme="minorHAnsi" w:eastAsia="Calibri" w:hAnsiTheme="minorHAnsi" w:cstheme="minorHAnsi"/>
        </w:rPr>
      </w:pPr>
    </w:p>
    <w:p w14:paraId="3C9171A3"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301D5367" wp14:editId="70156E75">
            <wp:extent cx="3228975" cy="1152525"/>
            <wp:effectExtent l="0" t="0" r="0" b="0"/>
            <wp:docPr id="213361741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7"/>
                    <a:srcRect/>
                    <a:stretch>
                      <a:fillRect/>
                    </a:stretch>
                  </pic:blipFill>
                  <pic:spPr>
                    <a:xfrm>
                      <a:off x="0" y="0"/>
                      <a:ext cx="3228975" cy="1152525"/>
                    </a:xfrm>
                    <a:prstGeom prst="rect">
                      <a:avLst/>
                    </a:prstGeom>
                    <a:ln/>
                  </pic:spPr>
                </pic:pic>
              </a:graphicData>
            </a:graphic>
          </wp:inline>
        </w:drawing>
      </w:r>
    </w:p>
    <w:p w14:paraId="32C1601E" w14:textId="353CE55D"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23: Derecho de vía</w:t>
      </w:r>
      <w:r w:rsidR="00764D55" w:rsidRPr="00285D58">
        <w:rPr>
          <w:rFonts w:asciiTheme="minorHAnsi" w:eastAsia="Calibri" w:hAnsiTheme="minorHAnsi" w:cstheme="minorHAnsi"/>
        </w:rPr>
        <w:t>.</w:t>
      </w:r>
    </w:p>
    <w:p w14:paraId="3F9139F0" w14:textId="7C37ECF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p>
    <w:p w14:paraId="41687A43" w14:textId="77777777" w:rsidR="001F600C" w:rsidRPr="00285D58" w:rsidRDefault="001F600C" w:rsidP="008D1FFF">
      <w:pPr>
        <w:spacing w:line="276" w:lineRule="auto"/>
        <w:ind w:firstLine="567"/>
        <w:jc w:val="both"/>
        <w:rPr>
          <w:rFonts w:asciiTheme="minorHAnsi" w:eastAsia="Calibri" w:hAnsiTheme="minorHAnsi" w:cstheme="minorHAnsi"/>
        </w:rPr>
      </w:pPr>
    </w:p>
    <w:p w14:paraId="602740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Según esta norma el Derecho de vía para carreteras de Tercera Clase y en consecuencia para trochas carrozables será de 16 m en total.</w:t>
      </w:r>
    </w:p>
    <w:p w14:paraId="5CE30289" w14:textId="77777777" w:rsidR="001F600C" w:rsidRPr="00285D58" w:rsidRDefault="001F600C" w:rsidP="008D1FFF">
      <w:pPr>
        <w:spacing w:line="276" w:lineRule="auto"/>
        <w:ind w:firstLine="567"/>
        <w:jc w:val="both"/>
        <w:rPr>
          <w:rFonts w:asciiTheme="minorHAnsi" w:eastAsia="Calibri" w:hAnsiTheme="minorHAnsi" w:cstheme="minorHAnsi"/>
        </w:rPr>
      </w:pPr>
    </w:p>
    <w:p w14:paraId="0BE521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general, los anchos de la faja de dominio o Derecho de Vía, fijados por la autoridad competente se incrementarán en 5.00 m, en los siguientes casos:</w:t>
      </w:r>
    </w:p>
    <w:p w14:paraId="7052767A"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borde superior de los taludes de corte más alejados.</w:t>
      </w:r>
    </w:p>
    <w:p w14:paraId="2698252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pie de los terraplenes más altos.</w:t>
      </w:r>
    </w:p>
    <w:p w14:paraId="35D6F6C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Del borde más alejado de las obras de drenaje.</w:t>
      </w:r>
    </w:p>
    <w:p w14:paraId="12C527E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De borde exterior de los caminos de servicio.</w:t>
      </w:r>
    </w:p>
    <w:p w14:paraId="30997276" w14:textId="77777777" w:rsidR="001F600C" w:rsidRPr="00285D58" w:rsidRDefault="001F600C" w:rsidP="008D1FFF">
      <w:pPr>
        <w:spacing w:line="276" w:lineRule="auto"/>
        <w:ind w:firstLine="567"/>
        <w:jc w:val="both"/>
        <w:rPr>
          <w:rFonts w:asciiTheme="minorHAnsi" w:eastAsia="Calibri" w:hAnsiTheme="minorHAnsi" w:cstheme="minorHAnsi"/>
        </w:rPr>
      </w:pPr>
    </w:p>
    <w:p w14:paraId="09C8D7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D.5.5)</w:t>
      </w:r>
      <w:r w:rsidRPr="00285D58">
        <w:rPr>
          <w:rFonts w:asciiTheme="minorHAnsi" w:eastAsia="Calibri" w:hAnsiTheme="minorHAnsi" w:cstheme="minorHAnsi"/>
        </w:rPr>
        <w:tab/>
        <w:t xml:space="preserve">Resumen </w:t>
      </w:r>
    </w:p>
    <w:p w14:paraId="79062A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en la Tabla 13 se presentan los parámetros de diseño a ser utilizados en las vías turísticas, que satisfacen la categoría de Trochas Carrozables.</w:t>
      </w:r>
    </w:p>
    <w:p w14:paraId="7C8A6B74" w14:textId="77777777" w:rsidR="001F600C" w:rsidRPr="00285D58" w:rsidRDefault="001F600C" w:rsidP="008D1FFF">
      <w:pPr>
        <w:spacing w:line="276" w:lineRule="auto"/>
        <w:ind w:firstLine="567"/>
        <w:jc w:val="both"/>
        <w:rPr>
          <w:rFonts w:asciiTheme="minorHAnsi" w:eastAsia="Calibri" w:hAnsiTheme="minorHAnsi" w:cstheme="minorHAnsi"/>
        </w:rPr>
      </w:pPr>
    </w:p>
    <w:p w14:paraId="654947EF" w14:textId="00B938A4"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RESUMEN DEL DISEÑO GEOMÉTRICO</w:t>
      </w:r>
    </w:p>
    <w:tbl>
      <w:tblPr>
        <w:tblW w:w="8583"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3109"/>
        <w:gridCol w:w="1599"/>
        <w:gridCol w:w="1842"/>
        <w:gridCol w:w="2033"/>
      </w:tblGrid>
      <w:tr w:rsidR="001F600C" w:rsidRPr="00285D58" w14:paraId="19C1EA9D" w14:textId="77777777" w:rsidTr="00242093">
        <w:trPr>
          <w:trHeight w:val="397"/>
          <w:tblHeader/>
          <w:jc w:val="center"/>
        </w:trPr>
        <w:tc>
          <w:tcPr>
            <w:tcW w:w="3109" w:type="dxa"/>
            <w:shd w:val="clear" w:color="auto" w:fill="DEEBF6"/>
          </w:tcPr>
          <w:p w14:paraId="4759935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Concepto</w:t>
            </w:r>
          </w:p>
        </w:tc>
        <w:tc>
          <w:tcPr>
            <w:tcW w:w="1599" w:type="dxa"/>
            <w:shd w:val="clear" w:color="auto" w:fill="DEEBF6"/>
          </w:tcPr>
          <w:p w14:paraId="527619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Sección / Tópico </w:t>
            </w:r>
          </w:p>
        </w:tc>
        <w:tc>
          <w:tcPr>
            <w:tcW w:w="1842" w:type="dxa"/>
            <w:shd w:val="clear" w:color="auto" w:fill="DEEBF6"/>
          </w:tcPr>
          <w:p w14:paraId="17B23E0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Parámetro /Norma</w:t>
            </w:r>
          </w:p>
        </w:tc>
        <w:tc>
          <w:tcPr>
            <w:tcW w:w="2033" w:type="dxa"/>
            <w:shd w:val="clear" w:color="auto" w:fill="DEEBF6"/>
          </w:tcPr>
          <w:p w14:paraId="2C0368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Comentarios </w:t>
            </w:r>
          </w:p>
        </w:tc>
      </w:tr>
      <w:tr w:rsidR="001F600C" w:rsidRPr="00285D58" w14:paraId="42780505" w14:textId="77777777" w:rsidTr="00242093">
        <w:trPr>
          <w:trHeight w:val="454"/>
          <w:jc w:val="center"/>
        </w:trPr>
        <w:tc>
          <w:tcPr>
            <w:tcW w:w="3109" w:type="dxa"/>
          </w:tcPr>
          <w:p w14:paraId="3F523A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Clasificación por Demanda </w:t>
            </w:r>
          </w:p>
        </w:tc>
        <w:tc>
          <w:tcPr>
            <w:tcW w:w="1599" w:type="dxa"/>
          </w:tcPr>
          <w:p w14:paraId="5094E30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101 (1)</w:t>
            </w:r>
          </w:p>
        </w:tc>
        <w:tc>
          <w:tcPr>
            <w:tcW w:w="1842" w:type="dxa"/>
          </w:tcPr>
          <w:p w14:paraId="7AD5C7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Trochas Carrozables</w:t>
            </w:r>
          </w:p>
        </w:tc>
        <w:tc>
          <w:tcPr>
            <w:tcW w:w="2033" w:type="dxa"/>
          </w:tcPr>
          <w:p w14:paraId="7662AC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Obtenido de la estimación vehicular</w:t>
            </w:r>
          </w:p>
        </w:tc>
      </w:tr>
      <w:tr w:rsidR="001F600C" w:rsidRPr="00285D58" w14:paraId="53387900" w14:textId="77777777" w:rsidTr="00242093">
        <w:trPr>
          <w:trHeight w:val="454"/>
          <w:jc w:val="center"/>
        </w:trPr>
        <w:tc>
          <w:tcPr>
            <w:tcW w:w="3109" w:type="dxa"/>
          </w:tcPr>
          <w:p w14:paraId="116579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Clasificación por Orografía </w:t>
            </w:r>
          </w:p>
        </w:tc>
        <w:tc>
          <w:tcPr>
            <w:tcW w:w="1599" w:type="dxa"/>
          </w:tcPr>
          <w:p w14:paraId="7D03E6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102 (1)</w:t>
            </w:r>
          </w:p>
        </w:tc>
        <w:tc>
          <w:tcPr>
            <w:tcW w:w="1842" w:type="dxa"/>
          </w:tcPr>
          <w:p w14:paraId="19A7B47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Terreno Accidentado y Escarpado (Tipo 3 y 4)</w:t>
            </w:r>
          </w:p>
        </w:tc>
        <w:tc>
          <w:tcPr>
            <w:tcW w:w="2033" w:type="dxa"/>
          </w:tcPr>
          <w:p w14:paraId="51C37A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D6AD9D8" w14:textId="77777777" w:rsidTr="00242093">
        <w:trPr>
          <w:trHeight w:val="454"/>
          <w:jc w:val="center"/>
        </w:trPr>
        <w:tc>
          <w:tcPr>
            <w:tcW w:w="3109" w:type="dxa"/>
          </w:tcPr>
          <w:p w14:paraId="3886CD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Velocidad de Diseño</w:t>
            </w:r>
          </w:p>
        </w:tc>
        <w:tc>
          <w:tcPr>
            <w:tcW w:w="1599" w:type="dxa"/>
          </w:tcPr>
          <w:p w14:paraId="268062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204 (1)</w:t>
            </w:r>
          </w:p>
        </w:tc>
        <w:tc>
          <w:tcPr>
            <w:tcW w:w="1842" w:type="dxa"/>
          </w:tcPr>
          <w:p w14:paraId="264A68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km/h (Trocha carrozable)</w:t>
            </w:r>
          </w:p>
        </w:tc>
        <w:tc>
          <w:tcPr>
            <w:tcW w:w="2033" w:type="dxa"/>
          </w:tcPr>
          <w:p w14:paraId="0FA5F9B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FAAA28D" w14:textId="77777777" w:rsidTr="00242093">
        <w:trPr>
          <w:trHeight w:val="454"/>
          <w:jc w:val="center"/>
        </w:trPr>
        <w:tc>
          <w:tcPr>
            <w:tcW w:w="3109" w:type="dxa"/>
          </w:tcPr>
          <w:p w14:paraId="37341B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Longitud Mínima de Tramos en tangente </w:t>
            </w:r>
          </w:p>
        </w:tc>
        <w:tc>
          <w:tcPr>
            <w:tcW w:w="1599" w:type="dxa"/>
          </w:tcPr>
          <w:p w14:paraId="651FE8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302.03 (1)</w:t>
            </w:r>
          </w:p>
        </w:tc>
        <w:tc>
          <w:tcPr>
            <w:tcW w:w="1842" w:type="dxa"/>
          </w:tcPr>
          <w:p w14:paraId="141FBB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Ls=28 m, Lo=56 m</w:t>
            </w:r>
          </w:p>
        </w:tc>
        <w:tc>
          <w:tcPr>
            <w:tcW w:w="2033" w:type="dxa"/>
          </w:tcPr>
          <w:p w14:paraId="2062217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35AF23E9" w14:textId="77777777" w:rsidTr="00242093">
        <w:trPr>
          <w:trHeight w:val="454"/>
          <w:jc w:val="center"/>
        </w:trPr>
        <w:tc>
          <w:tcPr>
            <w:tcW w:w="3109" w:type="dxa"/>
          </w:tcPr>
          <w:p w14:paraId="002AF0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Radio Mínimo </w:t>
            </w:r>
          </w:p>
        </w:tc>
        <w:tc>
          <w:tcPr>
            <w:tcW w:w="1599" w:type="dxa"/>
          </w:tcPr>
          <w:p w14:paraId="0A5E68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Tabla 3-10ª (2)</w:t>
            </w:r>
          </w:p>
        </w:tc>
        <w:tc>
          <w:tcPr>
            <w:tcW w:w="1842" w:type="dxa"/>
          </w:tcPr>
          <w:p w14:paraId="62EDBE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55A1A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Recomendado en base a AASHTO</w:t>
            </w:r>
          </w:p>
        </w:tc>
      </w:tr>
      <w:tr w:rsidR="001F600C" w:rsidRPr="00285D58" w14:paraId="5E93DEC8" w14:textId="77777777" w:rsidTr="00242093">
        <w:trPr>
          <w:trHeight w:val="454"/>
          <w:jc w:val="center"/>
        </w:trPr>
        <w:tc>
          <w:tcPr>
            <w:tcW w:w="3109" w:type="dxa"/>
          </w:tcPr>
          <w:p w14:paraId="1B0183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Peralte máximo </w:t>
            </w:r>
          </w:p>
        </w:tc>
        <w:tc>
          <w:tcPr>
            <w:tcW w:w="1599" w:type="dxa"/>
          </w:tcPr>
          <w:p w14:paraId="242187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Tabla 3-10ª (2)</w:t>
            </w:r>
          </w:p>
        </w:tc>
        <w:tc>
          <w:tcPr>
            <w:tcW w:w="1842" w:type="dxa"/>
          </w:tcPr>
          <w:p w14:paraId="3561B9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5.8%</w:t>
            </w:r>
          </w:p>
        </w:tc>
        <w:tc>
          <w:tcPr>
            <w:tcW w:w="2033" w:type="dxa"/>
          </w:tcPr>
          <w:p w14:paraId="01135A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Recomendado en base a AASHTO</w:t>
            </w:r>
          </w:p>
        </w:tc>
      </w:tr>
      <w:tr w:rsidR="001F600C" w:rsidRPr="00285D58" w14:paraId="5FD37297" w14:textId="77777777" w:rsidTr="00242093">
        <w:trPr>
          <w:trHeight w:val="454"/>
          <w:jc w:val="center"/>
        </w:trPr>
        <w:tc>
          <w:tcPr>
            <w:tcW w:w="3109" w:type="dxa"/>
          </w:tcPr>
          <w:p w14:paraId="69D690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Transición de peralte </w:t>
            </w:r>
          </w:p>
        </w:tc>
        <w:tc>
          <w:tcPr>
            <w:tcW w:w="1599" w:type="dxa"/>
          </w:tcPr>
          <w:p w14:paraId="6779F3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302.08 (1)</w:t>
            </w:r>
          </w:p>
        </w:tc>
        <w:tc>
          <w:tcPr>
            <w:tcW w:w="1842" w:type="dxa"/>
          </w:tcPr>
          <w:p w14:paraId="4C7F527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 m</w:t>
            </w:r>
          </w:p>
        </w:tc>
        <w:tc>
          <w:tcPr>
            <w:tcW w:w="2033" w:type="dxa"/>
          </w:tcPr>
          <w:p w14:paraId="4B8C48D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54EFE750" w14:textId="77777777" w:rsidTr="00242093">
        <w:trPr>
          <w:trHeight w:val="454"/>
          <w:jc w:val="center"/>
        </w:trPr>
        <w:tc>
          <w:tcPr>
            <w:tcW w:w="3109" w:type="dxa"/>
          </w:tcPr>
          <w:p w14:paraId="4DDFE8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Pendiente máxima</w:t>
            </w:r>
          </w:p>
        </w:tc>
        <w:tc>
          <w:tcPr>
            <w:tcW w:w="1599" w:type="dxa"/>
          </w:tcPr>
          <w:p w14:paraId="21F36B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303.03 (1)</w:t>
            </w:r>
          </w:p>
        </w:tc>
        <w:tc>
          <w:tcPr>
            <w:tcW w:w="1842" w:type="dxa"/>
          </w:tcPr>
          <w:p w14:paraId="126546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2033" w:type="dxa"/>
          </w:tcPr>
          <w:p w14:paraId="5252FE3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Incremento máximo 1%</w:t>
            </w:r>
          </w:p>
        </w:tc>
      </w:tr>
      <w:tr w:rsidR="001F600C" w:rsidRPr="00285D58" w14:paraId="53999DBD" w14:textId="77777777" w:rsidTr="00242093">
        <w:trPr>
          <w:trHeight w:val="454"/>
          <w:jc w:val="center"/>
        </w:trPr>
        <w:tc>
          <w:tcPr>
            <w:tcW w:w="3109" w:type="dxa"/>
          </w:tcPr>
          <w:p w14:paraId="1289C5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Longitud de Curva Vertical (convexa)</w:t>
            </w:r>
          </w:p>
        </w:tc>
        <w:tc>
          <w:tcPr>
            <w:tcW w:w="1599" w:type="dxa"/>
          </w:tcPr>
          <w:p w14:paraId="4A7046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303.04.03 (1)</w:t>
            </w:r>
          </w:p>
        </w:tc>
        <w:tc>
          <w:tcPr>
            <w:tcW w:w="1842" w:type="dxa"/>
          </w:tcPr>
          <w:p w14:paraId="503F04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1CA7274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389E1A51" w14:textId="77777777" w:rsidTr="00242093">
        <w:trPr>
          <w:trHeight w:val="454"/>
          <w:jc w:val="center"/>
        </w:trPr>
        <w:tc>
          <w:tcPr>
            <w:tcW w:w="3109" w:type="dxa"/>
          </w:tcPr>
          <w:p w14:paraId="47452D2F" w14:textId="77777777" w:rsidR="001F600C" w:rsidRPr="00BB5F42" w:rsidRDefault="001F600C" w:rsidP="008D1FFF">
            <w:pPr>
              <w:spacing w:line="276" w:lineRule="auto"/>
              <w:jc w:val="both"/>
              <w:rPr>
                <w:rFonts w:asciiTheme="minorHAnsi" w:eastAsia="Calibri" w:hAnsiTheme="minorHAnsi" w:cstheme="minorHAnsi"/>
                <w:lang w:val="pt-BR"/>
              </w:rPr>
            </w:pPr>
            <w:r w:rsidRPr="00BB5F42">
              <w:rPr>
                <w:rFonts w:asciiTheme="minorHAnsi" w:eastAsia="Calibri" w:hAnsiTheme="minorHAnsi" w:cstheme="minorHAnsi"/>
                <w:lang w:val="pt-BR"/>
              </w:rPr>
              <w:t>Longitud de Curva Vertical (cóncava)</w:t>
            </w:r>
          </w:p>
        </w:tc>
        <w:tc>
          <w:tcPr>
            <w:tcW w:w="1599" w:type="dxa"/>
          </w:tcPr>
          <w:p w14:paraId="43E32F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303.04.03 (1)</w:t>
            </w:r>
          </w:p>
        </w:tc>
        <w:tc>
          <w:tcPr>
            <w:tcW w:w="1842" w:type="dxa"/>
          </w:tcPr>
          <w:p w14:paraId="7DA3248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 m</w:t>
            </w:r>
          </w:p>
        </w:tc>
        <w:tc>
          <w:tcPr>
            <w:tcW w:w="2033" w:type="dxa"/>
          </w:tcPr>
          <w:p w14:paraId="76BC8097"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41E6E5AE" w14:textId="77777777" w:rsidTr="00242093">
        <w:trPr>
          <w:trHeight w:val="454"/>
          <w:jc w:val="center"/>
        </w:trPr>
        <w:tc>
          <w:tcPr>
            <w:tcW w:w="3109" w:type="dxa"/>
          </w:tcPr>
          <w:p w14:paraId="246459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mínimo de calzada</w:t>
            </w:r>
          </w:p>
        </w:tc>
        <w:tc>
          <w:tcPr>
            <w:tcW w:w="1599" w:type="dxa"/>
          </w:tcPr>
          <w:p w14:paraId="38D73A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304.01 (1)</w:t>
            </w:r>
          </w:p>
        </w:tc>
        <w:tc>
          <w:tcPr>
            <w:tcW w:w="1842" w:type="dxa"/>
          </w:tcPr>
          <w:p w14:paraId="33E6D0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 m (Trocha carrozable)</w:t>
            </w:r>
          </w:p>
        </w:tc>
        <w:tc>
          <w:tcPr>
            <w:tcW w:w="2033" w:type="dxa"/>
          </w:tcPr>
          <w:p w14:paraId="38DAEDF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649698FC" w14:textId="77777777" w:rsidTr="00242093">
        <w:trPr>
          <w:trHeight w:val="454"/>
          <w:jc w:val="center"/>
        </w:trPr>
        <w:tc>
          <w:tcPr>
            <w:tcW w:w="3109" w:type="dxa"/>
          </w:tcPr>
          <w:p w14:paraId="520627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mínimo de berma</w:t>
            </w:r>
          </w:p>
        </w:tc>
        <w:tc>
          <w:tcPr>
            <w:tcW w:w="1599" w:type="dxa"/>
          </w:tcPr>
          <w:p w14:paraId="512E79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304.04.01 (1)</w:t>
            </w:r>
          </w:p>
        </w:tc>
        <w:tc>
          <w:tcPr>
            <w:tcW w:w="1842" w:type="dxa"/>
          </w:tcPr>
          <w:p w14:paraId="7F0019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0.0 m (Trocha carrozable)</w:t>
            </w:r>
          </w:p>
        </w:tc>
        <w:tc>
          <w:tcPr>
            <w:tcW w:w="2033" w:type="dxa"/>
          </w:tcPr>
          <w:p w14:paraId="41F1640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w:t>
            </w:r>
          </w:p>
        </w:tc>
      </w:tr>
      <w:tr w:rsidR="001F600C" w:rsidRPr="00285D58" w14:paraId="72234171" w14:textId="77777777" w:rsidTr="00242093">
        <w:trPr>
          <w:trHeight w:val="454"/>
          <w:jc w:val="center"/>
        </w:trPr>
        <w:tc>
          <w:tcPr>
            <w:tcW w:w="3109" w:type="dxa"/>
          </w:tcPr>
          <w:p w14:paraId="0077E9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Sobreancho de compactación</w:t>
            </w:r>
          </w:p>
        </w:tc>
        <w:tc>
          <w:tcPr>
            <w:tcW w:w="1599" w:type="dxa"/>
          </w:tcPr>
          <w:p w14:paraId="1352C55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304.02 (1)</w:t>
            </w:r>
          </w:p>
        </w:tc>
        <w:tc>
          <w:tcPr>
            <w:tcW w:w="1842" w:type="dxa"/>
          </w:tcPr>
          <w:p w14:paraId="69691A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0.60 m</w:t>
            </w:r>
          </w:p>
        </w:tc>
        <w:tc>
          <w:tcPr>
            <w:tcW w:w="2033" w:type="dxa"/>
          </w:tcPr>
          <w:p w14:paraId="003451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Solo en borde exterior (Trocha carrozable) </w:t>
            </w:r>
          </w:p>
        </w:tc>
      </w:tr>
    </w:tbl>
    <w:p w14:paraId="4D927D45" w14:textId="77777777" w:rsidR="001F600C" w:rsidRPr="00285D58" w:rsidRDefault="001F600C" w:rsidP="008D1FFF">
      <w:pPr>
        <w:widowControl/>
        <w:pBdr>
          <w:top w:val="nil"/>
          <w:left w:val="nil"/>
          <w:bottom w:val="nil"/>
          <w:right w:val="nil"/>
          <w:between w:val="nil"/>
        </w:pBdr>
        <w:spacing w:line="276" w:lineRule="auto"/>
        <w:ind w:left="473" w:hanging="360"/>
        <w:jc w:val="both"/>
        <w:rPr>
          <w:rFonts w:asciiTheme="minorHAnsi" w:eastAsia="Calibri" w:hAnsiTheme="minorHAnsi" w:cstheme="minorHAnsi"/>
        </w:rPr>
      </w:pPr>
      <w:r w:rsidRPr="00285D58">
        <w:rPr>
          <w:rFonts w:asciiTheme="minorHAnsi" w:eastAsia="Calibri" w:hAnsiTheme="minorHAnsi" w:cstheme="minorHAnsi"/>
          <w:color w:val="000000"/>
        </w:rPr>
        <w:t xml:space="preserve">Manual de Carreteras: Diseño Geométrico DG-2018 – Dirección de Carreteras y Ferrocarriles del </w:t>
      </w:r>
      <w:r w:rsidRPr="00285D58">
        <w:rPr>
          <w:rFonts w:asciiTheme="minorHAnsi" w:eastAsia="Calibri" w:hAnsiTheme="minorHAnsi" w:cstheme="minorHAnsi"/>
        </w:rPr>
        <w:t>Ministerio de Transportes y Comunicaciones del Perú.</w:t>
      </w:r>
    </w:p>
    <w:p w14:paraId="07DC939D" w14:textId="77777777" w:rsidR="001F600C" w:rsidRPr="00285D58" w:rsidRDefault="001F600C" w:rsidP="008D1FFF">
      <w:pPr>
        <w:widowControl/>
        <w:pBdr>
          <w:top w:val="nil"/>
          <w:left w:val="nil"/>
          <w:bottom w:val="nil"/>
          <w:right w:val="nil"/>
          <w:between w:val="nil"/>
        </w:pBdr>
        <w:spacing w:line="276" w:lineRule="auto"/>
        <w:ind w:left="473" w:hanging="360"/>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 Edition 2011-American Association of State Highway and Transportation Officials (AASHTO).</w:t>
      </w:r>
    </w:p>
    <w:p w14:paraId="3417B5D1" w14:textId="5F28A009"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0CA6ED38" w14:textId="77777777" w:rsidR="001F600C" w:rsidRPr="00285D58" w:rsidRDefault="001F600C" w:rsidP="008D1FFF">
      <w:pPr>
        <w:spacing w:line="276" w:lineRule="auto"/>
        <w:ind w:firstLine="567"/>
        <w:jc w:val="both"/>
        <w:rPr>
          <w:rFonts w:asciiTheme="minorHAnsi" w:eastAsia="Calibri" w:hAnsiTheme="minorHAnsi" w:cstheme="minorHAnsi"/>
        </w:rPr>
      </w:pPr>
    </w:p>
    <w:p w14:paraId="7AE72C1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w:t>
      </w:r>
      <w:r w:rsidRPr="00285D58">
        <w:rPr>
          <w:rFonts w:asciiTheme="minorHAnsi" w:eastAsia="Calibri" w:hAnsiTheme="minorHAnsi" w:cstheme="minorHAnsi"/>
        </w:rPr>
        <w:tab/>
        <w:t>Diseño del Sistema de Drenaje y Obras de Arte</w:t>
      </w:r>
    </w:p>
    <w:p w14:paraId="1193A21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D.6.1)</w:t>
      </w:r>
      <w:r w:rsidRPr="00285D58">
        <w:rPr>
          <w:rFonts w:asciiTheme="minorHAnsi" w:eastAsia="Calibri" w:hAnsiTheme="minorHAnsi" w:cstheme="minorHAnsi"/>
        </w:rPr>
        <w:tab/>
        <w:t>Drenaje</w:t>
      </w:r>
    </w:p>
    <w:p w14:paraId="67BEDC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drenaje transversal propuesto está constituido por alcantarillas de tubería metálica corrugada con un diámetro mínimo de 36” por exigencia de facilitar su mantenimiento. La cantidad de obras de drenaje fue estimada en base al cálculo hidráulico resultando alcantarillas de paso de quebradas en cursos de agua transversal y de alivio, y badén; las cuales se encuentran estudiadas con mayor detalle en el Estudio Específico N° 8 – Hidrología y Drenaje.</w:t>
      </w:r>
    </w:p>
    <w:p w14:paraId="202662CD" w14:textId="77777777" w:rsidR="001F600C" w:rsidRPr="00285D58" w:rsidRDefault="001F600C" w:rsidP="008D1FFF">
      <w:pPr>
        <w:spacing w:line="276" w:lineRule="auto"/>
        <w:ind w:firstLine="567"/>
        <w:jc w:val="both"/>
        <w:rPr>
          <w:rFonts w:asciiTheme="minorHAnsi" w:eastAsia="Calibri" w:hAnsiTheme="minorHAnsi" w:cstheme="minorHAnsi"/>
        </w:rPr>
      </w:pPr>
    </w:p>
    <w:p w14:paraId="7BA911C9" w14:textId="77777777" w:rsidR="001F600C" w:rsidRPr="00285D58" w:rsidRDefault="00000000" w:rsidP="008D1FFF">
      <w:pPr>
        <w:spacing w:line="276" w:lineRule="auto"/>
        <w:ind w:firstLine="567"/>
        <w:jc w:val="both"/>
        <w:rPr>
          <w:rFonts w:asciiTheme="minorHAnsi" w:eastAsia="Calibri" w:hAnsiTheme="minorHAnsi" w:cstheme="minorHAnsi"/>
        </w:rPr>
      </w:pPr>
      <w:sdt>
        <w:sdtPr>
          <w:rPr>
            <w:rFonts w:asciiTheme="minorHAnsi" w:hAnsiTheme="minorHAnsi" w:cstheme="minorHAnsi"/>
          </w:rPr>
          <w:tag w:val="goog_rdk_111"/>
          <w:id w:val="500631642"/>
        </w:sdtPr>
        <w:sdtContent/>
      </w:sdt>
      <w:sdt>
        <w:sdtPr>
          <w:rPr>
            <w:rFonts w:asciiTheme="minorHAnsi" w:hAnsiTheme="minorHAnsi" w:cstheme="minorHAnsi"/>
          </w:rPr>
          <w:tag w:val="goog_rdk_112"/>
          <w:id w:val="-1332056608"/>
        </w:sdtPr>
        <w:sdtContent/>
      </w:sdt>
      <w:r w:rsidR="001F600C" w:rsidRPr="00285D58">
        <w:rPr>
          <w:rFonts w:asciiTheme="minorHAnsi" w:eastAsia="Calibri" w:hAnsiTheme="minorHAnsi" w:cstheme="minorHAnsi"/>
        </w:rPr>
        <w:t>Es necesario dotar al sistema de drenaje de cunetas laterales revestidas que desembocan en las alcantarillas de alivio o en las de paso de quebradas.</w:t>
      </w:r>
    </w:p>
    <w:p w14:paraId="201C3885" w14:textId="77777777" w:rsidR="001F600C" w:rsidRPr="00285D58" w:rsidRDefault="001F600C" w:rsidP="008D1FFF">
      <w:pPr>
        <w:spacing w:line="276" w:lineRule="auto"/>
        <w:ind w:firstLine="567"/>
        <w:jc w:val="both"/>
        <w:rPr>
          <w:rFonts w:asciiTheme="minorHAnsi" w:eastAsia="Calibri" w:hAnsiTheme="minorHAnsi" w:cstheme="minorHAnsi"/>
        </w:rPr>
      </w:pPr>
    </w:p>
    <w:p w14:paraId="75B0FA63" w14:textId="77777777" w:rsidR="001F600C" w:rsidRPr="00285D58" w:rsidRDefault="001F600C" w:rsidP="00A3732C">
      <w:pPr>
        <w:widowControl/>
        <w:numPr>
          <w:ilvl w:val="0"/>
          <w:numId w:val="130"/>
        </w:num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Vía Turística E.C. Yanama – E.S. San Juan</w:t>
      </w:r>
    </w:p>
    <w:p w14:paraId="2182B163" w14:textId="77777777" w:rsidR="001F600C" w:rsidRPr="00285D58" w:rsidRDefault="001F600C" w:rsidP="008D1FFF">
      <w:pPr>
        <w:spacing w:line="276" w:lineRule="auto"/>
        <w:ind w:firstLine="567"/>
        <w:jc w:val="both"/>
        <w:rPr>
          <w:rFonts w:asciiTheme="minorHAnsi" w:eastAsia="Calibri" w:hAnsiTheme="minorHAnsi" w:cstheme="minorHAnsi"/>
        </w:rPr>
      </w:pPr>
    </w:p>
    <w:p w14:paraId="2DDBDB8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Mediante la verificación de la capacidad de las estructuras de drenaje proyectadas frente a la descarga máxima proveniente del análisis hidrológico, se han proyectado 57 alcantarillas de diversos diámetros y 1 badén de concreto. Ver Tabla 14.</w:t>
      </w:r>
    </w:p>
    <w:p w14:paraId="6681F5ED" w14:textId="77777777" w:rsidR="001F600C" w:rsidRPr="00285D58" w:rsidRDefault="001F600C" w:rsidP="008D1FFF">
      <w:pPr>
        <w:spacing w:line="276" w:lineRule="auto"/>
        <w:jc w:val="both"/>
        <w:rPr>
          <w:rFonts w:asciiTheme="minorHAnsi" w:eastAsia="Calibri" w:hAnsiTheme="minorHAnsi" w:cstheme="minorHAnsi"/>
        </w:rPr>
      </w:pPr>
    </w:p>
    <w:p w14:paraId="22C4792A" w14:textId="4BF1CAF5"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OBRAS DE DRENAJE PARA LA ZONA NORTE</w:t>
      </w:r>
    </w:p>
    <w:tbl>
      <w:tblPr>
        <w:tblW w:w="7212" w:type="dxa"/>
        <w:jc w:val="center"/>
        <w:tblLayout w:type="fixed"/>
        <w:tblLook w:val="0400" w:firstRow="0" w:lastRow="0" w:firstColumn="0" w:lastColumn="0" w:noHBand="0" w:noVBand="1"/>
      </w:tblPr>
      <w:tblGrid>
        <w:gridCol w:w="931"/>
        <w:gridCol w:w="1645"/>
        <w:gridCol w:w="1415"/>
        <w:gridCol w:w="931"/>
        <w:gridCol w:w="1170"/>
        <w:gridCol w:w="1120"/>
      </w:tblGrid>
      <w:tr w:rsidR="001F600C" w:rsidRPr="00285D58" w14:paraId="35CF9286" w14:textId="77777777" w:rsidTr="00242093">
        <w:trPr>
          <w:trHeight w:val="450"/>
          <w:tblHeader/>
          <w:jc w:val="center"/>
        </w:trPr>
        <w:tc>
          <w:tcPr>
            <w:tcW w:w="931" w:type="dxa"/>
            <w:vMerge w:val="restart"/>
            <w:tcBorders>
              <w:top w:val="single" w:sz="4" w:space="0" w:color="000000"/>
              <w:bottom w:val="single" w:sz="4" w:space="0" w:color="000000"/>
            </w:tcBorders>
            <w:shd w:val="clear" w:color="auto" w:fill="DDEBF7"/>
          </w:tcPr>
          <w:p w14:paraId="666901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N°</w:t>
            </w:r>
          </w:p>
        </w:tc>
        <w:tc>
          <w:tcPr>
            <w:tcW w:w="1645" w:type="dxa"/>
            <w:vMerge w:val="restart"/>
            <w:tcBorders>
              <w:top w:val="single" w:sz="4" w:space="0" w:color="000000"/>
              <w:bottom w:val="single" w:sz="4" w:space="0" w:color="000000"/>
            </w:tcBorders>
            <w:shd w:val="clear" w:color="auto" w:fill="DDEBF7"/>
          </w:tcPr>
          <w:p w14:paraId="656F0D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w:t>
            </w:r>
          </w:p>
        </w:tc>
        <w:tc>
          <w:tcPr>
            <w:tcW w:w="1415" w:type="dxa"/>
            <w:vMerge w:val="restart"/>
            <w:tcBorders>
              <w:top w:val="single" w:sz="4" w:space="0" w:color="000000"/>
              <w:bottom w:val="single" w:sz="4" w:space="0" w:color="000000"/>
            </w:tcBorders>
            <w:shd w:val="clear" w:color="auto" w:fill="DDEBF7"/>
          </w:tcPr>
          <w:p w14:paraId="70543D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Función</w:t>
            </w:r>
          </w:p>
        </w:tc>
        <w:tc>
          <w:tcPr>
            <w:tcW w:w="3221" w:type="dxa"/>
            <w:gridSpan w:val="3"/>
            <w:vMerge w:val="restart"/>
            <w:tcBorders>
              <w:top w:val="single" w:sz="4" w:space="0" w:color="000000"/>
              <w:bottom w:val="single" w:sz="4" w:space="0" w:color="000000"/>
            </w:tcBorders>
            <w:shd w:val="clear" w:color="auto" w:fill="DDEBF7"/>
          </w:tcPr>
          <w:p w14:paraId="6ABED3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Obra de Drenaje Proyectada</w:t>
            </w:r>
          </w:p>
        </w:tc>
      </w:tr>
      <w:tr w:rsidR="001F600C" w:rsidRPr="00285D58" w14:paraId="42AC6839" w14:textId="77777777" w:rsidTr="00242093">
        <w:trPr>
          <w:trHeight w:val="450"/>
          <w:tblHeader/>
          <w:jc w:val="center"/>
        </w:trPr>
        <w:tc>
          <w:tcPr>
            <w:tcW w:w="931" w:type="dxa"/>
            <w:vMerge/>
            <w:tcBorders>
              <w:top w:val="single" w:sz="4" w:space="0" w:color="000000"/>
              <w:bottom w:val="single" w:sz="4" w:space="0" w:color="000000"/>
            </w:tcBorders>
            <w:shd w:val="clear" w:color="auto" w:fill="DDEBF7"/>
          </w:tcPr>
          <w:p w14:paraId="7734E39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tcBorders>
              <w:top w:val="single" w:sz="4" w:space="0" w:color="000000"/>
              <w:bottom w:val="single" w:sz="4" w:space="0" w:color="000000"/>
            </w:tcBorders>
            <w:shd w:val="clear" w:color="auto" w:fill="DDEBF7"/>
          </w:tcPr>
          <w:p w14:paraId="430CDC1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tcBorders>
              <w:top w:val="single" w:sz="4" w:space="0" w:color="000000"/>
              <w:bottom w:val="single" w:sz="4" w:space="0" w:color="000000"/>
            </w:tcBorders>
            <w:shd w:val="clear" w:color="auto" w:fill="DDEBF7"/>
          </w:tcPr>
          <w:p w14:paraId="5F6376E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3221" w:type="dxa"/>
            <w:gridSpan w:val="3"/>
            <w:vMerge/>
            <w:tcBorders>
              <w:top w:val="single" w:sz="4" w:space="0" w:color="000000"/>
              <w:bottom w:val="single" w:sz="4" w:space="0" w:color="000000"/>
            </w:tcBorders>
            <w:shd w:val="clear" w:color="auto" w:fill="DDEBF7"/>
          </w:tcPr>
          <w:p w14:paraId="05D4758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r>
      <w:tr w:rsidR="001F600C" w:rsidRPr="00285D58" w14:paraId="188991E7" w14:textId="77777777" w:rsidTr="00242093">
        <w:trPr>
          <w:trHeight w:val="240"/>
          <w:tblHeader/>
          <w:jc w:val="center"/>
        </w:trPr>
        <w:tc>
          <w:tcPr>
            <w:tcW w:w="931" w:type="dxa"/>
            <w:vMerge/>
            <w:tcBorders>
              <w:top w:val="single" w:sz="4" w:space="0" w:color="000000"/>
              <w:bottom w:val="single" w:sz="4" w:space="0" w:color="000000"/>
            </w:tcBorders>
            <w:shd w:val="clear" w:color="auto" w:fill="DDEBF7"/>
          </w:tcPr>
          <w:p w14:paraId="6B27197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tcBorders>
              <w:top w:val="single" w:sz="4" w:space="0" w:color="000000"/>
              <w:bottom w:val="single" w:sz="4" w:space="0" w:color="000000"/>
            </w:tcBorders>
            <w:shd w:val="clear" w:color="auto" w:fill="DDEBF7"/>
          </w:tcPr>
          <w:p w14:paraId="5607C98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tcBorders>
              <w:top w:val="single" w:sz="4" w:space="0" w:color="000000"/>
              <w:bottom w:val="single" w:sz="4" w:space="0" w:color="000000"/>
            </w:tcBorders>
            <w:shd w:val="clear" w:color="auto" w:fill="DDEBF7"/>
          </w:tcPr>
          <w:p w14:paraId="03CA68C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931" w:type="dxa"/>
            <w:tcBorders>
              <w:top w:val="nil"/>
              <w:bottom w:val="single" w:sz="4" w:space="0" w:color="000000"/>
            </w:tcBorders>
            <w:shd w:val="clear" w:color="auto" w:fill="DDEBF7"/>
          </w:tcPr>
          <w:p w14:paraId="0721768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Ø</w:t>
            </w:r>
          </w:p>
        </w:tc>
        <w:tc>
          <w:tcPr>
            <w:tcW w:w="1170" w:type="dxa"/>
            <w:tcBorders>
              <w:top w:val="nil"/>
              <w:bottom w:val="single" w:sz="4" w:space="0" w:color="000000"/>
            </w:tcBorders>
            <w:shd w:val="clear" w:color="auto" w:fill="DDEBF7"/>
          </w:tcPr>
          <w:p w14:paraId="29CBE3C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OJOS</w:t>
            </w:r>
          </w:p>
        </w:tc>
        <w:tc>
          <w:tcPr>
            <w:tcW w:w="1120" w:type="dxa"/>
            <w:tcBorders>
              <w:top w:val="nil"/>
              <w:bottom w:val="single" w:sz="4" w:space="0" w:color="000000"/>
            </w:tcBorders>
            <w:shd w:val="clear" w:color="auto" w:fill="DDEBF7"/>
          </w:tcPr>
          <w:p w14:paraId="0DEEAD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Tipo</w:t>
            </w:r>
          </w:p>
        </w:tc>
      </w:tr>
      <w:tr w:rsidR="001F600C" w:rsidRPr="00285D58" w14:paraId="70DE245C" w14:textId="77777777" w:rsidTr="00242093">
        <w:trPr>
          <w:trHeight w:val="270"/>
          <w:jc w:val="center"/>
        </w:trPr>
        <w:tc>
          <w:tcPr>
            <w:tcW w:w="931" w:type="dxa"/>
            <w:tcBorders>
              <w:top w:val="nil"/>
              <w:bottom w:val="single" w:sz="4" w:space="0" w:color="000000"/>
            </w:tcBorders>
            <w:shd w:val="clear" w:color="auto" w:fill="FFFFFF"/>
          </w:tcPr>
          <w:p w14:paraId="70AF0C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645" w:type="dxa"/>
            <w:tcBorders>
              <w:top w:val="nil"/>
              <w:bottom w:val="single" w:sz="4" w:space="0" w:color="000000"/>
            </w:tcBorders>
            <w:shd w:val="clear" w:color="auto" w:fill="FFFFFF"/>
          </w:tcPr>
          <w:p w14:paraId="067BC2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0+207</w:t>
            </w:r>
          </w:p>
        </w:tc>
        <w:tc>
          <w:tcPr>
            <w:tcW w:w="1415" w:type="dxa"/>
            <w:tcBorders>
              <w:top w:val="nil"/>
              <w:bottom w:val="single" w:sz="4" w:space="0" w:color="000000"/>
            </w:tcBorders>
            <w:shd w:val="clear" w:color="auto" w:fill="FFFFFF"/>
          </w:tcPr>
          <w:p w14:paraId="54D534C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257915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44705E0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5D4D43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EB944F2" w14:textId="77777777" w:rsidTr="00242093">
        <w:trPr>
          <w:trHeight w:val="270"/>
          <w:jc w:val="center"/>
        </w:trPr>
        <w:tc>
          <w:tcPr>
            <w:tcW w:w="931" w:type="dxa"/>
            <w:tcBorders>
              <w:top w:val="nil"/>
              <w:bottom w:val="single" w:sz="4" w:space="0" w:color="000000"/>
            </w:tcBorders>
            <w:shd w:val="clear" w:color="auto" w:fill="FFFFFF"/>
          </w:tcPr>
          <w:p w14:paraId="1525CA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645" w:type="dxa"/>
            <w:tcBorders>
              <w:top w:val="nil"/>
              <w:bottom w:val="single" w:sz="4" w:space="0" w:color="000000"/>
            </w:tcBorders>
            <w:shd w:val="clear" w:color="auto" w:fill="FFFFFF"/>
          </w:tcPr>
          <w:p w14:paraId="65CB964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0+450</w:t>
            </w:r>
          </w:p>
        </w:tc>
        <w:tc>
          <w:tcPr>
            <w:tcW w:w="1415" w:type="dxa"/>
            <w:tcBorders>
              <w:top w:val="nil"/>
              <w:bottom w:val="single" w:sz="4" w:space="0" w:color="000000"/>
            </w:tcBorders>
            <w:shd w:val="clear" w:color="auto" w:fill="FFFFFF"/>
          </w:tcPr>
          <w:p w14:paraId="4E518DD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9BA6B3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FAFB9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375F15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D08F936" w14:textId="77777777" w:rsidTr="00242093">
        <w:trPr>
          <w:trHeight w:val="270"/>
          <w:jc w:val="center"/>
        </w:trPr>
        <w:tc>
          <w:tcPr>
            <w:tcW w:w="931" w:type="dxa"/>
            <w:tcBorders>
              <w:top w:val="nil"/>
              <w:bottom w:val="single" w:sz="4" w:space="0" w:color="000000"/>
            </w:tcBorders>
            <w:shd w:val="clear" w:color="auto" w:fill="FFFFFF"/>
          </w:tcPr>
          <w:p w14:paraId="4496A85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w:t>
            </w:r>
          </w:p>
        </w:tc>
        <w:tc>
          <w:tcPr>
            <w:tcW w:w="1645" w:type="dxa"/>
            <w:tcBorders>
              <w:top w:val="nil"/>
              <w:bottom w:val="single" w:sz="4" w:space="0" w:color="000000"/>
            </w:tcBorders>
            <w:shd w:val="clear" w:color="auto" w:fill="FFFFFF"/>
          </w:tcPr>
          <w:p w14:paraId="62C412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0+657</w:t>
            </w:r>
          </w:p>
        </w:tc>
        <w:tc>
          <w:tcPr>
            <w:tcW w:w="1415" w:type="dxa"/>
            <w:tcBorders>
              <w:top w:val="nil"/>
              <w:bottom w:val="single" w:sz="4" w:space="0" w:color="000000"/>
            </w:tcBorders>
            <w:shd w:val="clear" w:color="auto" w:fill="FFFFFF"/>
          </w:tcPr>
          <w:p w14:paraId="16FEFCE0"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3221" w:type="dxa"/>
            <w:gridSpan w:val="3"/>
            <w:tcBorders>
              <w:top w:val="single" w:sz="4" w:space="0" w:color="000000"/>
              <w:bottom w:val="single" w:sz="4" w:space="0" w:color="000000"/>
            </w:tcBorders>
            <w:shd w:val="clear" w:color="auto" w:fill="FFFFFF"/>
          </w:tcPr>
          <w:p w14:paraId="4F37DC3D"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Badén L=30 m</w:t>
            </w:r>
          </w:p>
        </w:tc>
      </w:tr>
      <w:tr w:rsidR="001F600C" w:rsidRPr="00285D58" w14:paraId="51525EAA" w14:textId="77777777" w:rsidTr="00242093">
        <w:trPr>
          <w:trHeight w:val="270"/>
          <w:jc w:val="center"/>
        </w:trPr>
        <w:tc>
          <w:tcPr>
            <w:tcW w:w="931" w:type="dxa"/>
            <w:tcBorders>
              <w:top w:val="nil"/>
              <w:bottom w:val="single" w:sz="4" w:space="0" w:color="000000"/>
            </w:tcBorders>
            <w:shd w:val="clear" w:color="auto" w:fill="FFFFFF"/>
          </w:tcPr>
          <w:p w14:paraId="4C4D596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645" w:type="dxa"/>
            <w:tcBorders>
              <w:top w:val="nil"/>
              <w:bottom w:val="single" w:sz="4" w:space="0" w:color="000000"/>
            </w:tcBorders>
            <w:shd w:val="clear" w:color="auto" w:fill="FFFFFF"/>
          </w:tcPr>
          <w:p w14:paraId="4E6C3E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0+812</w:t>
            </w:r>
          </w:p>
        </w:tc>
        <w:tc>
          <w:tcPr>
            <w:tcW w:w="1415" w:type="dxa"/>
            <w:tcBorders>
              <w:top w:val="nil"/>
              <w:bottom w:val="single" w:sz="4" w:space="0" w:color="000000"/>
            </w:tcBorders>
            <w:shd w:val="clear" w:color="auto" w:fill="FFFFFF"/>
          </w:tcPr>
          <w:p w14:paraId="29AD66C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7C4C209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0F8BA5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B4641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8A7B932" w14:textId="77777777" w:rsidTr="00242093">
        <w:trPr>
          <w:trHeight w:val="270"/>
          <w:jc w:val="center"/>
        </w:trPr>
        <w:tc>
          <w:tcPr>
            <w:tcW w:w="931" w:type="dxa"/>
            <w:tcBorders>
              <w:top w:val="nil"/>
              <w:bottom w:val="single" w:sz="4" w:space="0" w:color="000000"/>
            </w:tcBorders>
            <w:shd w:val="clear" w:color="auto" w:fill="FFFFFF"/>
          </w:tcPr>
          <w:p w14:paraId="600691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645" w:type="dxa"/>
            <w:tcBorders>
              <w:top w:val="nil"/>
              <w:bottom w:val="single" w:sz="4" w:space="0" w:color="000000"/>
            </w:tcBorders>
            <w:shd w:val="clear" w:color="auto" w:fill="FFFFFF"/>
          </w:tcPr>
          <w:p w14:paraId="77000B6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0+948</w:t>
            </w:r>
          </w:p>
        </w:tc>
        <w:tc>
          <w:tcPr>
            <w:tcW w:w="1415" w:type="dxa"/>
            <w:tcBorders>
              <w:top w:val="nil"/>
              <w:bottom w:val="single" w:sz="4" w:space="0" w:color="000000"/>
            </w:tcBorders>
            <w:shd w:val="clear" w:color="auto" w:fill="FFFFFF"/>
          </w:tcPr>
          <w:p w14:paraId="57C1B07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C9B23B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26B6DC1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025E3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84BA750" w14:textId="77777777" w:rsidTr="00242093">
        <w:trPr>
          <w:trHeight w:val="270"/>
          <w:jc w:val="center"/>
        </w:trPr>
        <w:tc>
          <w:tcPr>
            <w:tcW w:w="931" w:type="dxa"/>
            <w:tcBorders>
              <w:top w:val="nil"/>
              <w:bottom w:val="single" w:sz="4" w:space="0" w:color="000000"/>
            </w:tcBorders>
            <w:shd w:val="clear" w:color="auto" w:fill="FFFFFF"/>
          </w:tcPr>
          <w:p w14:paraId="3578A9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645" w:type="dxa"/>
            <w:tcBorders>
              <w:top w:val="nil"/>
              <w:bottom w:val="single" w:sz="4" w:space="0" w:color="000000"/>
            </w:tcBorders>
            <w:shd w:val="clear" w:color="auto" w:fill="FFFFFF"/>
          </w:tcPr>
          <w:p w14:paraId="70F940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1+145</w:t>
            </w:r>
          </w:p>
        </w:tc>
        <w:tc>
          <w:tcPr>
            <w:tcW w:w="1415" w:type="dxa"/>
            <w:tcBorders>
              <w:top w:val="nil"/>
              <w:bottom w:val="single" w:sz="4" w:space="0" w:color="000000"/>
            </w:tcBorders>
            <w:shd w:val="clear" w:color="auto" w:fill="FFFFFF"/>
          </w:tcPr>
          <w:p w14:paraId="2532B2C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500F08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01857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0DD63D5" w14:textId="77777777" w:rsidR="001F600C" w:rsidRPr="00285D58" w:rsidRDefault="001F600C" w:rsidP="008D1FFF">
            <w:pPr>
              <w:spacing w:line="276" w:lineRule="auto"/>
              <w:ind w:left="720" w:hanging="720"/>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D267075" w14:textId="77777777" w:rsidTr="00242093">
        <w:trPr>
          <w:trHeight w:val="270"/>
          <w:jc w:val="center"/>
        </w:trPr>
        <w:tc>
          <w:tcPr>
            <w:tcW w:w="931" w:type="dxa"/>
            <w:tcBorders>
              <w:top w:val="nil"/>
              <w:bottom w:val="single" w:sz="4" w:space="0" w:color="000000"/>
            </w:tcBorders>
            <w:shd w:val="clear" w:color="auto" w:fill="FFFFFF"/>
          </w:tcPr>
          <w:p w14:paraId="495E8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w:t>
            </w:r>
          </w:p>
        </w:tc>
        <w:tc>
          <w:tcPr>
            <w:tcW w:w="1645" w:type="dxa"/>
            <w:tcBorders>
              <w:top w:val="nil"/>
              <w:bottom w:val="single" w:sz="4" w:space="0" w:color="000000"/>
            </w:tcBorders>
            <w:shd w:val="clear" w:color="auto" w:fill="FFFFFF"/>
          </w:tcPr>
          <w:p w14:paraId="4A4B45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1+305</w:t>
            </w:r>
          </w:p>
        </w:tc>
        <w:tc>
          <w:tcPr>
            <w:tcW w:w="1415" w:type="dxa"/>
            <w:tcBorders>
              <w:top w:val="nil"/>
              <w:bottom w:val="single" w:sz="4" w:space="0" w:color="000000"/>
            </w:tcBorders>
            <w:shd w:val="clear" w:color="auto" w:fill="FFFFFF"/>
          </w:tcPr>
          <w:p w14:paraId="44B040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3898C87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84F69F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9A07E9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D46A76D" w14:textId="77777777" w:rsidTr="00242093">
        <w:trPr>
          <w:trHeight w:val="270"/>
          <w:jc w:val="center"/>
        </w:trPr>
        <w:tc>
          <w:tcPr>
            <w:tcW w:w="931" w:type="dxa"/>
            <w:tcBorders>
              <w:top w:val="nil"/>
              <w:bottom w:val="single" w:sz="4" w:space="0" w:color="000000"/>
            </w:tcBorders>
            <w:shd w:val="clear" w:color="auto" w:fill="FFFFFF"/>
          </w:tcPr>
          <w:p w14:paraId="66B4F2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w:t>
            </w:r>
          </w:p>
        </w:tc>
        <w:tc>
          <w:tcPr>
            <w:tcW w:w="1645" w:type="dxa"/>
            <w:tcBorders>
              <w:top w:val="nil"/>
              <w:bottom w:val="single" w:sz="4" w:space="0" w:color="000000"/>
            </w:tcBorders>
            <w:shd w:val="clear" w:color="auto" w:fill="FFFFFF"/>
          </w:tcPr>
          <w:p w14:paraId="46B9834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1+454</w:t>
            </w:r>
          </w:p>
        </w:tc>
        <w:tc>
          <w:tcPr>
            <w:tcW w:w="1415" w:type="dxa"/>
            <w:tcBorders>
              <w:top w:val="nil"/>
              <w:bottom w:val="single" w:sz="4" w:space="0" w:color="000000"/>
            </w:tcBorders>
            <w:shd w:val="clear" w:color="auto" w:fill="FFFFFF"/>
          </w:tcPr>
          <w:p w14:paraId="55ED0E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264A02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695FEF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w:t>
            </w:r>
          </w:p>
        </w:tc>
        <w:tc>
          <w:tcPr>
            <w:tcW w:w="1120" w:type="dxa"/>
            <w:tcBorders>
              <w:top w:val="nil"/>
              <w:bottom w:val="single" w:sz="4" w:space="0" w:color="000000"/>
            </w:tcBorders>
            <w:shd w:val="clear" w:color="auto" w:fill="FFFFFF"/>
          </w:tcPr>
          <w:p w14:paraId="20822EB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F3FDC41" w14:textId="77777777" w:rsidTr="00242093">
        <w:trPr>
          <w:trHeight w:val="270"/>
          <w:jc w:val="center"/>
        </w:trPr>
        <w:tc>
          <w:tcPr>
            <w:tcW w:w="931" w:type="dxa"/>
            <w:tcBorders>
              <w:top w:val="nil"/>
              <w:bottom w:val="single" w:sz="4" w:space="0" w:color="000000"/>
            </w:tcBorders>
            <w:shd w:val="clear" w:color="auto" w:fill="FFFFFF"/>
          </w:tcPr>
          <w:p w14:paraId="5A91D9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w:t>
            </w:r>
          </w:p>
        </w:tc>
        <w:tc>
          <w:tcPr>
            <w:tcW w:w="1645" w:type="dxa"/>
            <w:tcBorders>
              <w:top w:val="nil"/>
              <w:bottom w:val="single" w:sz="4" w:space="0" w:color="000000"/>
            </w:tcBorders>
            <w:shd w:val="clear" w:color="auto" w:fill="FFFFFF"/>
          </w:tcPr>
          <w:p w14:paraId="28648D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1+492</w:t>
            </w:r>
          </w:p>
        </w:tc>
        <w:tc>
          <w:tcPr>
            <w:tcW w:w="1415" w:type="dxa"/>
            <w:tcBorders>
              <w:top w:val="nil"/>
              <w:bottom w:val="single" w:sz="4" w:space="0" w:color="000000"/>
            </w:tcBorders>
            <w:shd w:val="clear" w:color="auto" w:fill="FFFFFF"/>
          </w:tcPr>
          <w:p w14:paraId="3487437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4341E9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E85A7E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887DD4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3038F3A" w14:textId="77777777" w:rsidTr="00242093">
        <w:trPr>
          <w:trHeight w:val="270"/>
          <w:jc w:val="center"/>
        </w:trPr>
        <w:tc>
          <w:tcPr>
            <w:tcW w:w="931" w:type="dxa"/>
            <w:tcBorders>
              <w:top w:val="nil"/>
              <w:bottom w:val="single" w:sz="4" w:space="0" w:color="000000"/>
            </w:tcBorders>
            <w:shd w:val="clear" w:color="auto" w:fill="FFFFFF"/>
          </w:tcPr>
          <w:p w14:paraId="2FF19B0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w:t>
            </w:r>
          </w:p>
        </w:tc>
        <w:tc>
          <w:tcPr>
            <w:tcW w:w="1645" w:type="dxa"/>
            <w:tcBorders>
              <w:top w:val="nil"/>
              <w:bottom w:val="single" w:sz="4" w:space="0" w:color="000000"/>
            </w:tcBorders>
            <w:shd w:val="clear" w:color="auto" w:fill="FFFFFF"/>
          </w:tcPr>
          <w:p w14:paraId="62D642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1+621</w:t>
            </w:r>
          </w:p>
        </w:tc>
        <w:tc>
          <w:tcPr>
            <w:tcW w:w="1415" w:type="dxa"/>
            <w:tcBorders>
              <w:top w:val="nil"/>
              <w:bottom w:val="single" w:sz="4" w:space="0" w:color="000000"/>
            </w:tcBorders>
            <w:shd w:val="clear" w:color="auto" w:fill="FFFFFF"/>
          </w:tcPr>
          <w:p w14:paraId="50B1B2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4C1A1CB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0CD4DA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F282AE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A3448DB" w14:textId="77777777" w:rsidTr="00242093">
        <w:trPr>
          <w:trHeight w:val="270"/>
          <w:jc w:val="center"/>
        </w:trPr>
        <w:tc>
          <w:tcPr>
            <w:tcW w:w="931" w:type="dxa"/>
            <w:tcBorders>
              <w:top w:val="nil"/>
              <w:bottom w:val="single" w:sz="4" w:space="0" w:color="000000"/>
            </w:tcBorders>
            <w:shd w:val="clear" w:color="auto" w:fill="FFFFFF"/>
          </w:tcPr>
          <w:p w14:paraId="7A9A88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11</w:t>
            </w:r>
          </w:p>
        </w:tc>
        <w:tc>
          <w:tcPr>
            <w:tcW w:w="1645" w:type="dxa"/>
            <w:tcBorders>
              <w:top w:val="nil"/>
              <w:bottom w:val="single" w:sz="4" w:space="0" w:color="000000"/>
            </w:tcBorders>
            <w:shd w:val="clear" w:color="auto" w:fill="FFFFFF"/>
          </w:tcPr>
          <w:p w14:paraId="157B12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1+734</w:t>
            </w:r>
          </w:p>
        </w:tc>
        <w:tc>
          <w:tcPr>
            <w:tcW w:w="1415" w:type="dxa"/>
            <w:tcBorders>
              <w:top w:val="nil"/>
              <w:bottom w:val="single" w:sz="4" w:space="0" w:color="000000"/>
            </w:tcBorders>
            <w:shd w:val="clear" w:color="auto" w:fill="FFFFFF"/>
          </w:tcPr>
          <w:p w14:paraId="2D88FE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B8D961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01C3D1D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055E4B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E3E8CCC" w14:textId="77777777" w:rsidTr="00242093">
        <w:trPr>
          <w:trHeight w:val="270"/>
          <w:jc w:val="center"/>
        </w:trPr>
        <w:tc>
          <w:tcPr>
            <w:tcW w:w="931" w:type="dxa"/>
            <w:tcBorders>
              <w:top w:val="nil"/>
              <w:bottom w:val="single" w:sz="4" w:space="0" w:color="000000"/>
            </w:tcBorders>
            <w:shd w:val="clear" w:color="auto" w:fill="FFFFFF"/>
          </w:tcPr>
          <w:p w14:paraId="12DBB42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w:t>
            </w:r>
          </w:p>
        </w:tc>
        <w:tc>
          <w:tcPr>
            <w:tcW w:w="1645" w:type="dxa"/>
            <w:tcBorders>
              <w:top w:val="nil"/>
              <w:bottom w:val="single" w:sz="4" w:space="0" w:color="000000"/>
            </w:tcBorders>
            <w:shd w:val="clear" w:color="auto" w:fill="FFFFFF"/>
          </w:tcPr>
          <w:p w14:paraId="119B17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1+922</w:t>
            </w:r>
          </w:p>
        </w:tc>
        <w:tc>
          <w:tcPr>
            <w:tcW w:w="1415" w:type="dxa"/>
            <w:tcBorders>
              <w:top w:val="nil"/>
              <w:bottom w:val="single" w:sz="4" w:space="0" w:color="000000"/>
            </w:tcBorders>
            <w:shd w:val="clear" w:color="auto" w:fill="FFFFFF"/>
          </w:tcPr>
          <w:p w14:paraId="05E759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763680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B9B1E1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68DE967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24222CB" w14:textId="77777777" w:rsidTr="00242093">
        <w:trPr>
          <w:trHeight w:val="270"/>
          <w:jc w:val="center"/>
        </w:trPr>
        <w:tc>
          <w:tcPr>
            <w:tcW w:w="931" w:type="dxa"/>
            <w:tcBorders>
              <w:top w:val="nil"/>
              <w:bottom w:val="single" w:sz="4" w:space="0" w:color="000000"/>
            </w:tcBorders>
            <w:shd w:val="clear" w:color="auto" w:fill="FFFFFF"/>
          </w:tcPr>
          <w:p w14:paraId="00AC51D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13</w:t>
            </w:r>
          </w:p>
        </w:tc>
        <w:tc>
          <w:tcPr>
            <w:tcW w:w="1645" w:type="dxa"/>
            <w:tcBorders>
              <w:top w:val="nil"/>
              <w:bottom w:val="single" w:sz="4" w:space="0" w:color="000000"/>
            </w:tcBorders>
            <w:shd w:val="clear" w:color="auto" w:fill="FFFFFF"/>
          </w:tcPr>
          <w:p w14:paraId="6DCC75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2+065</w:t>
            </w:r>
          </w:p>
        </w:tc>
        <w:tc>
          <w:tcPr>
            <w:tcW w:w="1415" w:type="dxa"/>
            <w:tcBorders>
              <w:top w:val="nil"/>
              <w:bottom w:val="single" w:sz="4" w:space="0" w:color="000000"/>
            </w:tcBorders>
            <w:shd w:val="clear" w:color="auto" w:fill="FFFFFF"/>
          </w:tcPr>
          <w:p w14:paraId="57D30B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662E1B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A7A69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537A1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C61819A" w14:textId="77777777" w:rsidTr="00242093">
        <w:trPr>
          <w:trHeight w:val="270"/>
          <w:jc w:val="center"/>
        </w:trPr>
        <w:tc>
          <w:tcPr>
            <w:tcW w:w="931" w:type="dxa"/>
            <w:tcBorders>
              <w:top w:val="nil"/>
              <w:bottom w:val="single" w:sz="4" w:space="0" w:color="000000"/>
            </w:tcBorders>
            <w:shd w:val="clear" w:color="auto" w:fill="FFFFFF"/>
          </w:tcPr>
          <w:p w14:paraId="2E3DA16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14</w:t>
            </w:r>
          </w:p>
        </w:tc>
        <w:tc>
          <w:tcPr>
            <w:tcW w:w="1645" w:type="dxa"/>
            <w:tcBorders>
              <w:top w:val="nil"/>
              <w:bottom w:val="single" w:sz="4" w:space="0" w:color="000000"/>
            </w:tcBorders>
            <w:shd w:val="clear" w:color="auto" w:fill="FFFFFF"/>
          </w:tcPr>
          <w:p w14:paraId="0D650C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2+200</w:t>
            </w:r>
          </w:p>
        </w:tc>
        <w:tc>
          <w:tcPr>
            <w:tcW w:w="1415" w:type="dxa"/>
            <w:tcBorders>
              <w:top w:val="nil"/>
              <w:bottom w:val="single" w:sz="4" w:space="0" w:color="000000"/>
            </w:tcBorders>
            <w:shd w:val="clear" w:color="auto" w:fill="FFFFFF"/>
          </w:tcPr>
          <w:p w14:paraId="788C850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D80E6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8AD23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52520A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FB39D2" w14:textId="77777777" w:rsidTr="00242093">
        <w:trPr>
          <w:trHeight w:val="270"/>
          <w:jc w:val="center"/>
        </w:trPr>
        <w:tc>
          <w:tcPr>
            <w:tcW w:w="931" w:type="dxa"/>
            <w:tcBorders>
              <w:top w:val="nil"/>
              <w:bottom w:val="single" w:sz="4" w:space="0" w:color="000000"/>
            </w:tcBorders>
            <w:shd w:val="clear" w:color="auto" w:fill="FFFFFF"/>
          </w:tcPr>
          <w:p w14:paraId="03B5C4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15</w:t>
            </w:r>
          </w:p>
        </w:tc>
        <w:tc>
          <w:tcPr>
            <w:tcW w:w="1645" w:type="dxa"/>
            <w:tcBorders>
              <w:top w:val="nil"/>
              <w:bottom w:val="single" w:sz="4" w:space="0" w:color="000000"/>
            </w:tcBorders>
            <w:shd w:val="clear" w:color="auto" w:fill="FFFFFF"/>
          </w:tcPr>
          <w:p w14:paraId="6F4E3C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2+219</w:t>
            </w:r>
          </w:p>
        </w:tc>
        <w:tc>
          <w:tcPr>
            <w:tcW w:w="1415" w:type="dxa"/>
            <w:tcBorders>
              <w:top w:val="nil"/>
              <w:bottom w:val="single" w:sz="4" w:space="0" w:color="000000"/>
            </w:tcBorders>
            <w:shd w:val="clear" w:color="auto" w:fill="FFFFFF"/>
          </w:tcPr>
          <w:p w14:paraId="27837C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A4579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5659056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w:t>
            </w:r>
          </w:p>
        </w:tc>
        <w:tc>
          <w:tcPr>
            <w:tcW w:w="1120" w:type="dxa"/>
            <w:tcBorders>
              <w:top w:val="nil"/>
              <w:bottom w:val="single" w:sz="4" w:space="0" w:color="000000"/>
            </w:tcBorders>
            <w:shd w:val="clear" w:color="auto" w:fill="FFFFFF"/>
          </w:tcPr>
          <w:p w14:paraId="30307B6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43C851" w14:textId="77777777" w:rsidTr="00242093">
        <w:trPr>
          <w:trHeight w:val="270"/>
          <w:jc w:val="center"/>
        </w:trPr>
        <w:tc>
          <w:tcPr>
            <w:tcW w:w="931" w:type="dxa"/>
            <w:tcBorders>
              <w:top w:val="nil"/>
              <w:bottom w:val="single" w:sz="4" w:space="0" w:color="000000"/>
            </w:tcBorders>
            <w:shd w:val="clear" w:color="auto" w:fill="FFFFFF"/>
          </w:tcPr>
          <w:p w14:paraId="16E5FC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16</w:t>
            </w:r>
          </w:p>
        </w:tc>
        <w:tc>
          <w:tcPr>
            <w:tcW w:w="1645" w:type="dxa"/>
            <w:tcBorders>
              <w:top w:val="nil"/>
              <w:bottom w:val="single" w:sz="4" w:space="0" w:color="000000"/>
            </w:tcBorders>
            <w:shd w:val="clear" w:color="auto" w:fill="FFFFFF"/>
          </w:tcPr>
          <w:p w14:paraId="101421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2+325</w:t>
            </w:r>
          </w:p>
        </w:tc>
        <w:tc>
          <w:tcPr>
            <w:tcW w:w="1415" w:type="dxa"/>
            <w:tcBorders>
              <w:top w:val="nil"/>
              <w:bottom w:val="single" w:sz="4" w:space="0" w:color="000000"/>
            </w:tcBorders>
            <w:shd w:val="clear" w:color="auto" w:fill="FFFFFF"/>
          </w:tcPr>
          <w:p w14:paraId="6F43C6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61BAA7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E66F16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E476D9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7ED57F1" w14:textId="77777777" w:rsidTr="00242093">
        <w:trPr>
          <w:trHeight w:val="270"/>
          <w:jc w:val="center"/>
        </w:trPr>
        <w:tc>
          <w:tcPr>
            <w:tcW w:w="931" w:type="dxa"/>
            <w:tcBorders>
              <w:top w:val="nil"/>
              <w:bottom w:val="single" w:sz="4" w:space="0" w:color="000000"/>
            </w:tcBorders>
            <w:shd w:val="clear" w:color="auto" w:fill="FFFFFF"/>
          </w:tcPr>
          <w:p w14:paraId="7468A76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17</w:t>
            </w:r>
          </w:p>
        </w:tc>
        <w:tc>
          <w:tcPr>
            <w:tcW w:w="1645" w:type="dxa"/>
            <w:tcBorders>
              <w:top w:val="nil"/>
              <w:bottom w:val="single" w:sz="4" w:space="0" w:color="000000"/>
            </w:tcBorders>
            <w:shd w:val="clear" w:color="auto" w:fill="FFFFFF"/>
          </w:tcPr>
          <w:p w14:paraId="6DEC4F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2+424</w:t>
            </w:r>
          </w:p>
        </w:tc>
        <w:tc>
          <w:tcPr>
            <w:tcW w:w="1415" w:type="dxa"/>
            <w:tcBorders>
              <w:top w:val="nil"/>
              <w:bottom w:val="single" w:sz="4" w:space="0" w:color="000000"/>
            </w:tcBorders>
            <w:shd w:val="clear" w:color="auto" w:fill="FFFFFF"/>
          </w:tcPr>
          <w:p w14:paraId="1DB782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4098BC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D4346A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8FB335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3234A38" w14:textId="77777777" w:rsidTr="00242093">
        <w:trPr>
          <w:trHeight w:val="270"/>
          <w:jc w:val="center"/>
        </w:trPr>
        <w:tc>
          <w:tcPr>
            <w:tcW w:w="931" w:type="dxa"/>
            <w:tcBorders>
              <w:top w:val="nil"/>
              <w:bottom w:val="single" w:sz="4" w:space="0" w:color="000000"/>
            </w:tcBorders>
            <w:shd w:val="clear" w:color="auto" w:fill="FFFFFF"/>
          </w:tcPr>
          <w:p w14:paraId="0753690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18</w:t>
            </w:r>
          </w:p>
        </w:tc>
        <w:tc>
          <w:tcPr>
            <w:tcW w:w="1645" w:type="dxa"/>
            <w:tcBorders>
              <w:top w:val="nil"/>
              <w:bottom w:val="single" w:sz="4" w:space="0" w:color="000000"/>
            </w:tcBorders>
            <w:shd w:val="clear" w:color="auto" w:fill="FFFFFF"/>
          </w:tcPr>
          <w:p w14:paraId="25F11F6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2+600</w:t>
            </w:r>
          </w:p>
        </w:tc>
        <w:tc>
          <w:tcPr>
            <w:tcW w:w="1415" w:type="dxa"/>
            <w:tcBorders>
              <w:top w:val="nil"/>
              <w:bottom w:val="single" w:sz="4" w:space="0" w:color="000000"/>
            </w:tcBorders>
            <w:shd w:val="clear" w:color="auto" w:fill="FFFFFF"/>
          </w:tcPr>
          <w:p w14:paraId="2E4DFDB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10C47A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4F24AA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CB3A73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7DADEE2" w14:textId="77777777" w:rsidTr="00242093">
        <w:trPr>
          <w:trHeight w:val="270"/>
          <w:jc w:val="center"/>
        </w:trPr>
        <w:tc>
          <w:tcPr>
            <w:tcW w:w="931" w:type="dxa"/>
            <w:tcBorders>
              <w:top w:val="nil"/>
              <w:bottom w:val="single" w:sz="4" w:space="0" w:color="000000"/>
            </w:tcBorders>
            <w:shd w:val="clear" w:color="auto" w:fill="FFFFFF"/>
          </w:tcPr>
          <w:p w14:paraId="1BE2FA4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19</w:t>
            </w:r>
          </w:p>
        </w:tc>
        <w:tc>
          <w:tcPr>
            <w:tcW w:w="1645" w:type="dxa"/>
            <w:tcBorders>
              <w:top w:val="nil"/>
              <w:bottom w:val="single" w:sz="4" w:space="0" w:color="000000"/>
            </w:tcBorders>
            <w:shd w:val="clear" w:color="auto" w:fill="FFFFFF"/>
          </w:tcPr>
          <w:p w14:paraId="6DA7FE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2+745</w:t>
            </w:r>
          </w:p>
        </w:tc>
        <w:tc>
          <w:tcPr>
            <w:tcW w:w="1415" w:type="dxa"/>
            <w:tcBorders>
              <w:top w:val="nil"/>
              <w:bottom w:val="single" w:sz="4" w:space="0" w:color="000000"/>
            </w:tcBorders>
            <w:shd w:val="clear" w:color="auto" w:fill="FFFFFF"/>
          </w:tcPr>
          <w:p w14:paraId="60CF38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08A80DF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22DAD3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D5B6F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1AC3443" w14:textId="77777777" w:rsidTr="00242093">
        <w:trPr>
          <w:trHeight w:val="270"/>
          <w:jc w:val="center"/>
        </w:trPr>
        <w:tc>
          <w:tcPr>
            <w:tcW w:w="931" w:type="dxa"/>
            <w:tcBorders>
              <w:top w:val="nil"/>
              <w:bottom w:val="single" w:sz="4" w:space="0" w:color="000000"/>
            </w:tcBorders>
            <w:shd w:val="clear" w:color="auto" w:fill="FFFFFF"/>
          </w:tcPr>
          <w:p w14:paraId="02A55E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20</w:t>
            </w:r>
          </w:p>
        </w:tc>
        <w:tc>
          <w:tcPr>
            <w:tcW w:w="1645" w:type="dxa"/>
            <w:tcBorders>
              <w:top w:val="nil"/>
              <w:bottom w:val="single" w:sz="4" w:space="0" w:color="000000"/>
            </w:tcBorders>
            <w:shd w:val="clear" w:color="auto" w:fill="FFFFFF"/>
          </w:tcPr>
          <w:p w14:paraId="1D28B73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3+045</w:t>
            </w:r>
          </w:p>
        </w:tc>
        <w:tc>
          <w:tcPr>
            <w:tcW w:w="1415" w:type="dxa"/>
            <w:tcBorders>
              <w:top w:val="nil"/>
              <w:bottom w:val="single" w:sz="4" w:space="0" w:color="000000"/>
            </w:tcBorders>
            <w:shd w:val="clear" w:color="auto" w:fill="FFFFFF"/>
          </w:tcPr>
          <w:p w14:paraId="3E088B3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68D1F1E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93B2AB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DE1FCC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A615EB6" w14:textId="77777777" w:rsidTr="00242093">
        <w:trPr>
          <w:trHeight w:val="270"/>
          <w:jc w:val="center"/>
        </w:trPr>
        <w:tc>
          <w:tcPr>
            <w:tcW w:w="931" w:type="dxa"/>
            <w:tcBorders>
              <w:top w:val="nil"/>
              <w:bottom w:val="single" w:sz="4" w:space="0" w:color="000000"/>
            </w:tcBorders>
            <w:shd w:val="clear" w:color="auto" w:fill="FFFFFF"/>
          </w:tcPr>
          <w:p w14:paraId="765DEE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21</w:t>
            </w:r>
          </w:p>
        </w:tc>
        <w:tc>
          <w:tcPr>
            <w:tcW w:w="1645" w:type="dxa"/>
            <w:tcBorders>
              <w:top w:val="nil"/>
              <w:bottom w:val="single" w:sz="4" w:space="0" w:color="000000"/>
            </w:tcBorders>
            <w:shd w:val="clear" w:color="auto" w:fill="FFFFFF"/>
          </w:tcPr>
          <w:p w14:paraId="0CA09B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3+219</w:t>
            </w:r>
          </w:p>
        </w:tc>
        <w:tc>
          <w:tcPr>
            <w:tcW w:w="1415" w:type="dxa"/>
            <w:tcBorders>
              <w:top w:val="nil"/>
              <w:bottom w:val="single" w:sz="4" w:space="0" w:color="000000"/>
            </w:tcBorders>
            <w:shd w:val="clear" w:color="auto" w:fill="FFFFFF"/>
          </w:tcPr>
          <w:p w14:paraId="0882FE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46B06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8F412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68012E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113DD76" w14:textId="77777777" w:rsidTr="00242093">
        <w:trPr>
          <w:trHeight w:val="270"/>
          <w:jc w:val="center"/>
        </w:trPr>
        <w:tc>
          <w:tcPr>
            <w:tcW w:w="931" w:type="dxa"/>
            <w:tcBorders>
              <w:top w:val="nil"/>
              <w:bottom w:val="single" w:sz="4" w:space="0" w:color="000000"/>
            </w:tcBorders>
            <w:shd w:val="clear" w:color="auto" w:fill="FFFFFF"/>
          </w:tcPr>
          <w:p w14:paraId="047B5A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22</w:t>
            </w:r>
          </w:p>
        </w:tc>
        <w:tc>
          <w:tcPr>
            <w:tcW w:w="1645" w:type="dxa"/>
            <w:tcBorders>
              <w:top w:val="nil"/>
              <w:bottom w:val="single" w:sz="4" w:space="0" w:color="000000"/>
            </w:tcBorders>
            <w:shd w:val="clear" w:color="auto" w:fill="FFFFFF"/>
          </w:tcPr>
          <w:p w14:paraId="0B4E16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3+446</w:t>
            </w:r>
          </w:p>
        </w:tc>
        <w:tc>
          <w:tcPr>
            <w:tcW w:w="1415" w:type="dxa"/>
            <w:tcBorders>
              <w:top w:val="nil"/>
              <w:bottom w:val="single" w:sz="4" w:space="0" w:color="000000"/>
            </w:tcBorders>
            <w:shd w:val="clear" w:color="auto" w:fill="FFFFFF"/>
          </w:tcPr>
          <w:p w14:paraId="4DB8DA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7B2FC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389DF99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F7D32D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C52FAA9" w14:textId="77777777" w:rsidTr="00242093">
        <w:trPr>
          <w:trHeight w:val="270"/>
          <w:jc w:val="center"/>
        </w:trPr>
        <w:tc>
          <w:tcPr>
            <w:tcW w:w="931" w:type="dxa"/>
            <w:tcBorders>
              <w:top w:val="nil"/>
              <w:bottom w:val="single" w:sz="4" w:space="0" w:color="000000"/>
            </w:tcBorders>
            <w:shd w:val="clear" w:color="auto" w:fill="FFFFFF"/>
          </w:tcPr>
          <w:p w14:paraId="1223C7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23</w:t>
            </w:r>
          </w:p>
        </w:tc>
        <w:tc>
          <w:tcPr>
            <w:tcW w:w="1645" w:type="dxa"/>
            <w:tcBorders>
              <w:top w:val="nil"/>
              <w:bottom w:val="single" w:sz="4" w:space="0" w:color="000000"/>
            </w:tcBorders>
            <w:shd w:val="clear" w:color="auto" w:fill="FFFFFF"/>
          </w:tcPr>
          <w:p w14:paraId="01AFAF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3+508</w:t>
            </w:r>
          </w:p>
        </w:tc>
        <w:tc>
          <w:tcPr>
            <w:tcW w:w="1415" w:type="dxa"/>
            <w:tcBorders>
              <w:top w:val="nil"/>
              <w:bottom w:val="single" w:sz="4" w:space="0" w:color="000000"/>
            </w:tcBorders>
            <w:shd w:val="clear" w:color="auto" w:fill="FFFFFF"/>
          </w:tcPr>
          <w:p w14:paraId="4BF667A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6F2C0F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69E1B2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277786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8ED688" w14:textId="77777777" w:rsidTr="00242093">
        <w:trPr>
          <w:trHeight w:val="270"/>
          <w:jc w:val="center"/>
        </w:trPr>
        <w:tc>
          <w:tcPr>
            <w:tcW w:w="931" w:type="dxa"/>
            <w:tcBorders>
              <w:top w:val="nil"/>
              <w:bottom w:val="single" w:sz="4" w:space="0" w:color="000000"/>
            </w:tcBorders>
            <w:shd w:val="clear" w:color="auto" w:fill="FFFFFF"/>
          </w:tcPr>
          <w:p w14:paraId="6666E6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24</w:t>
            </w:r>
          </w:p>
        </w:tc>
        <w:tc>
          <w:tcPr>
            <w:tcW w:w="1645" w:type="dxa"/>
            <w:tcBorders>
              <w:top w:val="nil"/>
              <w:bottom w:val="single" w:sz="4" w:space="0" w:color="000000"/>
            </w:tcBorders>
            <w:shd w:val="clear" w:color="auto" w:fill="FFFFFF"/>
          </w:tcPr>
          <w:p w14:paraId="14B15CA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3+652</w:t>
            </w:r>
          </w:p>
        </w:tc>
        <w:tc>
          <w:tcPr>
            <w:tcW w:w="1415" w:type="dxa"/>
            <w:tcBorders>
              <w:top w:val="nil"/>
              <w:bottom w:val="single" w:sz="4" w:space="0" w:color="000000"/>
            </w:tcBorders>
            <w:shd w:val="clear" w:color="auto" w:fill="FFFFFF"/>
          </w:tcPr>
          <w:p w14:paraId="733B66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8DCF5A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FC9908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2BADBC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11FE19B" w14:textId="77777777" w:rsidTr="00242093">
        <w:trPr>
          <w:trHeight w:val="270"/>
          <w:jc w:val="center"/>
        </w:trPr>
        <w:tc>
          <w:tcPr>
            <w:tcW w:w="931" w:type="dxa"/>
            <w:tcBorders>
              <w:top w:val="nil"/>
              <w:bottom w:val="single" w:sz="4" w:space="0" w:color="000000"/>
            </w:tcBorders>
            <w:shd w:val="clear" w:color="auto" w:fill="FFFFFF"/>
          </w:tcPr>
          <w:p w14:paraId="33C90C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25</w:t>
            </w:r>
          </w:p>
        </w:tc>
        <w:tc>
          <w:tcPr>
            <w:tcW w:w="1645" w:type="dxa"/>
            <w:tcBorders>
              <w:top w:val="nil"/>
              <w:bottom w:val="single" w:sz="4" w:space="0" w:color="000000"/>
            </w:tcBorders>
            <w:shd w:val="clear" w:color="auto" w:fill="FFFFFF"/>
          </w:tcPr>
          <w:p w14:paraId="42FCF5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3+863</w:t>
            </w:r>
          </w:p>
        </w:tc>
        <w:tc>
          <w:tcPr>
            <w:tcW w:w="1415" w:type="dxa"/>
            <w:tcBorders>
              <w:top w:val="nil"/>
              <w:bottom w:val="single" w:sz="4" w:space="0" w:color="000000"/>
            </w:tcBorders>
            <w:shd w:val="clear" w:color="auto" w:fill="FFFFFF"/>
          </w:tcPr>
          <w:p w14:paraId="7D6EB7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B8E16C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50BB78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D8C0EC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72B4BE7" w14:textId="77777777" w:rsidTr="00242093">
        <w:trPr>
          <w:trHeight w:val="270"/>
          <w:jc w:val="center"/>
        </w:trPr>
        <w:tc>
          <w:tcPr>
            <w:tcW w:w="931" w:type="dxa"/>
            <w:tcBorders>
              <w:top w:val="nil"/>
              <w:bottom w:val="single" w:sz="4" w:space="0" w:color="000000"/>
            </w:tcBorders>
            <w:shd w:val="clear" w:color="auto" w:fill="FFFFFF"/>
          </w:tcPr>
          <w:p w14:paraId="5F1EADB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26</w:t>
            </w:r>
          </w:p>
        </w:tc>
        <w:tc>
          <w:tcPr>
            <w:tcW w:w="1645" w:type="dxa"/>
            <w:tcBorders>
              <w:top w:val="nil"/>
              <w:bottom w:val="single" w:sz="4" w:space="0" w:color="000000"/>
            </w:tcBorders>
            <w:shd w:val="clear" w:color="auto" w:fill="FFFFFF"/>
          </w:tcPr>
          <w:p w14:paraId="36FACD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3+965</w:t>
            </w:r>
          </w:p>
        </w:tc>
        <w:tc>
          <w:tcPr>
            <w:tcW w:w="1415" w:type="dxa"/>
            <w:tcBorders>
              <w:top w:val="nil"/>
              <w:bottom w:val="single" w:sz="4" w:space="0" w:color="000000"/>
            </w:tcBorders>
            <w:shd w:val="clear" w:color="auto" w:fill="FFFFFF"/>
          </w:tcPr>
          <w:p w14:paraId="4EB02B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77ED16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7356B3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75DDE7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0202F05" w14:textId="77777777" w:rsidTr="00242093">
        <w:trPr>
          <w:trHeight w:val="270"/>
          <w:jc w:val="center"/>
        </w:trPr>
        <w:tc>
          <w:tcPr>
            <w:tcW w:w="931" w:type="dxa"/>
            <w:tcBorders>
              <w:top w:val="nil"/>
              <w:bottom w:val="single" w:sz="4" w:space="0" w:color="000000"/>
            </w:tcBorders>
            <w:shd w:val="clear" w:color="auto" w:fill="FFFFFF"/>
          </w:tcPr>
          <w:p w14:paraId="230B8EE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27</w:t>
            </w:r>
          </w:p>
        </w:tc>
        <w:tc>
          <w:tcPr>
            <w:tcW w:w="1645" w:type="dxa"/>
            <w:tcBorders>
              <w:top w:val="nil"/>
              <w:bottom w:val="single" w:sz="4" w:space="0" w:color="000000"/>
            </w:tcBorders>
            <w:shd w:val="clear" w:color="auto" w:fill="FFFFFF"/>
          </w:tcPr>
          <w:p w14:paraId="0D75C6F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4+125</w:t>
            </w:r>
          </w:p>
        </w:tc>
        <w:tc>
          <w:tcPr>
            <w:tcW w:w="1415" w:type="dxa"/>
            <w:tcBorders>
              <w:top w:val="nil"/>
              <w:bottom w:val="single" w:sz="4" w:space="0" w:color="000000"/>
            </w:tcBorders>
            <w:shd w:val="clear" w:color="auto" w:fill="FFFFFF"/>
          </w:tcPr>
          <w:p w14:paraId="7A5E37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B7EB18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66D00C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6EC394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634E80C" w14:textId="77777777" w:rsidTr="00242093">
        <w:trPr>
          <w:trHeight w:val="270"/>
          <w:jc w:val="center"/>
        </w:trPr>
        <w:tc>
          <w:tcPr>
            <w:tcW w:w="931" w:type="dxa"/>
            <w:tcBorders>
              <w:top w:val="nil"/>
              <w:bottom w:val="single" w:sz="4" w:space="0" w:color="000000"/>
            </w:tcBorders>
            <w:shd w:val="clear" w:color="auto" w:fill="FFFFFF"/>
          </w:tcPr>
          <w:p w14:paraId="4DB8AE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28</w:t>
            </w:r>
          </w:p>
        </w:tc>
        <w:tc>
          <w:tcPr>
            <w:tcW w:w="1645" w:type="dxa"/>
            <w:tcBorders>
              <w:top w:val="nil"/>
              <w:bottom w:val="single" w:sz="4" w:space="0" w:color="000000"/>
            </w:tcBorders>
            <w:shd w:val="clear" w:color="auto" w:fill="FFFFFF"/>
          </w:tcPr>
          <w:p w14:paraId="4103B7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4+352</w:t>
            </w:r>
          </w:p>
        </w:tc>
        <w:tc>
          <w:tcPr>
            <w:tcW w:w="1415" w:type="dxa"/>
            <w:tcBorders>
              <w:top w:val="nil"/>
              <w:bottom w:val="single" w:sz="4" w:space="0" w:color="000000"/>
            </w:tcBorders>
            <w:shd w:val="clear" w:color="auto" w:fill="FFFFFF"/>
          </w:tcPr>
          <w:p w14:paraId="46B13E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8B2BF5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C635DF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2B18EC7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736BD6E" w14:textId="77777777" w:rsidTr="00242093">
        <w:trPr>
          <w:trHeight w:val="270"/>
          <w:jc w:val="center"/>
        </w:trPr>
        <w:tc>
          <w:tcPr>
            <w:tcW w:w="931" w:type="dxa"/>
            <w:tcBorders>
              <w:top w:val="nil"/>
              <w:bottom w:val="single" w:sz="4" w:space="0" w:color="000000"/>
            </w:tcBorders>
            <w:shd w:val="clear" w:color="auto" w:fill="FFFFFF"/>
          </w:tcPr>
          <w:p w14:paraId="66B70B7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29</w:t>
            </w:r>
          </w:p>
        </w:tc>
        <w:tc>
          <w:tcPr>
            <w:tcW w:w="1645" w:type="dxa"/>
            <w:tcBorders>
              <w:top w:val="nil"/>
              <w:bottom w:val="single" w:sz="4" w:space="0" w:color="000000"/>
            </w:tcBorders>
            <w:shd w:val="clear" w:color="auto" w:fill="FFFFFF"/>
          </w:tcPr>
          <w:p w14:paraId="1740D9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4+400</w:t>
            </w:r>
          </w:p>
        </w:tc>
        <w:tc>
          <w:tcPr>
            <w:tcW w:w="1415" w:type="dxa"/>
            <w:tcBorders>
              <w:top w:val="nil"/>
              <w:bottom w:val="single" w:sz="4" w:space="0" w:color="000000"/>
            </w:tcBorders>
            <w:shd w:val="clear" w:color="auto" w:fill="FFFFFF"/>
          </w:tcPr>
          <w:p w14:paraId="2DEFB4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FFC0DA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63A4DD0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46BFCD6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14F217F" w14:textId="77777777" w:rsidTr="00242093">
        <w:trPr>
          <w:trHeight w:val="270"/>
          <w:jc w:val="center"/>
        </w:trPr>
        <w:tc>
          <w:tcPr>
            <w:tcW w:w="931" w:type="dxa"/>
            <w:tcBorders>
              <w:top w:val="nil"/>
              <w:bottom w:val="single" w:sz="4" w:space="0" w:color="000000"/>
            </w:tcBorders>
            <w:shd w:val="clear" w:color="auto" w:fill="FFFFFF"/>
          </w:tcPr>
          <w:p w14:paraId="1A0E11D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30</w:t>
            </w:r>
          </w:p>
        </w:tc>
        <w:tc>
          <w:tcPr>
            <w:tcW w:w="1645" w:type="dxa"/>
            <w:tcBorders>
              <w:top w:val="nil"/>
              <w:bottom w:val="single" w:sz="4" w:space="0" w:color="000000"/>
            </w:tcBorders>
            <w:shd w:val="clear" w:color="auto" w:fill="FFFFFF"/>
          </w:tcPr>
          <w:p w14:paraId="28CEEF4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4+520</w:t>
            </w:r>
          </w:p>
        </w:tc>
        <w:tc>
          <w:tcPr>
            <w:tcW w:w="1415" w:type="dxa"/>
            <w:tcBorders>
              <w:top w:val="nil"/>
              <w:bottom w:val="single" w:sz="4" w:space="0" w:color="000000"/>
            </w:tcBorders>
            <w:shd w:val="clear" w:color="auto" w:fill="FFFFFF"/>
          </w:tcPr>
          <w:p w14:paraId="25BF05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C31F11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2FB7EC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53BC7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C71465" w14:textId="77777777" w:rsidTr="00242093">
        <w:trPr>
          <w:trHeight w:val="270"/>
          <w:jc w:val="center"/>
        </w:trPr>
        <w:tc>
          <w:tcPr>
            <w:tcW w:w="931" w:type="dxa"/>
            <w:tcBorders>
              <w:top w:val="nil"/>
              <w:bottom w:val="single" w:sz="4" w:space="0" w:color="000000"/>
            </w:tcBorders>
            <w:shd w:val="clear" w:color="auto" w:fill="FFFFFF"/>
          </w:tcPr>
          <w:p w14:paraId="03C4E9B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31</w:t>
            </w:r>
          </w:p>
        </w:tc>
        <w:tc>
          <w:tcPr>
            <w:tcW w:w="1645" w:type="dxa"/>
            <w:tcBorders>
              <w:top w:val="nil"/>
              <w:bottom w:val="single" w:sz="4" w:space="0" w:color="000000"/>
            </w:tcBorders>
            <w:shd w:val="clear" w:color="auto" w:fill="FFFFFF"/>
          </w:tcPr>
          <w:p w14:paraId="3445FC2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4+576</w:t>
            </w:r>
          </w:p>
        </w:tc>
        <w:tc>
          <w:tcPr>
            <w:tcW w:w="1415" w:type="dxa"/>
            <w:tcBorders>
              <w:top w:val="nil"/>
              <w:bottom w:val="single" w:sz="4" w:space="0" w:color="000000"/>
            </w:tcBorders>
            <w:shd w:val="clear" w:color="auto" w:fill="FFFFFF"/>
          </w:tcPr>
          <w:p w14:paraId="7BE717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6B74874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7075DD0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4ADE8C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DEB75F6" w14:textId="77777777" w:rsidTr="00242093">
        <w:trPr>
          <w:trHeight w:val="270"/>
          <w:jc w:val="center"/>
        </w:trPr>
        <w:tc>
          <w:tcPr>
            <w:tcW w:w="931" w:type="dxa"/>
            <w:tcBorders>
              <w:top w:val="nil"/>
              <w:bottom w:val="single" w:sz="4" w:space="0" w:color="000000"/>
            </w:tcBorders>
            <w:shd w:val="clear" w:color="auto" w:fill="FFFFFF"/>
          </w:tcPr>
          <w:p w14:paraId="466650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32</w:t>
            </w:r>
          </w:p>
        </w:tc>
        <w:tc>
          <w:tcPr>
            <w:tcW w:w="1645" w:type="dxa"/>
            <w:tcBorders>
              <w:top w:val="nil"/>
              <w:bottom w:val="single" w:sz="4" w:space="0" w:color="000000"/>
            </w:tcBorders>
            <w:shd w:val="clear" w:color="auto" w:fill="FFFFFF"/>
          </w:tcPr>
          <w:p w14:paraId="5E2217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4+725</w:t>
            </w:r>
          </w:p>
        </w:tc>
        <w:tc>
          <w:tcPr>
            <w:tcW w:w="1415" w:type="dxa"/>
            <w:tcBorders>
              <w:top w:val="nil"/>
              <w:bottom w:val="single" w:sz="4" w:space="0" w:color="000000"/>
            </w:tcBorders>
            <w:shd w:val="clear" w:color="auto" w:fill="FFFFFF"/>
          </w:tcPr>
          <w:p w14:paraId="5CFC7CB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5D4888D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2B6613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69BC754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5FC80C5" w14:textId="77777777" w:rsidTr="00242093">
        <w:trPr>
          <w:trHeight w:val="270"/>
          <w:jc w:val="center"/>
        </w:trPr>
        <w:tc>
          <w:tcPr>
            <w:tcW w:w="931" w:type="dxa"/>
            <w:tcBorders>
              <w:top w:val="nil"/>
              <w:bottom w:val="single" w:sz="4" w:space="0" w:color="000000"/>
            </w:tcBorders>
            <w:shd w:val="clear" w:color="auto" w:fill="FFFFFF"/>
          </w:tcPr>
          <w:p w14:paraId="4D194A6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33</w:t>
            </w:r>
          </w:p>
        </w:tc>
        <w:tc>
          <w:tcPr>
            <w:tcW w:w="1645" w:type="dxa"/>
            <w:tcBorders>
              <w:top w:val="nil"/>
              <w:bottom w:val="single" w:sz="4" w:space="0" w:color="000000"/>
            </w:tcBorders>
            <w:shd w:val="clear" w:color="auto" w:fill="FFFFFF"/>
          </w:tcPr>
          <w:p w14:paraId="5E489BA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4+838</w:t>
            </w:r>
          </w:p>
        </w:tc>
        <w:tc>
          <w:tcPr>
            <w:tcW w:w="1415" w:type="dxa"/>
            <w:tcBorders>
              <w:top w:val="nil"/>
              <w:bottom w:val="single" w:sz="4" w:space="0" w:color="000000"/>
            </w:tcBorders>
            <w:shd w:val="clear" w:color="auto" w:fill="FFFFFF"/>
          </w:tcPr>
          <w:p w14:paraId="228812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940B1B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21ED940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2551B1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0E4ABFE" w14:textId="77777777" w:rsidTr="00242093">
        <w:trPr>
          <w:trHeight w:val="270"/>
          <w:jc w:val="center"/>
        </w:trPr>
        <w:tc>
          <w:tcPr>
            <w:tcW w:w="931" w:type="dxa"/>
            <w:tcBorders>
              <w:top w:val="nil"/>
              <w:bottom w:val="single" w:sz="4" w:space="0" w:color="000000"/>
            </w:tcBorders>
            <w:shd w:val="clear" w:color="auto" w:fill="FFFFFF"/>
          </w:tcPr>
          <w:p w14:paraId="42E4C96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34</w:t>
            </w:r>
          </w:p>
        </w:tc>
        <w:tc>
          <w:tcPr>
            <w:tcW w:w="1645" w:type="dxa"/>
            <w:tcBorders>
              <w:top w:val="nil"/>
              <w:bottom w:val="single" w:sz="4" w:space="0" w:color="000000"/>
            </w:tcBorders>
            <w:shd w:val="clear" w:color="auto" w:fill="FFFFFF"/>
          </w:tcPr>
          <w:p w14:paraId="5E0E507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5+064</w:t>
            </w:r>
          </w:p>
        </w:tc>
        <w:tc>
          <w:tcPr>
            <w:tcW w:w="1415" w:type="dxa"/>
            <w:tcBorders>
              <w:top w:val="nil"/>
              <w:bottom w:val="single" w:sz="4" w:space="0" w:color="000000"/>
            </w:tcBorders>
            <w:shd w:val="clear" w:color="auto" w:fill="FFFFFF"/>
          </w:tcPr>
          <w:p w14:paraId="663221A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C42BD0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75A341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7A8E51C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E806CC8" w14:textId="77777777" w:rsidTr="00242093">
        <w:trPr>
          <w:trHeight w:val="270"/>
          <w:jc w:val="center"/>
        </w:trPr>
        <w:tc>
          <w:tcPr>
            <w:tcW w:w="931" w:type="dxa"/>
            <w:tcBorders>
              <w:top w:val="nil"/>
              <w:bottom w:val="single" w:sz="4" w:space="0" w:color="000000"/>
            </w:tcBorders>
            <w:shd w:val="clear" w:color="auto" w:fill="FFFFFF"/>
          </w:tcPr>
          <w:p w14:paraId="1FA7019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35</w:t>
            </w:r>
          </w:p>
        </w:tc>
        <w:tc>
          <w:tcPr>
            <w:tcW w:w="1645" w:type="dxa"/>
            <w:tcBorders>
              <w:top w:val="nil"/>
              <w:bottom w:val="single" w:sz="4" w:space="0" w:color="000000"/>
            </w:tcBorders>
            <w:shd w:val="clear" w:color="auto" w:fill="FFFFFF"/>
          </w:tcPr>
          <w:p w14:paraId="64F5FC2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5+178</w:t>
            </w:r>
          </w:p>
        </w:tc>
        <w:tc>
          <w:tcPr>
            <w:tcW w:w="1415" w:type="dxa"/>
            <w:tcBorders>
              <w:top w:val="nil"/>
              <w:bottom w:val="single" w:sz="4" w:space="0" w:color="000000"/>
            </w:tcBorders>
            <w:shd w:val="clear" w:color="auto" w:fill="FFFFFF"/>
          </w:tcPr>
          <w:p w14:paraId="4BD6C0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8A6BCE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7FA9497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C748E3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9FBEC61" w14:textId="77777777" w:rsidTr="00242093">
        <w:trPr>
          <w:trHeight w:val="270"/>
          <w:jc w:val="center"/>
        </w:trPr>
        <w:tc>
          <w:tcPr>
            <w:tcW w:w="931" w:type="dxa"/>
            <w:tcBorders>
              <w:top w:val="nil"/>
              <w:bottom w:val="single" w:sz="4" w:space="0" w:color="000000"/>
            </w:tcBorders>
            <w:shd w:val="clear" w:color="auto" w:fill="FFFFFF"/>
          </w:tcPr>
          <w:p w14:paraId="5FDA133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36</w:t>
            </w:r>
          </w:p>
        </w:tc>
        <w:tc>
          <w:tcPr>
            <w:tcW w:w="1645" w:type="dxa"/>
            <w:tcBorders>
              <w:top w:val="nil"/>
              <w:bottom w:val="single" w:sz="4" w:space="0" w:color="000000"/>
            </w:tcBorders>
            <w:shd w:val="clear" w:color="auto" w:fill="FFFFFF"/>
          </w:tcPr>
          <w:p w14:paraId="4C2007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5+325</w:t>
            </w:r>
          </w:p>
        </w:tc>
        <w:tc>
          <w:tcPr>
            <w:tcW w:w="1415" w:type="dxa"/>
            <w:tcBorders>
              <w:top w:val="nil"/>
              <w:bottom w:val="single" w:sz="4" w:space="0" w:color="000000"/>
            </w:tcBorders>
            <w:shd w:val="clear" w:color="auto" w:fill="FFFFFF"/>
          </w:tcPr>
          <w:p w14:paraId="03D2C0B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73778D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36243DA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275D1BB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49D4D07" w14:textId="77777777" w:rsidTr="00242093">
        <w:trPr>
          <w:trHeight w:val="270"/>
          <w:jc w:val="center"/>
        </w:trPr>
        <w:tc>
          <w:tcPr>
            <w:tcW w:w="931" w:type="dxa"/>
            <w:tcBorders>
              <w:top w:val="nil"/>
              <w:bottom w:val="single" w:sz="4" w:space="0" w:color="000000"/>
            </w:tcBorders>
            <w:shd w:val="clear" w:color="auto" w:fill="FFFFFF"/>
          </w:tcPr>
          <w:p w14:paraId="10A81C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37</w:t>
            </w:r>
          </w:p>
        </w:tc>
        <w:tc>
          <w:tcPr>
            <w:tcW w:w="1645" w:type="dxa"/>
            <w:tcBorders>
              <w:top w:val="nil"/>
              <w:bottom w:val="single" w:sz="4" w:space="0" w:color="000000"/>
            </w:tcBorders>
            <w:shd w:val="clear" w:color="auto" w:fill="FFFFFF"/>
          </w:tcPr>
          <w:p w14:paraId="1C6C97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5+523</w:t>
            </w:r>
          </w:p>
        </w:tc>
        <w:tc>
          <w:tcPr>
            <w:tcW w:w="1415" w:type="dxa"/>
            <w:tcBorders>
              <w:top w:val="nil"/>
              <w:bottom w:val="single" w:sz="4" w:space="0" w:color="000000"/>
            </w:tcBorders>
            <w:shd w:val="clear" w:color="auto" w:fill="FFFFFF"/>
          </w:tcPr>
          <w:p w14:paraId="0CFF22A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2E0B15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70FF2B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083C192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69B6FC1" w14:textId="77777777" w:rsidTr="00242093">
        <w:trPr>
          <w:trHeight w:val="270"/>
          <w:jc w:val="center"/>
        </w:trPr>
        <w:tc>
          <w:tcPr>
            <w:tcW w:w="931" w:type="dxa"/>
            <w:tcBorders>
              <w:top w:val="nil"/>
              <w:bottom w:val="single" w:sz="4" w:space="0" w:color="000000"/>
            </w:tcBorders>
            <w:shd w:val="clear" w:color="auto" w:fill="FFFFFF"/>
          </w:tcPr>
          <w:p w14:paraId="21A0BB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38</w:t>
            </w:r>
          </w:p>
        </w:tc>
        <w:tc>
          <w:tcPr>
            <w:tcW w:w="1645" w:type="dxa"/>
            <w:tcBorders>
              <w:top w:val="nil"/>
              <w:bottom w:val="single" w:sz="4" w:space="0" w:color="000000"/>
            </w:tcBorders>
            <w:shd w:val="clear" w:color="auto" w:fill="FFFFFF"/>
          </w:tcPr>
          <w:p w14:paraId="2E56E1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5+665</w:t>
            </w:r>
          </w:p>
        </w:tc>
        <w:tc>
          <w:tcPr>
            <w:tcW w:w="1415" w:type="dxa"/>
            <w:tcBorders>
              <w:top w:val="nil"/>
              <w:bottom w:val="single" w:sz="4" w:space="0" w:color="000000"/>
            </w:tcBorders>
            <w:shd w:val="clear" w:color="auto" w:fill="FFFFFF"/>
          </w:tcPr>
          <w:p w14:paraId="5613A48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4A9BF89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C9D2E2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5011BF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6A5B2CF" w14:textId="77777777" w:rsidTr="00242093">
        <w:trPr>
          <w:trHeight w:val="270"/>
          <w:jc w:val="center"/>
        </w:trPr>
        <w:tc>
          <w:tcPr>
            <w:tcW w:w="931" w:type="dxa"/>
            <w:tcBorders>
              <w:top w:val="nil"/>
              <w:bottom w:val="single" w:sz="4" w:space="0" w:color="000000"/>
            </w:tcBorders>
            <w:shd w:val="clear" w:color="auto" w:fill="FFFFFF"/>
          </w:tcPr>
          <w:p w14:paraId="741B3D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39</w:t>
            </w:r>
          </w:p>
        </w:tc>
        <w:tc>
          <w:tcPr>
            <w:tcW w:w="1645" w:type="dxa"/>
            <w:tcBorders>
              <w:top w:val="nil"/>
              <w:bottom w:val="single" w:sz="4" w:space="0" w:color="000000"/>
            </w:tcBorders>
            <w:shd w:val="clear" w:color="auto" w:fill="FFFFFF"/>
          </w:tcPr>
          <w:p w14:paraId="541F5AA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5+774</w:t>
            </w:r>
          </w:p>
        </w:tc>
        <w:tc>
          <w:tcPr>
            <w:tcW w:w="1415" w:type="dxa"/>
            <w:tcBorders>
              <w:top w:val="nil"/>
              <w:bottom w:val="single" w:sz="4" w:space="0" w:color="000000"/>
            </w:tcBorders>
            <w:shd w:val="clear" w:color="auto" w:fill="FFFFFF"/>
          </w:tcPr>
          <w:p w14:paraId="51E6CAC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DFF3B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3A8973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5BE754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8303855" w14:textId="77777777" w:rsidTr="00242093">
        <w:trPr>
          <w:trHeight w:val="270"/>
          <w:jc w:val="center"/>
        </w:trPr>
        <w:tc>
          <w:tcPr>
            <w:tcW w:w="931" w:type="dxa"/>
            <w:tcBorders>
              <w:top w:val="nil"/>
              <w:bottom w:val="single" w:sz="4" w:space="0" w:color="000000"/>
            </w:tcBorders>
            <w:shd w:val="clear" w:color="auto" w:fill="FFFFFF"/>
          </w:tcPr>
          <w:p w14:paraId="1DC9616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40</w:t>
            </w:r>
          </w:p>
        </w:tc>
        <w:tc>
          <w:tcPr>
            <w:tcW w:w="1645" w:type="dxa"/>
            <w:tcBorders>
              <w:top w:val="nil"/>
              <w:bottom w:val="single" w:sz="4" w:space="0" w:color="000000"/>
            </w:tcBorders>
            <w:shd w:val="clear" w:color="auto" w:fill="FFFFFF"/>
          </w:tcPr>
          <w:p w14:paraId="51AA7A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5+951</w:t>
            </w:r>
          </w:p>
        </w:tc>
        <w:tc>
          <w:tcPr>
            <w:tcW w:w="1415" w:type="dxa"/>
            <w:tcBorders>
              <w:top w:val="nil"/>
              <w:bottom w:val="single" w:sz="4" w:space="0" w:color="000000"/>
            </w:tcBorders>
            <w:shd w:val="clear" w:color="auto" w:fill="FFFFFF"/>
          </w:tcPr>
          <w:p w14:paraId="1432B79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8B8FD8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BE32BA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50EE9E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850BAC3" w14:textId="77777777" w:rsidTr="00242093">
        <w:trPr>
          <w:trHeight w:val="270"/>
          <w:jc w:val="center"/>
        </w:trPr>
        <w:tc>
          <w:tcPr>
            <w:tcW w:w="931" w:type="dxa"/>
            <w:tcBorders>
              <w:top w:val="nil"/>
              <w:bottom w:val="single" w:sz="4" w:space="0" w:color="000000"/>
            </w:tcBorders>
            <w:shd w:val="clear" w:color="auto" w:fill="FFFFFF"/>
          </w:tcPr>
          <w:p w14:paraId="5CEDE08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41</w:t>
            </w:r>
          </w:p>
        </w:tc>
        <w:tc>
          <w:tcPr>
            <w:tcW w:w="1645" w:type="dxa"/>
            <w:tcBorders>
              <w:top w:val="nil"/>
              <w:bottom w:val="single" w:sz="4" w:space="0" w:color="000000"/>
            </w:tcBorders>
            <w:shd w:val="clear" w:color="auto" w:fill="FFFFFF"/>
          </w:tcPr>
          <w:p w14:paraId="2CCC92F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6+059</w:t>
            </w:r>
          </w:p>
        </w:tc>
        <w:tc>
          <w:tcPr>
            <w:tcW w:w="1415" w:type="dxa"/>
            <w:tcBorders>
              <w:top w:val="nil"/>
              <w:bottom w:val="single" w:sz="4" w:space="0" w:color="000000"/>
            </w:tcBorders>
            <w:shd w:val="clear" w:color="auto" w:fill="FFFFFF"/>
          </w:tcPr>
          <w:p w14:paraId="3F2EA6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BA36ED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7E13A2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681B02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8336CA5" w14:textId="77777777" w:rsidTr="00242093">
        <w:trPr>
          <w:trHeight w:val="270"/>
          <w:jc w:val="center"/>
        </w:trPr>
        <w:tc>
          <w:tcPr>
            <w:tcW w:w="931" w:type="dxa"/>
            <w:tcBorders>
              <w:top w:val="nil"/>
              <w:bottom w:val="single" w:sz="4" w:space="0" w:color="000000"/>
            </w:tcBorders>
            <w:shd w:val="clear" w:color="auto" w:fill="FFFFFF"/>
          </w:tcPr>
          <w:p w14:paraId="2C19B3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42</w:t>
            </w:r>
          </w:p>
        </w:tc>
        <w:tc>
          <w:tcPr>
            <w:tcW w:w="1645" w:type="dxa"/>
            <w:tcBorders>
              <w:top w:val="nil"/>
              <w:bottom w:val="single" w:sz="4" w:space="0" w:color="000000"/>
            </w:tcBorders>
            <w:shd w:val="clear" w:color="auto" w:fill="FFFFFF"/>
          </w:tcPr>
          <w:p w14:paraId="71141E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6+239</w:t>
            </w:r>
          </w:p>
        </w:tc>
        <w:tc>
          <w:tcPr>
            <w:tcW w:w="1415" w:type="dxa"/>
            <w:tcBorders>
              <w:top w:val="nil"/>
              <w:bottom w:val="single" w:sz="4" w:space="0" w:color="000000"/>
            </w:tcBorders>
            <w:shd w:val="clear" w:color="auto" w:fill="FFFFFF"/>
          </w:tcPr>
          <w:p w14:paraId="2BECDD6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38F6AC0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A32932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144671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8C98804" w14:textId="77777777" w:rsidTr="00242093">
        <w:trPr>
          <w:trHeight w:val="270"/>
          <w:jc w:val="center"/>
        </w:trPr>
        <w:tc>
          <w:tcPr>
            <w:tcW w:w="931" w:type="dxa"/>
            <w:tcBorders>
              <w:top w:val="nil"/>
              <w:bottom w:val="single" w:sz="4" w:space="0" w:color="000000"/>
            </w:tcBorders>
            <w:shd w:val="clear" w:color="auto" w:fill="FFFFFF"/>
          </w:tcPr>
          <w:p w14:paraId="57DBAB8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43</w:t>
            </w:r>
          </w:p>
        </w:tc>
        <w:tc>
          <w:tcPr>
            <w:tcW w:w="1645" w:type="dxa"/>
            <w:tcBorders>
              <w:top w:val="nil"/>
              <w:bottom w:val="single" w:sz="4" w:space="0" w:color="000000"/>
            </w:tcBorders>
            <w:shd w:val="clear" w:color="auto" w:fill="FFFFFF"/>
          </w:tcPr>
          <w:p w14:paraId="214FBB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6+355</w:t>
            </w:r>
          </w:p>
        </w:tc>
        <w:tc>
          <w:tcPr>
            <w:tcW w:w="1415" w:type="dxa"/>
            <w:tcBorders>
              <w:top w:val="nil"/>
              <w:bottom w:val="single" w:sz="4" w:space="0" w:color="000000"/>
            </w:tcBorders>
            <w:shd w:val="clear" w:color="auto" w:fill="FFFFFF"/>
          </w:tcPr>
          <w:p w14:paraId="0AE925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D5CE85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604B3A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10BB27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22F726D" w14:textId="77777777" w:rsidTr="00242093">
        <w:trPr>
          <w:trHeight w:val="270"/>
          <w:jc w:val="center"/>
        </w:trPr>
        <w:tc>
          <w:tcPr>
            <w:tcW w:w="931" w:type="dxa"/>
            <w:tcBorders>
              <w:top w:val="nil"/>
              <w:bottom w:val="single" w:sz="4" w:space="0" w:color="000000"/>
            </w:tcBorders>
            <w:shd w:val="clear" w:color="auto" w:fill="FFFFFF"/>
          </w:tcPr>
          <w:p w14:paraId="667402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44</w:t>
            </w:r>
          </w:p>
        </w:tc>
        <w:tc>
          <w:tcPr>
            <w:tcW w:w="1645" w:type="dxa"/>
            <w:tcBorders>
              <w:top w:val="nil"/>
              <w:bottom w:val="single" w:sz="4" w:space="0" w:color="000000"/>
            </w:tcBorders>
            <w:shd w:val="clear" w:color="auto" w:fill="FFFFFF"/>
          </w:tcPr>
          <w:p w14:paraId="0B7EBB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6+479</w:t>
            </w:r>
          </w:p>
        </w:tc>
        <w:tc>
          <w:tcPr>
            <w:tcW w:w="1415" w:type="dxa"/>
            <w:tcBorders>
              <w:top w:val="nil"/>
              <w:bottom w:val="single" w:sz="4" w:space="0" w:color="000000"/>
            </w:tcBorders>
            <w:shd w:val="clear" w:color="auto" w:fill="FFFFFF"/>
          </w:tcPr>
          <w:p w14:paraId="17DAF33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5B214E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5BD875B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1A282C1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5332E1B" w14:textId="77777777" w:rsidTr="00242093">
        <w:trPr>
          <w:trHeight w:val="270"/>
          <w:jc w:val="center"/>
        </w:trPr>
        <w:tc>
          <w:tcPr>
            <w:tcW w:w="931" w:type="dxa"/>
            <w:tcBorders>
              <w:top w:val="nil"/>
              <w:bottom w:val="single" w:sz="4" w:space="0" w:color="000000"/>
            </w:tcBorders>
            <w:shd w:val="clear" w:color="auto" w:fill="FFFFFF"/>
          </w:tcPr>
          <w:p w14:paraId="414588C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45</w:t>
            </w:r>
          </w:p>
        </w:tc>
        <w:tc>
          <w:tcPr>
            <w:tcW w:w="1645" w:type="dxa"/>
            <w:tcBorders>
              <w:top w:val="nil"/>
              <w:bottom w:val="single" w:sz="4" w:space="0" w:color="000000"/>
            </w:tcBorders>
            <w:shd w:val="clear" w:color="auto" w:fill="FFFFFF"/>
          </w:tcPr>
          <w:p w14:paraId="239E0C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6+673</w:t>
            </w:r>
          </w:p>
        </w:tc>
        <w:tc>
          <w:tcPr>
            <w:tcW w:w="1415" w:type="dxa"/>
            <w:tcBorders>
              <w:top w:val="nil"/>
              <w:bottom w:val="single" w:sz="4" w:space="0" w:color="000000"/>
            </w:tcBorders>
            <w:shd w:val="clear" w:color="auto" w:fill="FFFFFF"/>
          </w:tcPr>
          <w:p w14:paraId="0141E2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78B2D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167DF3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8EB47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74A84FD" w14:textId="77777777" w:rsidTr="00242093">
        <w:trPr>
          <w:trHeight w:val="270"/>
          <w:jc w:val="center"/>
        </w:trPr>
        <w:tc>
          <w:tcPr>
            <w:tcW w:w="931" w:type="dxa"/>
            <w:tcBorders>
              <w:top w:val="nil"/>
              <w:bottom w:val="single" w:sz="4" w:space="0" w:color="000000"/>
            </w:tcBorders>
            <w:shd w:val="clear" w:color="auto" w:fill="FFFFFF"/>
          </w:tcPr>
          <w:p w14:paraId="277CA7F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46</w:t>
            </w:r>
          </w:p>
        </w:tc>
        <w:tc>
          <w:tcPr>
            <w:tcW w:w="1645" w:type="dxa"/>
            <w:tcBorders>
              <w:top w:val="nil"/>
              <w:bottom w:val="single" w:sz="4" w:space="0" w:color="000000"/>
            </w:tcBorders>
            <w:shd w:val="clear" w:color="auto" w:fill="FFFFFF"/>
          </w:tcPr>
          <w:p w14:paraId="74436BC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6+883</w:t>
            </w:r>
          </w:p>
        </w:tc>
        <w:tc>
          <w:tcPr>
            <w:tcW w:w="1415" w:type="dxa"/>
            <w:tcBorders>
              <w:top w:val="nil"/>
              <w:bottom w:val="single" w:sz="4" w:space="0" w:color="000000"/>
            </w:tcBorders>
            <w:shd w:val="clear" w:color="auto" w:fill="FFFFFF"/>
          </w:tcPr>
          <w:p w14:paraId="598A26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23EB572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67C039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EA33C3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418EA80" w14:textId="77777777" w:rsidTr="00242093">
        <w:trPr>
          <w:trHeight w:val="270"/>
          <w:jc w:val="center"/>
        </w:trPr>
        <w:tc>
          <w:tcPr>
            <w:tcW w:w="931" w:type="dxa"/>
            <w:tcBorders>
              <w:top w:val="nil"/>
              <w:bottom w:val="single" w:sz="4" w:space="0" w:color="000000"/>
            </w:tcBorders>
            <w:shd w:val="clear" w:color="auto" w:fill="FFFFFF"/>
          </w:tcPr>
          <w:p w14:paraId="10DCCAC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47</w:t>
            </w:r>
          </w:p>
        </w:tc>
        <w:tc>
          <w:tcPr>
            <w:tcW w:w="1645" w:type="dxa"/>
            <w:tcBorders>
              <w:top w:val="nil"/>
              <w:bottom w:val="single" w:sz="4" w:space="0" w:color="000000"/>
            </w:tcBorders>
            <w:shd w:val="clear" w:color="auto" w:fill="FFFFFF"/>
          </w:tcPr>
          <w:p w14:paraId="015C31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7+097</w:t>
            </w:r>
          </w:p>
        </w:tc>
        <w:tc>
          <w:tcPr>
            <w:tcW w:w="1415" w:type="dxa"/>
            <w:tcBorders>
              <w:top w:val="nil"/>
              <w:bottom w:val="single" w:sz="4" w:space="0" w:color="000000"/>
            </w:tcBorders>
            <w:shd w:val="clear" w:color="auto" w:fill="FFFFFF"/>
          </w:tcPr>
          <w:p w14:paraId="48E6A2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530265D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1E0A4DA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C51403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009578F" w14:textId="77777777" w:rsidTr="00242093">
        <w:trPr>
          <w:trHeight w:val="270"/>
          <w:jc w:val="center"/>
        </w:trPr>
        <w:tc>
          <w:tcPr>
            <w:tcW w:w="931" w:type="dxa"/>
            <w:tcBorders>
              <w:top w:val="nil"/>
              <w:bottom w:val="single" w:sz="4" w:space="0" w:color="000000"/>
            </w:tcBorders>
            <w:shd w:val="clear" w:color="auto" w:fill="FFFFFF"/>
          </w:tcPr>
          <w:p w14:paraId="6AE901A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48</w:t>
            </w:r>
          </w:p>
        </w:tc>
        <w:tc>
          <w:tcPr>
            <w:tcW w:w="1645" w:type="dxa"/>
            <w:tcBorders>
              <w:top w:val="nil"/>
              <w:bottom w:val="single" w:sz="4" w:space="0" w:color="000000"/>
            </w:tcBorders>
            <w:shd w:val="clear" w:color="auto" w:fill="FFFFFF"/>
          </w:tcPr>
          <w:p w14:paraId="07F10C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7+312</w:t>
            </w:r>
          </w:p>
        </w:tc>
        <w:tc>
          <w:tcPr>
            <w:tcW w:w="1415" w:type="dxa"/>
            <w:tcBorders>
              <w:top w:val="nil"/>
              <w:bottom w:val="single" w:sz="4" w:space="0" w:color="000000"/>
            </w:tcBorders>
            <w:shd w:val="clear" w:color="auto" w:fill="FFFFFF"/>
          </w:tcPr>
          <w:p w14:paraId="4570EB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17F4CF8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60 ‘’</w:t>
            </w:r>
          </w:p>
        </w:tc>
        <w:tc>
          <w:tcPr>
            <w:tcW w:w="1170" w:type="dxa"/>
            <w:tcBorders>
              <w:top w:val="nil"/>
              <w:bottom w:val="single" w:sz="4" w:space="0" w:color="000000"/>
            </w:tcBorders>
            <w:shd w:val="clear" w:color="auto" w:fill="FFFFFF"/>
          </w:tcPr>
          <w:p w14:paraId="25C9FDB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w:t>
            </w:r>
          </w:p>
        </w:tc>
        <w:tc>
          <w:tcPr>
            <w:tcW w:w="1120" w:type="dxa"/>
            <w:tcBorders>
              <w:top w:val="nil"/>
              <w:bottom w:val="single" w:sz="4" w:space="0" w:color="000000"/>
            </w:tcBorders>
            <w:shd w:val="clear" w:color="auto" w:fill="FFFFFF"/>
          </w:tcPr>
          <w:p w14:paraId="5116BAC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393652E" w14:textId="77777777" w:rsidTr="00242093">
        <w:trPr>
          <w:trHeight w:val="270"/>
          <w:jc w:val="center"/>
        </w:trPr>
        <w:tc>
          <w:tcPr>
            <w:tcW w:w="931" w:type="dxa"/>
            <w:tcBorders>
              <w:top w:val="nil"/>
              <w:bottom w:val="single" w:sz="4" w:space="0" w:color="000000"/>
            </w:tcBorders>
            <w:shd w:val="clear" w:color="auto" w:fill="FFFFFF"/>
          </w:tcPr>
          <w:p w14:paraId="31710A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49</w:t>
            </w:r>
          </w:p>
        </w:tc>
        <w:tc>
          <w:tcPr>
            <w:tcW w:w="1645" w:type="dxa"/>
            <w:tcBorders>
              <w:top w:val="nil"/>
              <w:bottom w:val="single" w:sz="4" w:space="0" w:color="000000"/>
            </w:tcBorders>
            <w:shd w:val="clear" w:color="auto" w:fill="FFFFFF"/>
          </w:tcPr>
          <w:p w14:paraId="58A40D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7+492</w:t>
            </w:r>
          </w:p>
        </w:tc>
        <w:tc>
          <w:tcPr>
            <w:tcW w:w="1415" w:type="dxa"/>
            <w:tcBorders>
              <w:top w:val="nil"/>
              <w:bottom w:val="single" w:sz="4" w:space="0" w:color="000000"/>
            </w:tcBorders>
            <w:shd w:val="clear" w:color="auto" w:fill="FFFFFF"/>
          </w:tcPr>
          <w:p w14:paraId="28957B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09B3683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2B0B77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107BAC7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BB26C3D" w14:textId="77777777" w:rsidTr="00242093">
        <w:trPr>
          <w:trHeight w:val="270"/>
          <w:jc w:val="center"/>
        </w:trPr>
        <w:tc>
          <w:tcPr>
            <w:tcW w:w="931" w:type="dxa"/>
            <w:tcBorders>
              <w:top w:val="nil"/>
              <w:bottom w:val="single" w:sz="4" w:space="0" w:color="000000"/>
            </w:tcBorders>
            <w:shd w:val="clear" w:color="auto" w:fill="FFFFFF"/>
          </w:tcPr>
          <w:p w14:paraId="789D98C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50</w:t>
            </w:r>
          </w:p>
        </w:tc>
        <w:tc>
          <w:tcPr>
            <w:tcW w:w="1645" w:type="dxa"/>
            <w:tcBorders>
              <w:top w:val="nil"/>
              <w:bottom w:val="single" w:sz="4" w:space="0" w:color="000000"/>
            </w:tcBorders>
            <w:shd w:val="clear" w:color="auto" w:fill="FFFFFF"/>
          </w:tcPr>
          <w:p w14:paraId="50FA3ED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7+700</w:t>
            </w:r>
          </w:p>
        </w:tc>
        <w:tc>
          <w:tcPr>
            <w:tcW w:w="1415" w:type="dxa"/>
            <w:tcBorders>
              <w:top w:val="nil"/>
              <w:bottom w:val="single" w:sz="4" w:space="0" w:color="000000"/>
            </w:tcBorders>
            <w:shd w:val="clear" w:color="auto" w:fill="FFFFFF"/>
          </w:tcPr>
          <w:p w14:paraId="2B499B6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DB2AA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0FFF8AD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97EACA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5FF9BBEC" w14:textId="77777777" w:rsidTr="00242093">
        <w:trPr>
          <w:trHeight w:val="270"/>
          <w:jc w:val="center"/>
        </w:trPr>
        <w:tc>
          <w:tcPr>
            <w:tcW w:w="931" w:type="dxa"/>
            <w:tcBorders>
              <w:top w:val="nil"/>
              <w:bottom w:val="single" w:sz="4" w:space="0" w:color="000000"/>
            </w:tcBorders>
            <w:shd w:val="clear" w:color="auto" w:fill="FFFFFF"/>
          </w:tcPr>
          <w:p w14:paraId="36EF5D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51</w:t>
            </w:r>
          </w:p>
        </w:tc>
        <w:tc>
          <w:tcPr>
            <w:tcW w:w="1645" w:type="dxa"/>
            <w:tcBorders>
              <w:top w:val="nil"/>
              <w:bottom w:val="single" w:sz="4" w:space="0" w:color="000000"/>
            </w:tcBorders>
            <w:shd w:val="clear" w:color="auto" w:fill="FFFFFF"/>
          </w:tcPr>
          <w:p w14:paraId="17EC05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7+838</w:t>
            </w:r>
          </w:p>
        </w:tc>
        <w:tc>
          <w:tcPr>
            <w:tcW w:w="1415" w:type="dxa"/>
            <w:tcBorders>
              <w:top w:val="nil"/>
              <w:bottom w:val="single" w:sz="4" w:space="0" w:color="000000"/>
            </w:tcBorders>
            <w:shd w:val="clear" w:color="auto" w:fill="FFFFFF"/>
          </w:tcPr>
          <w:p w14:paraId="54AE64B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415ACE5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53A9F3B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9F751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F2E969B" w14:textId="77777777" w:rsidTr="00242093">
        <w:trPr>
          <w:trHeight w:val="270"/>
          <w:jc w:val="center"/>
        </w:trPr>
        <w:tc>
          <w:tcPr>
            <w:tcW w:w="931" w:type="dxa"/>
            <w:tcBorders>
              <w:top w:val="nil"/>
              <w:bottom w:val="single" w:sz="4" w:space="0" w:color="000000"/>
            </w:tcBorders>
            <w:shd w:val="clear" w:color="auto" w:fill="FFFFFF"/>
          </w:tcPr>
          <w:p w14:paraId="0AAB23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52</w:t>
            </w:r>
          </w:p>
        </w:tc>
        <w:tc>
          <w:tcPr>
            <w:tcW w:w="1645" w:type="dxa"/>
            <w:tcBorders>
              <w:top w:val="nil"/>
              <w:bottom w:val="single" w:sz="4" w:space="0" w:color="000000"/>
            </w:tcBorders>
            <w:shd w:val="clear" w:color="auto" w:fill="FFFFFF"/>
          </w:tcPr>
          <w:p w14:paraId="62866BF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8+034</w:t>
            </w:r>
          </w:p>
        </w:tc>
        <w:tc>
          <w:tcPr>
            <w:tcW w:w="1415" w:type="dxa"/>
            <w:tcBorders>
              <w:top w:val="nil"/>
              <w:bottom w:val="single" w:sz="4" w:space="0" w:color="000000"/>
            </w:tcBorders>
            <w:shd w:val="clear" w:color="auto" w:fill="FFFFFF"/>
          </w:tcPr>
          <w:p w14:paraId="59E9A5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37CECC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1A93F9B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9DEB0B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C2CEE53" w14:textId="77777777" w:rsidTr="00242093">
        <w:trPr>
          <w:trHeight w:val="270"/>
          <w:jc w:val="center"/>
        </w:trPr>
        <w:tc>
          <w:tcPr>
            <w:tcW w:w="931" w:type="dxa"/>
            <w:tcBorders>
              <w:top w:val="nil"/>
              <w:bottom w:val="single" w:sz="4" w:space="0" w:color="000000"/>
            </w:tcBorders>
            <w:shd w:val="clear" w:color="auto" w:fill="FFFFFF"/>
          </w:tcPr>
          <w:p w14:paraId="2954734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53</w:t>
            </w:r>
          </w:p>
        </w:tc>
        <w:tc>
          <w:tcPr>
            <w:tcW w:w="1645" w:type="dxa"/>
            <w:tcBorders>
              <w:top w:val="nil"/>
              <w:bottom w:val="single" w:sz="4" w:space="0" w:color="000000"/>
            </w:tcBorders>
            <w:shd w:val="clear" w:color="auto" w:fill="FFFFFF"/>
          </w:tcPr>
          <w:p w14:paraId="27D742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8+225</w:t>
            </w:r>
          </w:p>
        </w:tc>
        <w:tc>
          <w:tcPr>
            <w:tcW w:w="1415" w:type="dxa"/>
            <w:tcBorders>
              <w:top w:val="nil"/>
              <w:bottom w:val="single" w:sz="4" w:space="0" w:color="000000"/>
            </w:tcBorders>
            <w:shd w:val="clear" w:color="auto" w:fill="FFFFFF"/>
          </w:tcPr>
          <w:p w14:paraId="0828EF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2582B2C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2124DB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333B7CB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E14F62E" w14:textId="77777777" w:rsidTr="00242093">
        <w:trPr>
          <w:trHeight w:val="270"/>
          <w:jc w:val="center"/>
        </w:trPr>
        <w:tc>
          <w:tcPr>
            <w:tcW w:w="931" w:type="dxa"/>
            <w:tcBorders>
              <w:top w:val="nil"/>
              <w:bottom w:val="single" w:sz="4" w:space="0" w:color="000000"/>
            </w:tcBorders>
            <w:shd w:val="clear" w:color="auto" w:fill="FFFFFF"/>
          </w:tcPr>
          <w:p w14:paraId="32BF983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54</w:t>
            </w:r>
          </w:p>
        </w:tc>
        <w:tc>
          <w:tcPr>
            <w:tcW w:w="1645" w:type="dxa"/>
            <w:tcBorders>
              <w:top w:val="nil"/>
              <w:bottom w:val="single" w:sz="4" w:space="0" w:color="000000"/>
            </w:tcBorders>
            <w:shd w:val="clear" w:color="auto" w:fill="FFFFFF"/>
          </w:tcPr>
          <w:p w14:paraId="7B3EE99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8+425</w:t>
            </w:r>
          </w:p>
        </w:tc>
        <w:tc>
          <w:tcPr>
            <w:tcW w:w="1415" w:type="dxa"/>
            <w:tcBorders>
              <w:top w:val="nil"/>
              <w:bottom w:val="single" w:sz="4" w:space="0" w:color="000000"/>
            </w:tcBorders>
            <w:shd w:val="clear" w:color="auto" w:fill="FFFFFF"/>
          </w:tcPr>
          <w:p w14:paraId="37952D5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tcBorders>
              <w:top w:val="nil"/>
              <w:bottom w:val="single" w:sz="4" w:space="0" w:color="000000"/>
            </w:tcBorders>
            <w:shd w:val="clear" w:color="auto" w:fill="FFFFFF"/>
          </w:tcPr>
          <w:p w14:paraId="70FA100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48 ‘’</w:t>
            </w:r>
          </w:p>
        </w:tc>
        <w:tc>
          <w:tcPr>
            <w:tcW w:w="1170" w:type="dxa"/>
            <w:tcBorders>
              <w:top w:val="nil"/>
              <w:bottom w:val="single" w:sz="4" w:space="0" w:color="000000"/>
            </w:tcBorders>
            <w:shd w:val="clear" w:color="auto" w:fill="FFFFFF"/>
          </w:tcPr>
          <w:p w14:paraId="444645D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56F347C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4814F089" w14:textId="77777777" w:rsidTr="00242093">
        <w:trPr>
          <w:trHeight w:val="270"/>
          <w:jc w:val="center"/>
        </w:trPr>
        <w:tc>
          <w:tcPr>
            <w:tcW w:w="931" w:type="dxa"/>
            <w:tcBorders>
              <w:top w:val="nil"/>
              <w:bottom w:val="single" w:sz="4" w:space="0" w:color="000000"/>
            </w:tcBorders>
            <w:shd w:val="clear" w:color="auto" w:fill="FFFFFF"/>
          </w:tcPr>
          <w:p w14:paraId="1535239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55</w:t>
            </w:r>
          </w:p>
        </w:tc>
        <w:tc>
          <w:tcPr>
            <w:tcW w:w="1645" w:type="dxa"/>
            <w:tcBorders>
              <w:top w:val="nil"/>
              <w:bottom w:val="single" w:sz="4" w:space="0" w:color="000000"/>
            </w:tcBorders>
            <w:shd w:val="clear" w:color="auto" w:fill="FFFFFF"/>
          </w:tcPr>
          <w:p w14:paraId="32A352B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8+600</w:t>
            </w:r>
          </w:p>
        </w:tc>
        <w:tc>
          <w:tcPr>
            <w:tcW w:w="1415" w:type="dxa"/>
            <w:tcBorders>
              <w:top w:val="nil"/>
              <w:bottom w:val="single" w:sz="4" w:space="0" w:color="000000"/>
            </w:tcBorders>
            <w:shd w:val="clear" w:color="auto" w:fill="FFFFFF"/>
          </w:tcPr>
          <w:p w14:paraId="3EA9F2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8C1656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4E5C6D7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4AE180B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0772A16" w14:textId="77777777" w:rsidTr="00242093">
        <w:trPr>
          <w:trHeight w:val="270"/>
          <w:jc w:val="center"/>
        </w:trPr>
        <w:tc>
          <w:tcPr>
            <w:tcW w:w="931" w:type="dxa"/>
            <w:tcBorders>
              <w:top w:val="nil"/>
              <w:bottom w:val="single" w:sz="4" w:space="0" w:color="000000"/>
            </w:tcBorders>
            <w:shd w:val="clear" w:color="auto" w:fill="FFFFFF"/>
          </w:tcPr>
          <w:p w14:paraId="665C86B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56</w:t>
            </w:r>
          </w:p>
        </w:tc>
        <w:tc>
          <w:tcPr>
            <w:tcW w:w="1645" w:type="dxa"/>
            <w:tcBorders>
              <w:top w:val="nil"/>
              <w:bottom w:val="single" w:sz="4" w:space="0" w:color="000000"/>
            </w:tcBorders>
            <w:shd w:val="clear" w:color="auto" w:fill="FFFFFF"/>
          </w:tcPr>
          <w:p w14:paraId="06AA12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8+790</w:t>
            </w:r>
          </w:p>
        </w:tc>
        <w:tc>
          <w:tcPr>
            <w:tcW w:w="1415" w:type="dxa"/>
            <w:tcBorders>
              <w:top w:val="nil"/>
              <w:bottom w:val="single" w:sz="4" w:space="0" w:color="000000"/>
            </w:tcBorders>
            <w:shd w:val="clear" w:color="auto" w:fill="FFFFFF"/>
          </w:tcPr>
          <w:p w14:paraId="458512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1D18864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50E2F68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E196CF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09AA8603" w14:textId="77777777" w:rsidTr="00242093">
        <w:trPr>
          <w:trHeight w:val="270"/>
          <w:jc w:val="center"/>
        </w:trPr>
        <w:tc>
          <w:tcPr>
            <w:tcW w:w="931" w:type="dxa"/>
            <w:tcBorders>
              <w:top w:val="nil"/>
              <w:bottom w:val="single" w:sz="4" w:space="0" w:color="000000"/>
            </w:tcBorders>
            <w:shd w:val="clear" w:color="auto" w:fill="FFFFFF"/>
          </w:tcPr>
          <w:p w14:paraId="1696515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57</w:t>
            </w:r>
          </w:p>
        </w:tc>
        <w:tc>
          <w:tcPr>
            <w:tcW w:w="1645" w:type="dxa"/>
            <w:tcBorders>
              <w:top w:val="nil"/>
              <w:bottom w:val="single" w:sz="4" w:space="0" w:color="000000"/>
            </w:tcBorders>
            <w:shd w:val="clear" w:color="auto" w:fill="FFFFFF"/>
          </w:tcPr>
          <w:p w14:paraId="1FBBCE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8+930</w:t>
            </w:r>
          </w:p>
        </w:tc>
        <w:tc>
          <w:tcPr>
            <w:tcW w:w="1415" w:type="dxa"/>
            <w:tcBorders>
              <w:top w:val="nil"/>
              <w:bottom w:val="single" w:sz="4" w:space="0" w:color="000000"/>
            </w:tcBorders>
            <w:shd w:val="clear" w:color="auto" w:fill="FFFFFF"/>
          </w:tcPr>
          <w:p w14:paraId="02FB3CE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7B5CADE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2D8963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0ACA304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32DD27C8" w14:textId="77777777" w:rsidTr="00242093">
        <w:trPr>
          <w:trHeight w:val="270"/>
          <w:jc w:val="center"/>
        </w:trPr>
        <w:tc>
          <w:tcPr>
            <w:tcW w:w="931" w:type="dxa"/>
            <w:tcBorders>
              <w:top w:val="nil"/>
              <w:bottom w:val="single" w:sz="4" w:space="0" w:color="000000"/>
            </w:tcBorders>
            <w:shd w:val="clear" w:color="auto" w:fill="FFFFFF"/>
          </w:tcPr>
          <w:p w14:paraId="6DE3C4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58</w:t>
            </w:r>
          </w:p>
        </w:tc>
        <w:tc>
          <w:tcPr>
            <w:tcW w:w="1645" w:type="dxa"/>
            <w:tcBorders>
              <w:top w:val="nil"/>
              <w:bottom w:val="single" w:sz="4" w:space="0" w:color="000000"/>
            </w:tcBorders>
            <w:shd w:val="clear" w:color="auto" w:fill="FFFFFF"/>
          </w:tcPr>
          <w:p w14:paraId="55F1AC4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9+165</w:t>
            </w:r>
          </w:p>
        </w:tc>
        <w:tc>
          <w:tcPr>
            <w:tcW w:w="1415" w:type="dxa"/>
            <w:tcBorders>
              <w:top w:val="nil"/>
              <w:bottom w:val="single" w:sz="4" w:space="0" w:color="000000"/>
            </w:tcBorders>
            <w:shd w:val="clear" w:color="auto" w:fill="FFFFFF"/>
          </w:tcPr>
          <w:p w14:paraId="336B277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tcBorders>
              <w:top w:val="nil"/>
              <w:bottom w:val="single" w:sz="4" w:space="0" w:color="000000"/>
            </w:tcBorders>
            <w:shd w:val="clear" w:color="auto" w:fill="FFFFFF"/>
          </w:tcPr>
          <w:p w14:paraId="30D6BE6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tcBorders>
              <w:top w:val="nil"/>
              <w:bottom w:val="single" w:sz="4" w:space="0" w:color="000000"/>
            </w:tcBorders>
            <w:shd w:val="clear" w:color="auto" w:fill="FFFFFF"/>
          </w:tcPr>
          <w:p w14:paraId="39524C2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tcBorders>
              <w:top w:val="nil"/>
              <w:bottom w:val="single" w:sz="4" w:space="0" w:color="000000"/>
            </w:tcBorders>
            <w:shd w:val="clear" w:color="auto" w:fill="FFFFFF"/>
          </w:tcPr>
          <w:p w14:paraId="254067D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bl>
    <w:p w14:paraId="694BFAB9" w14:textId="232F840C"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22DE6799" w14:textId="77777777" w:rsidR="001F600C" w:rsidRPr="00285D58" w:rsidRDefault="001F600C" w:rsidP="008D1FFF">
      <w:pPr>
        <w:spacing w:line="276" w:lineRule="auto"/>
        <w:ind w:firstLine="567"/>
        <w:jc w:val="both"/>
        <w:rPr>
          <w:rFonts w:asciiTheme="minorHAnsi" w:eastAsia="Calibri" w:hAnsiTheme="minorHAnsi" w:cstheme="minorHAnsi"/>
        </w:rPr>
      </w:pPr>
    </w:p>
    <w:p w14:paraId="49390AA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b) Vía Turística Kiuñalla – E.S. Kiuñalla</w:t>
      </w:r>
    </w:p>
    <w:p w14:paraId="2C59CF94" w14:textId="77777777" w:rsidR="001F600C" w:rsidRPr="00285D58" w:rsidRDefault="001F600C" w:rsidP="008D1FFF">
      <w:pPr>
        <w:spacing w:line="276" w:lineRule="auto"/>
        <w:ind w:firstLine="567"/>
        <w:jc w:val="both"/>
        <w:rPr>
          <w:rFonts w:asciiTheme="minorHAnsi" w:eastAsia="Calibri" w:hAnsiTheme="minorHAnsi" w:cstheme="minorHAnsi"/>
        </w:rPr>
      </w:pPr>
    </w:p>
    <w:p w14:paraId="0C7D3B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Mediante la verificación de la capacidad de las estructuras de drenaje proyectadas frente a la descarga máxima proveniente del análisis hidrológico, se han proyectado 6 alcantarillas de 36” de diámetro. Ver Tabla 15.</w:t>
      </w:r>
    </w:p>
    <w:p w14:paraId="3B693C0B" w14:textId="77777777" w:rsidR="001F600C" w:rsidRPr="00285D58" w:rsidRDefault="001F600C" w:rsidP="008D1FFF">
      <w:pPr>
        <w:spacing w:line="276" w:lineRule="auto"/>
        <w:jc w:val="both"/>
        <w:rPr>
          <w:rFonts w:asciiTheme="minorHAnsi" w:eastAsia="Calibri" w:hAnsiTheme="minorHAnsi" w:cstheme="minorHAnsi"/>
        </w:rPr>
      </w:pPr>
    </w:p>
    <w:p w14:paraId="4F3133EF" w14:textId="6E7D2663"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RELACIÓN DE OBRAS DE DRENAJE PARA LA ZONA SUR</w:t>
      </w:r>
    </w:p>
    <w:tbl>
      <w:tblPr>
        <w:tblW w:w="7205"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924"/>
        <w:gridCol w:w="1645"/>
        <w:gridCol w:w="1415"/>
        <w:gridCol w:w="931"/>
        <w:gridCol w:w="1170"/>
        <w:gridCol w:w="1120"/>
      </w:tblGrid>
      <w:tr w:rsidR="001F600C" w:rsidRPr="00285D58" w14:paraId="0493DEE0" w14:textId="77777777" w:rsidTr="00242093">
        <w:trPr>
          <w:trHeight w:val="450"/>
          <w:jc w:val="center"/>
        </w:trPr>
        <w:tc>
          <w:tcPr>
            <w:tcW w:w="924" w:type="dxa"/>
            <w:vMerge w:val="restart"/>
            <w:shd w:val="clear" w:color="auto" w:fill="DDEBF7"/>
          </w:tcPr>
          <w:p w14:paraId="417222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w:t>
            </w:r>
          </w:p>
        </w:tc>
        <w:tc>
          <w:tcPr>
            <w:tcW w:w="1645" w:type="dxa"/>
            <w:vMerge w:val="restart"/>
            <w:shd w:val="clear" w:color="auto" w:fill="DDEBF7"/>
          </w:tcPr>
          <w:p w14:paraId="52ACF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Progresiva</w:t>
            </w:r>
          </w:p>
        </w:tc>
        <w:tc>
          <w:tcPr>
            <w:tcW w:w="1415" w:type="dxa"/>
            <w:vMerge w:val="restart"/>
            <w:shd w:val="clear" w:color="auto" w:fill="DDEBF7"/>
          </w:tcPr>
          <w:p w14:paraId="5069F3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Función</w:t>
            </w:r>
          </w:p>
        </w:tc>
        <w:tc>
          <w:tcPr>
            <w:tcW w:w="3221" w:type="dxa"/>
            <w:gridSpan w:val="3"/>
            <w:vMerge w:val="restart"/>
            <w:shd w:val="clear" w:color="auto" w:fill="DDEBF7"/>
          </w:tcPr>
          <w:p w14:paraId="0BB6F2F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Obra de Drenaje Proyectada</w:t>
            </w:r>
          </w:p>
        </w:tc>
      </w:tr>
      <w:tr w:rsidR="001F600C" w:rsidRPr="00285D58" w14:paraId="4C323712" w14:textId="77777777" w:rsidTr="00242093">
        <w:trPr>
          <w:trHeight w:val="450"/>
          <w:jc w:val="center"/>
        </w:trPr>
        <w:tc>
          <w:tcPr>
            <w:tcW w:w="924" w:type="dxa"/>
            <w:vMerge/>
            <w:shd w:val="clear" w:color="auto" w:fill="DDEBF7"/>
          </w:tcPr>
          <w:p w14:paraId="37D9F57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shd w:val="clear" w:color="auto" w:fill="DDEBF7"/>
          </w:tcPr>
          <w:p w14:paraId="3FABAC8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shd w:val="clear" w:color="auto" w:fill="DDEBF7"/>
          </w:tcPr>
          <w:p w14:paraId="3805A08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3221" w:type="dxa"/>
            <w:gridSpan w:val="3"/>
            <w:vMerge/>
            <w:shd w:val="clear" w:color="auto" w:fill="DDEBF7"/>
          </w:tcPr>
          <w:p w14:paraId="4AEB9EA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r>
      <w:tr w:rsidR="001F600C" w:rsidRPr="00285D58" w14:paraId="4A34EDFC" w14:textId="77777777" w:rsidTr="00242093">
        <w:trPr>
          <w:trHeight w:val="240"/>
          <w:jc w:val="center"/>
        </w:trPr>
        <w:tc>
          <w:tcPr>
            <w:tcW w:w="924" w:type="dxa"/>
            <w:vMerge/>
            <w:shd w:val="clear" w:color="auto" w:fill="DDEBF7"/>
          </w:tcPr>
          <w:p w14:paraId="3D77958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645" w:type="dxa"/>
            <w:vMerge/>
            <w:shd w:val="clear" w:color="auto" w:fill="DDEBF7"/>
          </w:tcPr>
          <w:p w14:paraId="2FB0AD7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1415" w:type="dxa"/>
            <w:vMerge/>
            <w:shd w:val="clear" w:color="auto" w:fill="DDEBF7"/>
          </w:tcPr>
          <w:p w14:paraId="27FBA25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tc>
        <w:tc>
          <w:tcPr>
            <w:tcW w:w="931" w:type="dxa"/>
            <w:shd w:val="clear" w:color="auto" w:fill="DDEBF7"/>
          </w:tcPr>
          <w:p w14:paraId="7B90DED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Ø</w:t>
            </w:r>
          </w:p>
        </w:tc>
        <w:tc>
          <w:tcPr>
            <w:tcW w:w="1170" w:type="dxa"/>
            <w:shd w:val="clear" w:color="auto" w:fill="DDEBF7"/>
          </w:tcPr>
          <w:p w14:paraId="7FC0DCA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OJOS</w:t>
            </w:r>
          </w:p>
        </w:tc>
        <w:tc>
          <w:tcPr>
            <w:tcW w:w="1120" w:type="dxa"/>
            <w:shd w:val="clear" w:color="auto" w:fill="DDEBF7"/>
          </w:tcPr>
          <w:p w14:paraId="24DCEB2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Tipo</w:t>
            </w:r>
          </w:p>
        </w:tc>
      </w:tr>
      <w:tr w:rsidR="001F600C" w:rsidRPr="00285D58" w14:paraId="276C769B" w14:textId="77777777" w:rsidTr="00242093">
        <w:trPr>
          <w:trHeight w:val="270"/>
          <w:jc w:val="center"/>
        </w:trPr>
        <w:tc>
          <w:tcPr>
            <w:tcW w:w="924" w:type="dxa"/>
            <w:shd w:val="clear" w:color="auto" w:fill="FFFFFF"/>
          </w:tcPr>
          <w:p w14:paraId="6B9AC1B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w:t>
            </w:r>
          </w:p>
        </w:tc>
        <w:tc>
          <w:tcPr>
            <w:tcW w:w="1645" w:type="dxa"/>
            <w:shd w:val="clear" w:color="auto" w:fill="FFFFFF"/>
          </w:tcPr>
          <w:p w14:paraId="2B05D2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0+200</w:t>
            </w:r>
          </w:p>
        </w:tc>
        <w:tc>
          <w:tcPr>
            <w:tcW w:w="1415" w:type="dxa"/>
            <w:shd w:val="clear" w:color="auto" w:fill="FFFFFF"/>
          </w:tcPr>
          <w:p w14:paraId="195A4D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384F520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60A7D21"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6B6F49B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65950F80" w14:textId="77777777" w:rsidTr="00242093">
        <w:trPr>
          <w:trHeight w:val="270"/>
          <w:jc w:val="center"/>
        </w:trPr>
        <w:tc>
          <w:tcPr>
            <w:tcW w:w="924" w:type="dxa"/>
            <w:shd w:val="clear" w:color="auto" w:fill="FFFFFF"/>
          </w:tcPr>
          <w:p w14:paraId="070EF2E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2</w:t>
            </w:r>
          </w:p>
        </w:tc>
        <w:tc>
          <w:tcPr>
            <w:tcW w:w="1645" w:type="dxa"/>
            <w:shd w:val="clear" w:color="auto" w:fill="FFFFFF"/>
          </w:tcPr>
          <w:p w14:paraId="63892C2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0+420</w:t>
            </w:r>
          </w:p>
        </w:tc>
        <w:tc>
          <w:tcPr>
            <w:tcW w:w="1415" w:type="dxa"/>
            <w:shd w:val="clear" w:color="auto" w:fill="FFFFFF"/>
          </w:tcPr>
          <w:p w14:paraId="2070DD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24F2C85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10FDB36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6FD8A73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2624B93D" w14:textId="77777777" w:rsidTr="00242093">
        <w:trPr>
          <w:trHeight w:val="270"/>
          <w:jc w:val="center"/>
        </w:trPr>
        <w:tc>
          <w:tcPr>
            <w:tcW w:w="924" w:type="dxa"/>
            <w:shd w:val="clear" w:color="auto" w:fill="FFFFFF"/>
          </w:tcPr>
          <w:p w14:paraId="228085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3</w:t>
            </w:r>
          </w:p>
        </w:tc>
        <w:tc>
          <w:tcPr>
            <w:tcW w:w="1645" w:type="dxa"/>
            <w:shd w:val="clear" w:color="auto" w:fill="FFFFFF"/>
          </w:tcPr>
          <w:p w14:paraId="379AF82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0+677</w:t>
            </w:r>
          </w:p>
        </w:tc>
        <w:tc>
          <w:tcPr>
            <w:tcW w:w="1415" w:type="dxa"/>
            <w:shd w:val="clear" w:color="auto" w:fill="FFFFFF"/>
          </w:tcPr>
          <w:p w14:paraId="4F2F87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shd w:val="clear" w:color="auto" w:fill="FFFFFF"/>
          </w:tcPr>
          <w:p w14:paraId="6D7C78A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B2EC96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2CF09F8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0895B66" w14:textId="77777777" w:rsidTr="00242093">
        <w:trPr>
          <w:trHeight w:val="270"/>
          <w:jc w:val="center"/>
        </w:trPr>
        <w:tc>
          <w:tcPr>
            <w:tcW w:w="924" w:type="dxa"/>
            <w:shd w:val="clear" w:color="auto" w:fill="FFFFFF"/>
          </w:tcPr>
          <w:p w14:paraId="69E31FA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4</w:t>
            </w:r>
          </w:p>
        </w:tc>
        <w:tc>
          <w:tcPr>
            <w:tcW w:w="1645" w:type="dxa"/>
            <w:shd w:val="clear" w:color="auto" w:fill="FFFFFF"/>
          </w:tcPr>
          <w:p w14:paraId="4942BA0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0+782</w:t>
            </w:r>
          </w:p>
        </w:tc>
        <w:tc>
          <w:tcPr>
            <w:tcW w:w="1415" w:type="dxa"/>
            <w:shd w:val="clear" w:color="auto" w:fill="FFFFFF"/>
          </w:tcPr>
          <w:p w14:paraId="1FE7E01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Paso</w:t>
            </w:r>
          </w:p>
        </w:tc>
        <w:tc>
          <w:tcPr>
            <w:tcW w:w="931" w:type="dxa"/>
            <w:shd w:val="clear" w:color="auto" w:fill="FFFFFF"/>
          </w:tcPr>
          <w:p w14:paraId="1D8C664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2E3CE48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7116BE2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1406ADCB" w14:textId="77777777" w:rsidTr="00242093">
        <w:trPr>
          <w:trHeight w:val="270"/>
          <w:jc w:val="center"/>
        </w:trPr>
        <w:tc>
          <w:tcPr>
            <w:tcW w:w="924" w:type="dxa"/>
            <w:shd w:val="clear" w:color="auto" w:fill="FFFFFF"/>
          </w:tcPr>
          <w:p w14:paraId="008416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5</w:t>
            </w:r>
          </w:p>
        </w:tc>
        <w:tc>
          <w:tcPr>
            <w:tcW w:w="1645" w:type="dxa"/>
            <w:shd w:val="clear" w:color="auto" w:fill="FFFFFF"/>
          </w:tcPr>
          <w:p w14:paraId="66591F7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1+000</w:t>
            </w:r>
          </w:p>
        </w:tc>
        <w:tc>
          <w:tcPr>
            <w:tcW w:w="1415" w:type="dxa"/>
            <w:shd w:val="clear" w:color="auto" w:fill="FFFFFF"/>
          </w:tcPr>
          <w:p w14:paraId="041892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3DC8DDE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5DF6621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501D6DB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r w:rsidR="001F600C" w:rsidRPr="00285D58" w14:paraId="757E22BD" w14:textId="77777777" w:rsidTr="00242093">
        <w:trPr>
          <w:trHeight w:val="270"/>
          <w:jc w:val="center"/>
        </w:trPr>
        <w:tc>
          <w:tcPr>
            <w:tcW w:w="924" w:type="dxa"/>
            <w:shd w:val="clear" w:color="auto" w:fill="FFFFFF"/>
          </w:tcPr>
          <w:p w14:paraId="5F4613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6</w:t>
            </w:r>
          </w:p>
        </w:tc>
        <w:tc>
          <w:tcPr>
            <w:tcW w:w="1645" w:type="dxa"/>
            <w:shd w:val="clear" w:color="auto" w:fill="FFFFFF"/>
          </w:tcPr>
          <w:p w14:paraId="1E78048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1+200</w:t>
            </w:r>
          </w:p>
        </w:tc>
        <w:tc>
          <w:tcPr>
            <w:tcW w:w="1415" w:type="dxa"/>
            <w:shd w:val="clear" w:color="auto" w:fill="FFFFFF"/>
          </w:tcPr>
          <w:p w14:paraId="7D5292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Alivio</w:t>
            </w:r>
          </w:p>
        </w:tc>
        <w:tc>
          <w:tcPr>
            <w:tcW w:w="931" w:type="dxa"/>
            <w:shd w:val="clear" w:color="auto" w:fill="FFFFFF"/>
          </w:tcPr>
          <w:p w14:paraId="63BE87B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36 ‘’</w:t>
            </w:r>
          </w:p>
        </w:tc>
        <w:tc>
          <w:tcPr>
            <w:tcW w:w="1170" w:type="dxa"/>
            <w:shd w:val="clear" w:color="auto" w:fill="FFFFFF"/>
          </w:tcPr>
          <w:p w14:paraId="1F6A2AE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w:t>
            </w:r>
          </w:p>
        </w:tc>
        <w:tc>
          <w:tcPr>
            <w:tcW w:w="1120" w:type="dxa"/>
            <w:shd w:val="clear" w:color="auto" w:fill="FFFFFF"/>
          </w:tcPr>
          <w:p w14:paraId="46FD10E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TMC</w:t>
            </w:r>
          </w:p>
        </w:tc>
      </w:tr>
    </w:tbl>
    <w:p w14:paraId="0307AF0A" w14:textId="70E9910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58D2C835" w14:textId="77777777" w:rsidR="001F600C" w:rsidRPr="00285D58" w:rsidRDefault="001F600C" w:rsidP="008D1FFF">
      <w:pPr>
        <w:spacing w:line="276" w:lineRule="auto"/>
        <w:ind w:firstLine="567"/>
        <w:jc w:val="both"/>
        <w:rPr>
          <w:rFonts w:asciiTheme="minorHAnsi" w:eastAsia="Calibri" w:hAnsiTheme="minorHAnsi" w:cstheme="minorHAnsi"/>
        </w:rPr>
      </w:pPr>
    </w:p>
    <w:p w14:paraId="29576E3A"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D.6.2)</w:t>
      </w:r>
      <w:r w:rsidRPr="00285D58">
        <w:rPr>
          <w:rFonts w:asciiTheme="minorHAnsi" w:eastAsia="Calibri" w:hAnsiTheme="minorHAnsi" w:cstheme="minorHAnsi"/>
        </w:rPr>
        <w:tab/>
        <w:t>Estructuras</w:t>
      </w:r>
    </w:p>
    <w:p w14:paraId="1A2C70C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estructuras a utilizar están conformadas </w:t>
      </w:r>
      <w:sdt>
        <w:sdtPr>
          <w:rPr>
            <w:rFonts w:asciiTheme="minorHAnsi" w:hAnsiTheme="minorHAnsi" w:cstheme="minorHAnsi"/>
          </w:rPr>
          <w:tag w:val="goog_rdk_113"/>
          <w:id w:val="1272438113"/>
        </w:sdtPr>
        <w:sdtContent/>
      </w:sdt>
      <w:sdt>
        <w:sdtPr>
          <w:rPr>
            <w:rFonts w:asciiTheme="minorHAnsi" w:hAnsiTheme="minorHAnsi" w:cstheme="minorHAnsi"/>
          </w:rPr>
          <w:tag w:val="goog_rdk_114"/>
          <w:id w:val="1081795545"/>
        </w:sdtPr>
        <w:sdtContent/>
      </w:sdt>
      <w:r w:rsidRPr="00285D58">
        <w:rPr>
          <w:rFonts w:asciiTheme="minorHAnsi" w:eastAsia="Calibri" w:hAnsiTheme="minorHAnsi" w:cstheme="minorHAnsi"/>
        </w:rPr>
        <w:t xml:space="preserve">por muros </w:t>
      </w:r>
      <w:sdt>
        <w:sdtPr>
          <w:rPr>
            <w:rFonts w:asciiTheme="minorHAnsi" w:hAnsiTheme="minorHAnsi" w:cstheme="minorHAnsi"/>
          </w:rPr>
          <w:tag w:val="goog_rdk_115"/>
          <w:id w:val="1972786410"/>
        </w:sdtPr>
        <w:sdtContent/>
      </w:sdt>
      <w:sdt>
        <w:sdtPr>
          <w:rPr>
            <w:rFonts w:asciiTheme="minorHAnsi" w:hAnsiTheme="minorHAnsi" w:cstheme="minorHAnsi"/>
          </w:rPr>
          <w:tag w:val="goog_rdk_116"/>
          <w:id w:val="-325060989"/>
        </w:sdtPr>
        <w:sdtContent>
          <w:r w:rsidRPr="00285D58">
            <w:rPr>
              <w:rFonts w:asciiTheme="minorHAnsi" w:eastAsia="Calibri" w:hAnsiTheme="minorHAnsi" w:cstheme="minorHAnsi"/>
            </w:rPr>
            <w:t>de contención</w:t>
          </w:r>
        </w:sdtContent>
      </w:sdt>
      <w:r w:rsidRPr="00285D58">
        <w:rPr>
          <w:rFonts w:asciiTheme="minorHAnsi" w:eastAsia="Calibri" w:hAnsiTheme="minorHAnsi" w:cstheme="minorHAnsi"/>
        </w:rPr>
        <w:t xml:space="preserve"> ubicados en sectores en que no es posible completar la sección típica propuesta. No se requieren de obras de arte mayores, como puentes y pontones, en el desarrollo de las vías turísticas.</w:t>
      </w:r>
    </w:p>
    <w:p w14:paraId="35F0381F" w14:textId="77777777" w:rsidR="001F600C" w:rsidRPr="00285D58" w:rsidRDefault="001F600C" w:rsidP="008D1FFF">
      <w:pPr>
        <w:spacing w:line="276" w:lineRule="auto"/>
        <w:ind w:firstLine="567"/>
        <w:jc w:val="both"/>
        <w:rPr>
          <w:rFonts w:asciiTheme="minorHAnsi" w:eastAsia="Calibri" w:hAnsiTheme="minorHAnsi" w:cstheme="minorHAnsi"/>
        </w:rPr>
      </w:pPr>
    </w:p>
    <w:p w14:paraId="5BA5DA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D.7)</w:t>
      </w:r>
      <w:r w:rsidRPr="00285D58">
        <w:rPr>
          <w:rFonts w:asciiTheme="minorHAnsi" w:eastAsia="Calibri" w:hAnsiTheme="minorHAnsi" w:cstheme="minorHAnsi"/>
        </w:rPr>
        <w:tab/>
        <w:t>Diseño de Pavimento Básico</w:t>
      </w:r>
    </w:p>
    <w:p w14:paraId="04B56C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del pavimento de las dos vías turísticas de acceso vehicular al MACH, se ha tomado en cuenta la solución de estabilización de suelos con emulsiones asfálticas de rotura lenta, según especificaciones del Manual de Construcción de Carreteras del MTC (EG-2013).</w:t>
      </w:r>
    </w:p>
    <w:p w14:paraId="3F126B96" w14:textId="77777777" w:rsidR="001F600C" w:rsidRPr="00285D58" w:rsidRDefault="001F600C" w:rsidP="008D1FFF">
      <w:pPr>
        <w:spacing w:line="276" w:lineRule="auto"/>
        <w:jc w:val="both"/>
        <w:rPr>
          <w:rFonts w:asciiTheme="minorHAnsi" w:eastAsia="Calibri" w:hAnsiTheme="minorHAnsi" w:cstheme="minorHAnsi"/>
        </w:rPr>
      </w:pPr>
    </w:p>
    <w:p w14:paraId="40B637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método empleado para calcular el espesor del pavimento es la Guía AASHTO 93, que está basado en modelos desarrollados en función de la performance del pavimento, las cargas vehiculares y resistencia de la subrasante para el cálculo del Número estructural.</w:t>
      </w:r>
    </w:p>
    <w:p w14:paraId="29888DCB" w14:textId="77777777" w:rsidR="001F600C" w:rsidRPr="00285D58" w:rsidRDefault="001F600C" w:rsidP="008D1FFF">
      <w:pPr>
        <w:spacing w:line="276" w:lineRule="auto"/>
        <w:jc w:val="both"/>
        <w:rPr>
          <w:rFonts w:asciiTheme="minorHAnsi" w:eastAsia="Calibri" w:hAnsiTheme="minorHAnsi" w:cstheme="minorHAnsi"/>
        </w:rPr>
      </w:pPr>
    </w:p>
    <w:p w14:paraId="76B46D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función a los parámetros de diseño se ha determinado Números estructurales requeridos, para ambas vías turísticas; adoptando un espesor que satisfaga la ecuación y brinde el mayor confort a los usuarios. Se propone una capa de material granular estabilizado con emulsión asfáltica de rotura lenta de 0.20 m de espesor como superficie de rodadura, asentada sobre una capa anticontaminante de 0.15 m de espesor para nivelar la subrasante y evitar los efectos de capilaridad. Ver Figura 24 y Tabla 16.</w:t>
      </w:r>
    </w:p>
    <w:p w14:paraId="02C8706E" w14:textId="77777777" w:rsidR="001F600C" w:rsidRPr="00285D58" w:rsidRDefault="001F600C" w:rsidP="008D1FFF">
      <w:pPr>
        <w:spacing w:line="276" w:lineRule="auto"/>
        <w:ind w:firstLine="567"/>
        <w:jc w:val="both"/>
        <w:rPr>
          <w:rFonts w:asciiTheme="minorHAnsi" w:eastAsia="Calibri" w:hAnsiTheme="minorHAnsi" w:cstheme="minorHAnsi"/>
          <w:b/>
        </w:rPr>
      </w:pPr>
      <w:r w:rsidRPr="00285D58">
        <w:rPr>
          <w:rFonts w:asciiTheme="minorHAnsi" w:eastAsia="Calibri" w:hAnsiTheme="minorHAnsi" w:cstheme="minorHAnsi"/>
        </w:rPr>
        <w:t xml:space="preserve">    </w:t>
      </w:r>
      <w:r w:rsidRPr="00285D58">
        <w:rPr>
          <w:rFonts w:asciiTheme="minorHAnsi" w:eastAsia="Calibri" w:hAnsiTheme="minorHAnsi" w:cstheme="minorHAnsi"/>
          <w:noProof/>
          <w:lang w:val="es-PE"/>
        </w:rPr>
        <w:lastRenderedPageBreak/>
        <w:drawing>
          <wp:inline distT="0" distB="0" distL="0" distR="0" wp14:anchorId="013B68C2" wp14:editId="5F2E7D77">
            <wp:extent cx="5400675" cy="4347180"/>
            <wp:effectExtent l="0" t="0" r="0" b="0"/>
            <wp:docPr id="213361741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8"/>
                    <a:srcRect/>
                    <a:stretch>
                      <a:fillRect/>
                    </a:stretch>
                  </pic:blipFill>
                  <pic:spPr>
                    <a:xfrm>
                      <a:off x="0" y="0"/>
                      <a:ext cx="5400675" cy="4347180"/>
                    </a:xfrm>
                    <a:prstGeom prst="rect">
                      <a:avLst/>
                    </a:prstGeom>
                    <a:ln/>
                  </pic:spPr>
                </pic:pic>
              </a:graphicData>
            </a:graphic>
          </wp:inline>
        </w:drawing>
      </w:r>
    </w:p>
    <w:p w14:paraId="5E8DE43B" w14:textId="7194CF4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24: Reporte del Método AASHTO-93</w:t>
      </w:r>
      <w:r w:rsidR="00764D55" w:rsidRPr="00285D58">
        <w:rPr>
          <w:rFonts w:asciiTheme="minorHAnsi" w:eastAsia="Calibri" w:hAnsiTheme="minorHAnsi" w:cstheme="minorHAnsi"/>
        </w:rPr>
        <w:t>.</w:t>
      </w:r>
    </w:p>
    <w:p w14:paraId="04799517" w14:textId="74DFDDDB"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7593BD1" w14:textId="77777777" w:rsidR="001F600C" w:rsidRPr="00285D58" w:rsidRDefault="001F600C" w:rsidP="008D1FFF">
      <w:pPr>
        <w:spacing w:line="276" w:lineRule="auto"/>
        <w:jc w:val="both"/>
        <w:rPr>
          <w:rFonts w:asciiTheme="minorHAnsi" w:eastAsia="Calibri" w:hAnsiTheme="minorHAnsi" w:cstheme="minorHAnsi"/>
        </w:rPr>
      </w:pPr>
    </w:p>
    <w:p w14:paraId="45589E10" w14:textId="00460C40"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29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ESTRUCTURA RESULTANTE DE LAS CAPAS DEL PAVIMENTO</w:t>
      </w:r>
    </w:p>
    <w:tbl>
      <w:tblPr>
        <w:tblW w:w="6060" w:type="dxa"/>
        <w:jc w:val="center"/>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2694"/>
        <w:gridCol w:w="1405"/>
        <w:gridCol w:w="1961"/>
      </w:tblGrid>
      <w:tr w:rsidR="001F600C" w:rsidRPr="00285D58" w14:paraId="221768E6" w14:textId="77777777" w:rsidTr="00242093">
        <w:trPr>
          <w:trHeight w:val="407"/>
          <w:jc w:val="center"/>
        </w:trPr>
        <w:tc>
          <w:tcPr>
            <w:tcW w:w="2694" w:type="dxa"/>
            <w:tcBorders>
              <w:left w:val="nil"/>
              <w:right w:val="nil"/>
            </w:tcBorders>
            <w:shd w:val="clear" w:color="auto" w:fill="DEEBF6"/>
          </w:tcPr>
          <w:p w14:paraId="73B49D2F"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Capa</w:t>
            </w:r>
          </w:p>
        </w:tc>
        <w:tc>
          <w:tcPr>
            <w:tcW w:w="1405" w:type="dxa"/>
            <w:tcBorders>
              <w:left w:val="nil"/>
              <w:right w:val="nil"/>
            </w:tcBorders>
            <w:shd w:val="clear" w:color="auto" w:fill="DEEBF6"/>
          </w:tcPr>
          <w:p w14:paraId="72FEF7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Espesor</w:t>
            </w:r>
          </w:p>
        </w:tc>
        <w:tc>
          <w:tcPr>
            <w:tcW w:w="1961" w:type="dxa"/>
            <w:tcBorders>
              <w:left w:val="nil"/>
              <w:right w:val="nil"/>
            </w:tcBorders>
            <w:shd w:val="clear" w:color="auto" w:fill="DEEBF6"/>
          </w:tcPr>
          <w:p w14:paraId="3A7B2A6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Especificación</w:t>
            </w:r>
          </w:p>
        </w:tc>
      </w:tr>
      <w:tr w:rsidR="001F600C" w:rsidRPr="00285D58" w14:paraId="567EF2F0" w14:textId="77777777" w:rsidTr="00242093">
        <w:trPr>
          <w:trHeight w:val="702"/>
          <w:jc w:val="center"/>
        </w:trPr>
        <w:tc>
          <w:tcPr>
            <w:tcW w:w="2694" w:type="dxa"/>
            <w:tcBorders>
              <w:right w:val="single" w:sz="4" w:space="0" w:color="000000"/>
            </w:tcBorders>
          </w:tcPr>
          <w:p w14:paraId="771FF6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estabilizado con emulsión asfáltica</w:t>
            </w:r>
          </w:p>
        </w:tc>
        <w:tc>
          <w:tcPr>
            <w:tcW w:w="1405" w:type="dxa"/>
            <w:tcBorders>
              <w:left w:val="single" w:sz="4" w:space="0" w:color="000000"/>
            </w:tcBorders>
          </w:tcPr>
          <w:p w14:paraId="2031264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0.20 m</w:t>
            </w:r>
          </w:p>
        </w:tc>
        <w:tc>
          <w:tcPr>
            <w:tcW w:w="1961" w:type="dxa"/>
          </w:tcPr>
          <w:p w14:paraId="18963BC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CBR 40% mínimo</w:t>
            </w:r>
          </w:p>
        </w:tc>
      </w:tr>
      <w:tr w:rsidR="001F600C" w:rsidRPr="00285D58" w14:paraId="157789E5" w14:textId="77777777" w:rsidTr="00242093">
        <w:trPr>
          <w:trHeight w:val="556"/>
          <w:jc w:val="center"/>
        </w:trPr>
        <w:tc>
          <w:tcPr>
            <w:tcW w:w="2694" w:type="dxa"/>
            <w:tcBorders>
              <w:right w:val="single" w:sz="4" w:space="0" w:color="000000"/>
            </w:tcBorders>
          </w:tcPr>
          <w:p w14:paraId="5F3AD8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Capa anticontaminante</w:t>
            </w:r>
          </w:p>
        </w:tc>
        <w:tc>
          <w:tcPr>
            <w:tcW w:w="1405" w:type="dxa"/>
            <w:tcBorders>
              <w:left w:val="single" w:sz="4" w:space="0" w:color="000000"/>
            </w:tcBorders>
          </w:tcPr>
          <w:p w14:paraId="6F86DA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0.15 m</w:t>
            </w:r>
          </w:p>
        </w:tc>
        <w:tc>
          <w:tcPr>
            <w:tcW w:w="1961" w:type="dxa"/>
          </w:tcPr>
          <w:p w14:paraId="2383E1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Material granular CBR 40% mínimo</w:t>
            </w:r>
          </w:p>
        </w:tc>
      </w:tr>
      <w:tr w:rsidR="001F600C" w:rsidRPr="00285D58" w14:paraId="4C7AF55C" w14:textId="77777777" w:rsidTr="00242093">
        <w:trPr>
          <w:trHeight w:val="407"/>
          <w:jc w:val="center"/>
        </w:trPr>
        <w:tc>
          <w:tcPr>
            <w:tcW w:w="2694" w:type="dxa"/>
            <w:tcBorders>
              <w:bottom w:val="single" w:sz="4" w:space="0" w:color="000000"/>
              <w:right w:val="single" w:sz="4" w:space="0" w:color="000000"/>
            </w:tcBorders>
          </w:tcPr>
          <w:p w14:paraId="25F1CA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Subrasante</w:t>
            </w:r>
          </w:p>
        </w:tc>
        <w:tc>
          <w:tcPr>
            <w:tcW w:w="1405" w:type="dxa"/>
            <w:tcBorders>
              <w:left w:val="single" w:sz="4" w:space="0" w:color="000000"/>
              <w:bottom w:val="single" w:sz="4" w:space="0" w:color="000000"/>
            </w:tcBorders>
          </w:tcPr>
          <w:p w14:paraId="47E695E3"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w:t>
            </w:r>
          </w:p>
        </w:tc>
        <w:tc>
          <w:tcPr>
            <w:tcW w:w="1961" w:type="dxa"/>
            <w:tcBorders>
              <w:bottom w:val="single" w:sz="4" w:space="0" w:color="000000"/>
            </w:tcBorders>
          </w:tcPr>
          <w:p w14:paraId="741108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CBR de diseño</w:t>
            </w:r>
          </w:p>
        </w:tc>
      </w:tr>
    </w:tbl>
    <w:p w14:paraId="2423A3F7" w14:textId="4B6EB7FA"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0655F088" w14:textId="77777777" w:rsidR="001F600C" w:rsidRPr="00285D58" w:rsidRDefault="001F600C" w:rsidP="008D1FFF">
      <w:pPr>
        <w:spacing w:line="276" w:lineRule="auto"/>
        <w:ind w:firstLine="567"/>
        <w:jc w:val="both"/>
        <w:rPr>
          <w:rFonts w:asciiTheme="minorHAnsi" w:eastAsia="Calibri" w:hAnsiTheme="minorHAnsi" w:cstheme="minorHAnsi"/>
        </w:rPr>
      </w:pPr>
    </w:p>
    <w:p w14:paraId="29F954EB"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b/>
          <w:smallCaps/>
          <w:color w:val="000000"/>
        </w:rPr>
      </w:pPr>
      <w:r w:rsidRPr="00285D58">
        <w:rPr>
          <w:rFonts w:asciiTheme="minorHAnsi" w:eastAsia="Calibri" w:hAnsiTheme="minorHAnsi" w:cstheme="minorHAnsi"/>
          <w:b/>
          <w:smallCaps/>
          <w:color w:val="000000"/>
        </w:rPr>
        <w:t>Diseño de Señalización y Seguridad Vial</w:t>
      </w:r>
    </w:p>
    <w:p w14:paraId="5D3B88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 Señalización y Seguridad Vial ha sido realizado con el propósito de contribuir al mejoramiento en el control y ordenamiento del tránsito vehicular de las vías turísticas de acceso vehicular al MACH, y según lo establecido en el Manual de Dispositivos de Control de Tránsito </w:t>
      </w:r>
      <w:r w:rsidRPr="00285D58">
        <w:rPr>
          <w:rFonts w:asciiTheme="minorHAnsi" w:eastAsia="Calibri" w:hAnsiTheme="minorHAnsi" w:cstheme="minorHAnsi"/>
        </w:rPr>
        <w:lastRenderedPageBreak/>
        <w:t>Automotor para calles y carreteras 2016, del MTC.</w:t>
      </w:r>
    </w:p>
    <w:p w14:paraId="4FE100EC" w14:textId="77777777" w:rsidR="001F600C" w:rsidRPr="00285D58" w:rsidRDefault="001F600C" w:rsidP="008D1FFF">
      <w:pPr>
        <w:spacing w:line="276" w:lineRule="auto"/>
        <w:jc w:val="both"/>
        <w:rPr>
          <w:rFonts w:asciiTheme="minorHAnsi" w:eastAsia="Calibri" w:hAnsiTheme="minorHAnsi" w:cstheme="minorHAnsi"/>
        </w:rPr>
      </w:pPr>
    </w:p>
    <w:p w14:paraId="05ED2F6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D.8.1)</w:t>
      </w:r>
      <w:r w:rsidRPr="00285D58">
        <w:rPr>
          <w:rFonts w:asciiTheme="minorHAnsi" w:eastAsia="Calibri" w:hAnsiTheme="minorHAnsi" w:cstheme="minorHAnsi"/>
        </w:rPr>
        <w:tab/>
        <w:t>Señalización Vertical</w:t>
      </w:r>
    </w:p>
    <w:p w14:paraId="7740822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a) Señales Reglamentarias</w:t>
      </w:r>
    </w:p>
    <w:p w14:paraId="00CEA037" w14:textId="77777777" w:rsidR="001F600C" w:rsidRPr="00285D58" w:rsidRDefault="001F600C" w:rsidP="008D1FFF">
      <w:pPr>
        <w:spacing w:line="276" w:lineRule="auto"/>
        <w:jc w:val="both"/>
        <w:rPr>
          <w:rFonts w:asciiTheme="minorHAnsi" w:eastAsia="Calibri" w:hAnsiTheme="minorHAnsi" w:cstheme="minorHAnsi"/>
        </w:rPr>
      </w:pPr>
    </w:p>
    <w:p w14:paraId="11E5035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inclusión de señales reglamentarias generará un ordenamiento en el tránsito vehicular, además de dar a conocer al usuario de la vía sobre la existencia de las limitaciones y prohibiciones que regulan su uso. En el presente estudio se ha considerado la utilización de señales de carácter reglamentario, dentro de la clasificación de señales relativas al derecho de paso, prohibitivas o restrictivas y de sentido de circulación.</w:t>
      </w:r>
    </w:p>
    <w:p w14:paraId="19BF1F7E" w14:textId="77777777" w:rsidR="001F600C" w:rsidRPr="00285D58" w:rsidRDefault="001F600C" w:rsidP="008D1FFF">
      <w:pPr>
        <w:spacing w:line="276" w:lineRule="auto"/>
        <w:jc w:val="both"/>
        <w:rPr>
          <w:rFonts w:asciiTheme="minorHAnsi" w:eastAsia="Calibri" w:hAnsiTheme="minorHAnsi" w:cstheme="minorHAnsi"/>
        </w:rPr>
      </w:pPr>
    </w:p>
    <w:p w14:paraId="5427EA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paneles de las señales se fabricarán con planchas de fibra de vidrio de 4 mm de espesor con resina poliéster y con una cara de textura similar al vidrio. La parte posterior del panel se pintará con doble mano de pintura esmalte de color negro.</w:t>
      </w:r>
    </w:p>
    <w:p w14:paraId="1A6750EB" w14:textId="77777777" w:rsidR="001F600C" w:rsidRPr="00285D58" w:rsidRDefault="001F600C" w:rsidP="008D1FFF">
      <w:pPr>
        <w:spacing w:line="276" w:lineRule="auto"/>
        <w:jc w:val="both"/>
        <w:rPr>
          <w:rFonts w:asciiTheme="minorHAnsi" w:eastAsia="Calibri" w:hAnsiTheme="minorHAnsi" w:cstheme="minorHAnsi"/>
        </w:rPr>
      </w:pPr>
    </w:p>
    <w:p w14:paraId="0897F7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postes de fijación o soporte de las señales serán de concreto armado prefabricado, los mismos que deberán pintarse con esmalte color negro y blanco, en franjas horizontales de 0.50 m. Las dimensiones, especificaciones y detalles constructivos están indicados en los planos que se adjuntan.</w:t>
      </w:r>
    </w:p>
    <w:p w14:paraId="48EC8F19" w14:textId="77777777" w:rsidR="001F600C" w:rsidRPr="00285D58" w:rsidRDefault="001F600C" w:rsidP="008D1FFF">
      <w:pPr>
        <w:spacing w:line="276" w:lineRule="auto"/>
        <w:jc w:val="both"/>
        <w:rPr>
          <w:rFonts w:asciiTheme="minorHAnsi" w:eastAsia="Calibri" w:hAnsiTheme="minorHAnsi" w:cstheme="minorHAnsi"/>
        </w:rPr>
      </w:pPr>
    </w:p>
    <w:p w14:paraId="363A9DD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Reglamentarias que serán utilizadas en el Proyecto. Ver Figura 25.</w:t>
      </w:r>
    </w:p>
    <w:p w14:paraId="01C5AF80" w14:textId="77777777" w:rsidR="001F600C" w:rsidRPr="00285D58" w:rsidRDefault="001F600C" w:rsidP="008D1FFF">
      <w:pPr>
        <w:spacing w:line="276" w:lineRule="auto"/>
        <w:jc w:val="both"/>
        <w:rPr>
          <w:rFonts w:asciiTheme="minorHAnsi" w:eastAsia="Calibri" w:hAnsiTheme="minorHAnsi" w:cstheme="minorHAnsi"/>
        </w:rPr>
      </w:pPr>
    </w:p>
    <w:p w14:paraId="17EA810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Señales restrictivas o prohibitivas; de forma rectangular de 0.60x0.60 m, de fondo de color blanco con símbolo y marco negros, círculo de color rojo, así como la franja oblicua trazada del cuadrante superior izquierdo al cuadrante inferior derecho, que representa prohibición.</w:t>
      </w:r>
    </w:p>
    <w:p w14:paraId="1A6537A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Señales relativas al derecho de paso; señal “Pare” (R-1) de forma octogonal de 0.60 m entre lados paralelos, de fondo color rojo, letras y marco con tinta xerográfica de color blanco.</w:t>
      </w:r>
    </w:p>
    <w:p w14:paraId="3815A69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(R-16) Señal Prohibido Adelantar, de forma y colores correspondientes a las señales prohibitivas. Se utilizará para indicar al conductor la prohibición de adelantar a otro vehículo, motivado generalmente por limitación de visibilidad. Se colocará al comienzo de las zonas de limitación.</w:t>
      </w:r>
    </w:p>
    <w:p w14:paraId="31A3BD6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(R-30) Señal Velocidad Máxima, se utiliza para indicar la velocidad máxima permitida, según la velocidad directriz del proyecto, a la cual podrán circular los vehículos. Estas señales serán colocadas para recordar al usuario la velocidad reglamentaria y cuando por razones de las características geométricas de la vía o aproximación a determinadas zonas (urbanas, colegios, etc.), deben restringirse la velocidad.</w:t>
      </w:r>
    </w:p>
    <w:p w14:paraId="71A6D3A3"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28121AA3" w14:textId="77777777" w:rsidR="001F600C" w:rsidRPr="00285D58" w:rsidRDefault="001F600C" w:rsidP="008D1FFF">
      <w:pPr>
        <w:spacing w:line="276" w:lineRule="auto"/>
        <w:ind w:left="927"/>
        <w:jc w:val="both"/>
        <w:rPr>
          <w:rFonts w:asciiTheme="minorHAnsi" w:eastAsia="Calibri" w:hAnsiTheme="minorHAnsi" w:cstheme="minorHAnsi"/>
        </w:rPr>
      </w:pPr>
    </w:p>
    <w:tbl>
      <w:tblPr>
        <w:tblW w:w="7508"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2405"/>
        <w:gridCol w:w="2693"/>
        <w:gridCol w:w="2410"/>
      </w:tblGrid>
      <w:tr w:rsidR="001F600C" w:rsidRPr="00285D58" w14:paraId="14EC7B17" w14:textId="77777777" w:rsidTr="00242093">
        <w:trPr>
          <w:jc w:val="center"/>
        </w:trPr>
        <w:tc>
          <w:tcPr>
            <w:tcW w:w="2405" w:type="dxa"/>
          </w:tcPr>
          <w:p w14:paraId="5994B3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159037C5" wp14:editId="58B830F8">
                  <wp:extent cx="1008000" cy="1001902"/>
                  <wp:effectExtent l="0" t="0" r="0" b="0"/>
                  <wp:docPr id="213361741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9"/>
                          <a:srcRect/>
                          <a:stretch>
                            <a:fillRect/>
                          </a:stretch>
                        </pic:blipFill>
                        <pic:spPr>
                          <a:xfrm>
                            <a:off x="0" y="0"/>
                            <a:ext cx="1008000" cy="1001902"/>
                          </a:xfrm>
                          <a:prstGeom prst="rect">
                            <a:avLst/>
                          </a:prstGeom>
                          <a:ln/>
                        </pic:spPr>
                      </pic:pic>
                    </a:graphicData>
                  </a:graphic>
                </wp:inline>
              </w:drawing>
            </w:r>
          </w:p>
        </w:tc>
        <w:tc>
          <w:tcPr>
            <w:tcW w:w="2693" w:type="dxa"/>
          </w:tcPr>
          <w:p w14:paraId="38C8A88D"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D3B80F9" wp14:editId="5ECF92FE">
                  <wp:extent cx="1008000" cy="1001828"/>
                  <wp:effectExtent l="0" t="0" r="0" b="0"/>
                  <wp:docPr id="2133617417" name="image57.png" descr="Un dibujo de una señal de tránsi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57.png" descr="Un dibujo de una señal de tránsito&#10;&#10;Descripción generada automáticamente con confianza media"/>
                          <pic:cNvPicPr preferRelativeResize="0"/>
                        </pic:nvPicPr>
                        <pic:blipFill>
                          <a:blip r:embed="rId80"/>
                          <a:srcRect/>
                          <a:stretch>
                            <a:fillRect/>
                          </a:stretch>
                        </pic:blipFill>
                        <pic:spPr>
                          <a:xfrm>
                            <a:off x="0" y="0"/>
                            <a:ext cx="1008000" cy="1001828"/>
                          </a:xfrm>
                          <a:prstGeom prst="rect">
                            <a:avLst/>
                          </a:prstGeom>
                          <a:ln/>
                        </pic:spPr>
                      </pic:pic>
                    </a:graphicData>
                  </a:graphic>
                </wp:inline>
              </w:drawing>
            </w:r>
          </w:p>
        </w:tc>
        <w:tc>
          <w:tcPr>
            <w:tcW w:w="2410" w:type="dxa"/>
          </w:tcPr>
          <w:p w14:paraId="04F70E4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C46FF80" wp14:editId="2AC4BA8D">
                  <wp:extent cx="1008000" cy="1010063"/>
                  <wp:effectExtent l="0" t="0" r="0" b="0"/>
                  <wp:docPr id="2133617407"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81"/>
                          <a:srcRect/>
                          <a:stretch>
                            <a:fillRect/>
                          </a:stretch>
                        </pic:blipFill>
                        <pic:spPr>
                          <a:xfrm>
                            <a:off x="0" y="0"/>
                            <a:ext cx="1008000" cy="1010063"/>
                          </a:xfrm>
                          <a:prstGeom prst="rect">
                            <a:avLst/>
                          </a:prstGeom>
                          <a:ln/>
                        </pic:spPr>
                      </pic:pic>
                    </a:graphicData>
                  </a:graphic>
                </wp:inline>
              </w:drawing>
            </w:r>
          </w:p>
        </w:tc>
      </w:tr>
      <w:tr w:rsidR="001F600C" w:rsidRPr="00285D58" w14:paraId="6D14BEC8" w14:textId="77777777" w:rsidTr="00242093">
        <w:trPr>
          <w:jc w:val="center"/>
        </w:trPr>
        <w:tc>
          <w:tcPr>
            <w:tcW w:w="2405" w:type="dxa"/>
          </w:tcPr>
          <w:p w14:paraId="4F3AD00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R-1</w:t>
            </w:r>
          </w:p>
        </w:tc>
        <w:tc>
          <w:tcPr>
            <w:tcW w:w="2693" w:type="dxa"/>
          </w:tcPr>
          <w:p w14:paraId="1E4BC9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R-16</w:t>
            </w:r>
          </w:p>
        </w:tc>
        <w:tc>
          <w:tcPr>
            <w:tcW w:w="2410" w:type="dxa"/>
          </w:tcPr>
          <w:p w14:paraId="5C77701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R-30</w:t>
            </w:r>
          </w:p>
        </w:tc>
      </w:tr>
    </w:tbl>
    <w:p w14:paraId="4FE7EBFA" w14:textId="04C63EF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25: Señales Reglamentarias</w:t>
      </w:r>
      <w:r w:rsidR="00764D55" w:rsidRPr="00285D58">
        <w:rPr>
          <w:rFonts w:asciiTheme="minorHAnsi" w:eastAsia="Calibri" w:hAnsiTheme="minorHAnsi" w:cstheme="minorHAnsi"/>
        </w:rPr>
        <w:t>.</w:t>
      </w:r>
    </w:p>
    <w:p w14:paraId="0F54B043" w14:textId="44698E19"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3EFAB708" w14:textId="77777777" w:rsidR="001F600C" w:rsidRPr="00285D58" w:rsidRDefault="001F600C" w:rsidP="008D1FFF">
      <w:pPr>
        <w:spacing w:line="276" w:lineRule="auto"/>
        <w:ind w:firstLine="567"/>
        <w:jc w:val="both"/>
        <w:rPr>
          <w:rFonts w:asciiTheme="minorHAnsi" w:eastAsia="Calibri" w:hAnsiTheme="minorHAnsi" w:cstheme="minorHAnsi"/>
        </w:rPr>
      </w:pPr>
    </w:p>
    <w:p w14:paraId="334C8CB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b) Señales Preventivas </w:t>
      </w:r>
    </w:p>
    <w:p w14:paraId="1ABE3387" w14:textId="77777777" w:rsidR="001F600C" w:rsidRPr="00285D58" w:rsidRDefault="001F600C" w:rsidP="008D1FFF">
      <w:pPr>
        <w:spacing w:line="276" w:lineRule="auto"/>
        <w:jc w:val="both"/>
        <w:rPr>
          <w:rFonts w:asciiTheme="minorHAnsi" w:eastAsia="Calibri" w:hAnsiTheme="minorHAnsi" w:cstheme="minorHAnsi"/>
        </w:rPr>
      </w:pPr>
    </w:p>
    <w:p w14:paraId="0DCB71A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Serán ubicadas y diseñadas según el alineamiento de la vía, en las zonas que representan un peligro real o potencial, que puede ser evitado disminuyendo la velocidad del vehículo o tomando las precauciones del caso.</w:t>
      </w:r>
    </w:p>
    <w:p w14:paraId="50D2C7B6" w14:textId="77777777" w:rsidR="001F600C" w:rsidRPr="00285D58" w:rsidRDefault="001F600C" w:rsidP="008D1FFF">
      <w:pPr>
        <w:spacing w:line="276" w:lineRule="auto"/>
        <w:jc w:val="both"/>
        <w:rPr>
          <w:rFonts w:asciiTheme="minorHAnsi" w:eastAsia="Calibri" w:hAnsiTheme="minorHAnsi" w:cstheme="minorHAnsi"/>
        </w:rPr>
      </w:pPr>
    </w:p>
    <w:p w14:paraId="414480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preventivas tienen una dimensión de 0.60 x 0.60 m con fondo de material retro reflectante de color amarillo; los símbolos, letras y borde del marco se pintarán con tinta xerográfica de color negro.</w:t>
      </w:r>
    </w:p>
    <w:p w14:paraId="7C1524A7" w14:textId="77777777" w:rsidR="001F600C" w:rsidRPr="00285D58" w:rsidRDefault="001F600C" w:rsidP="008D1FFF">
      <w:pPr>
        <w:spacing w:line="276" w:lineRule="auto"/>
        <w:jc w:val="both"/>
        <w:rPr>
          <w:rFonts w:asciiTheme="minorHAnsi" w:eastAsia="Calibri" w:hAnsiTheme="minorHAnsi" w:cstheme="minorHAnsi"/>
        </w:rPr>
      </w:pPr>
    </w:p>
    <w:p w14:paraId="522C04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paneles de las señales serán fabricados en fibra de vidrio de 4 mm de espesor con resina poliéster y una cara de textura similar al vidrio. La parte posterior de los paneles se pintará con dos manos de pintura esmalte de color negro.</w:t>
      </w:r>
    </w:p>
    <w:p w14:paraId="7DA5D612" w14:textId="77777777" w:rsidR="001F600C" w:rsidRPr="00285D58" w:rsidRDefault="001F600C" w:rsidP="008D1FFF">
      <w:pPr>
        <w:spacing w:line="276" w:lineRule="auto"/>
        <w:jc w:val="both"/>
        <w:rPr>
          <w:rFonts w:asciiTheme="minorHAnsi" w:eastAsia="Calibri" w:hAnsiTheme="minorHAnsi" w:cstheme="minorHAnsi"/>
        </w:rPr>
      </w:pPr>
    </w:p>
    <w:p w14:paraId="5E126A1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postes de fijación o soporte de las señales serán de concreto armado prefabricado, los mismos que deberán pintarse con esmalte color negro y blanco, en franjas horizontales de 0.50 m. Las dimensiones, especificaciones y detalles constructivos están indicados en los planos.</w:t>
      </w:r>
    </w:p>
    <w:p w14:paraId="037C265C" w14:textId="77777777" w:rsidR="001F600C" w:rsidRPr="00285D58" w:rsidRDefault="001F600C" w:rsidP="008D1FFF">
      <w:pPr>
        <w:spacing w:line="276" w:lineRule="auto"/>
        <w:jc w:val="both"/>
        <w:rPr>
          <w:rFonts w:asciiTheme="minorHAnsi" w:eastAsia="Calibri" w:hAnsiTheme="minorHAnsi" w:cstheme="minorHAnsi"/>
        </w:rPr>
      </w:pPr>
    </w:p>
    <w:p w14:paraId="4CD847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Preventivas que serán utilizadas en el Proyecto. Ver Figura 26.</w:t>
      </w:r>
    </w:p>
    <w:p w14:paraId="203CD10C" w14:textId="77777777" w:rsidR="001F600C" w:rsidRPr="00285D58" w:rsidRDefault="001F600C" w:rsidP="008D1FFF">
      <w:pPr>
        <w:spacing w:line="276" w:lineRule="auto"/>
        <w:jc w:val="both"/>
        <w:rPr>
          <w:rFonts w:asciiTheme="minorHAnsi" w:eastAsia="Calibri" w:hAnsiTheme="minorHAnsi" w:cstheme="minorHAnsi"/>
        </w:rPr>
      </w:pPr>
    </w:p>
    <w:p w14:paraId="582C8C6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(P-1ª) Señal de curva pronunciada a la derecha, (P-1B) Señal de curva pronunciada a la izquierda, serán utilizadas para prevenir la presencia de curvas de radio menor de 40 m y para aquellas de 40 a 80 m de radio, cuyo ángulo de deflexión sea mayor de 45°.</w:t>
      </w:r>
    </w:p>
    <w:p w14:paraId="401248F8"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(P-2ª) Señal Curva a la Derecha, (P-2B) a la Izquierda, se usarán para prevenir la presencia de curvas de radio de 40 m a 300 m con ángulo de deflexiones menor de 45º y para aquellas de radio entre 80 y 300 m cuyo ángulo de deflexión sea mayor de 45º.</w:t>
      </w:r>
    </w:p>
    <w:p w14:paraId="188622DF"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(P-3B) Señal Curva y Contracurva pronunciada de izquierda a la Derecha, (P-4B) Señal Curva y Contracurva de izquierda a derecha, se usarán para advertir la proximidad de curvas y contracurvas ya sean pronunciadas o moderadas.</w:t>
      </w:r>
    </w:p>
    <w:p w14:paraId="6CF47124"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(P-5-1) Señal de camino sinuoso a la derecha, (P-5-1ª) Señal de camino sinuoso a la izquierda, se utilizarán para advertir al conductor la proximidad de un camino sinuoso.</w:t>
      </w:r>
    </w:p>
    <w:p w14:paraId="78A571C1"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(P-5-2ª) Señal Curva en U a la derecha, (P-5-2B) Curva en U a la Izquierda, se emplearán para prevenir la presencia de curvas cuyas características geométricas la hacen sumamente pronunciadas.</w:t>
      </w:r>
    </w:p>
    <w:p w14:paraId="7E09E6BB"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(P-34) Proximidad de Badén, se utilizarán para advertir al conductor de la proximidad de un badén.</w:t>
      </w:r>
    </w:p>
    <w:p w14:paraId="5CE58A3E"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6CF56588" w14:textId="77777777" w:rsidR="001F600C" w:rsidRPr="00285D58" w:rsidRDefault="001F600C" w:rsidP="008D1FFF">
      <w:pPr>
        <w:spacing w:line="276" w:lineRule="auto"/>
        <w:jc w:val="both"/>
        <w:rPr>
          <w:rFonts w:asciiTheme="minorHAnsi" w:eastAsia="Calibri" w:hAnsiTheme="minorHAnsi" w:cstheme="minorHAnsi"/>
        </w:rPr>
      </w:pPr>
    </w:p>
    <w:tbl>
      <w:tblPr>
        <w:tblW w:w="7777"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2554"/>
        <w:gridCol w:w="1349"/>
        <w:gridCol w:w="1344"/>
        <w:gridCol w:w="2530"/>
      </w:tblGrid>
      <w:tr w:rsidR="001F600C" w:rsidRPr="00285D58" w14:paraId="17ECF90F" w14:textId="77777777" w:rsidTr="00242093">
        <w:trPr>
          <w:jc w:val="center"/>
        </w:trPr>
        <w:tc>
          <w:tcPr>
            <w:tcW w:w="2554" w:type="dxa"/>
          </w:tcPr>
          <w:p w14:paraId="1D44F9A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8358006" wp14:editId="177D46FD">
                  <wp:extent cx="1067865" cy="1080000"/>
                  <wp:effectExtent l="0" t="0" r="0" b="0"/>
                  <wp:docPr id="2133617398" name="image42.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2.png" descr="Un dibujo de una señal de alto&#10;&#10;Descripción generada automáticamente con confianza media"/>
                          <pic:cNvPicPr preferRelativeResize="0"/>
                        </pic:nvPicPr>
                        <pic:blipFill>
                          <a:blip r:embed="rId82"/>
                          <a:srcRect/>
                          <a:stretch>
                            <a:fillRect/>
                          </a:stretch>
                        </pic:blipFill>
                        <pic:spPr>
                          <a:xfrm>
                            <a:off x="0" y="0"/>
                            <a:ext cx="1067865" cy="1080000"/>
                          </a:xfrm>
                          <a:prstGeom prst="rect">
                            <a:avLst/>
                          </a:prstGeom>
                          <a:ln/>
                        </pic:spPr>
                      </pic:pic>
                    </a:graphicData>
                  </a:graphic>
                </wp:inline>
              </w:drawing>
            </w:r>
          </w:p>
        </w:tc>
        <w:tc>
          <w:tcPr>
            <w:tcW w:w="2693" w:type="dxa"/>
            <w:gridSpan w:val="2"/>
          </w:tcPr>
          <w:p w14:paraId="7A2A878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C192576" wp14:editId="2BBEF9A2">
                  <wp:extent cx="1070314" cy="1080000"/>
                  <wp:effectExtent l="0" t="0" r="0" b="0"/>
                  <wp:docPr id="2133617399" name="image41.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41.png" descr="Un dibujo de una señal de alto&#10;&#10;Descripción generada automáticamente con confianza baja"/>
                          <pic:cNvPicPr preferRelativeResize="0"/>
                        </pic:nvPicPr>
                        <pic:blipFill>
                          <a:blip r:embed="rId83"/>
                          <a:srcRect/>
                          <a:stretch>
                            <a:fillRect/>
                          </a:stretch>
                        </pic:blipFill>
                        <pic:spPr>
                          <a:xfrm>
                            <a:off x="0" y="0"/>
                            <a:ext cx="1070314" cy="1080000"/>
                          </a:xfrm>
                          <a:prstGeom prst="rect">
                            <a:avLst/>
                          </a:prstGeom>
                          <a:ln/>
                        </pic:spPr>
                      </pic:pic>
                    </a:graphicData>
                  </a:graphic>
                </wp:inline>
              </w:drawing>
            </w:r>
          </w:p>
        </w:tc>
        <w:tc>
          <w:tcPr>
            <w:tcW w:w="2530" w:type="dxa"/>
          </w:tcPr>
          <w:p w14:paraId="4C9F578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87B868E" wp14:editId="15E5D319">
                  <wp:extent cx="1099636" cy="1080000"/>
                  <wp:effectExtent l="0" t="0" r="0" b="0"/>
                  <wp:docPr id="2133617400" name="image40.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0.png" descr="Un dibujo de una señal de alto&#10;&#10;Descripción generada automáticamente con confianza media"/>
                          <pic:cNvPicPr preferRelativeResize="0"/>
                        </pic:nvPicPr>
                        <pic:blipFill>
                          <a:blip r:embed="rId84"/>
                          <a:srcRect/>
                          <a:stretch>
                            <a:fillRect/>
                          </a:stretch>
                        </pic:blipFill>
                        <pic:spPr>
                          <a:xfrm>
                            <a:off x="0" y="0"/>
                            <a:ext cx="1099636" cy="1080000"/>
                          </a:xfrm>
                          <a:prstGeom prst="rect">
                            <a:avLst/>
                          </a:prstGeom>
                          <a:ln/>
                        </pic:spPr>
                      </pic:pic>
                    </a:graphicData>
                  </a:graphic>
                </wp:inline>
              </w:drawing>
            </w:r>
          </w:p>
        </w:tc>
      </w:tr>
      <w:tr w:rsidR="001F600C" w:rsidRPr="00285D58" w14:paraId="3B62F7BA" w14:textId="77777777" w:rsidTr="00242093">
        <w:trPr>
          <w:jc w:val="center"/>
        </w:trPr>
        <w:tc>
          <w:tcPr>
            <w:tcW w:w="2554" w:type="dxa"/>
          </w:tcPr>
          <w:p w14:paraId="791B7E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P-1ª</w:t>
            </w:r>
          </w:p>
        </w:tc>
        <w:tc>
          <w:tcPr>
            <w:tcW w:w="2693" w:type="dxa"/>
            <w:gridSpan w:val="2"/>
          </w:tcPr>
          <w:p w14:paraId="2ECA3A1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P-1B</w:t>
            </w:r>
          </w:p>
        </w:tc>
        <w:tc>
          <w:tcPr>
            <w:tcW w:w="2530" w:type="dxa"/>
          </w:tcPr>
          <w:p w14:paraId="1F23CC5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P-2ª</w:t>
            </w:r>
          </w:p>
        </w:tc>
      </w:tr>
      <w:tr w:rsidR="001F600C" w:rsidRPr="00285D58" w14:paraId="1D7711D7" w14:textId="77777777" w:rsidTr="00242093">
        <w:trPr>
          <w:jc w:val="center"/>
        </w:trPr>
        <w:tc>
          <w:tcPr>
            <w:tcW w:w="2554" w:type="dxa"/>
          </w:tcPr>
          <w:p w14:paraId="5EC67768"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CE033EF" wp14:editId="3035271A">
                  <wp:extent cx="1061053" cy="1080000"/>
                  <wp:effectExtent l="0" t="0" r="0" b="0"/>
                  <wp:docPr id="2133617401" name="image44.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4.png" descr="Un dibujo de una señal de alto&#10;&#10;Descripción generada automáticamente con confianza media"/>
                          <pic:cNvPicPr preferRelativeResize="0"/>
                        </pic:nvPicPr>
                        <pic:blipFill>
                          <a:blip r:embed="rId85"/>
                          <a:srcRect/>
                          <a:stretch>
                            <a:fillRect/>
                          </a:stretch>
                        </pic:blipFill>
                        <pic:spPr>
                          <a:xfrm>
                            <a:off x="0" y="0"/>
                            <a:ext cx="1061053" cy="1080000"/>
                          </a:xfrm>
                          <a:prstGeom prst="rect">
                            <a:avLst/>
                          </a:prstGeom>
                          <a:ln/>
                        </pic:spPr>
                      </pic:pic>
                    </a:graphicData>
                  </a:graphic>
                </wp:inline>
              </w:drawing>
            </w:r>
          </w:p>
        </w:tc>
        <w:tc>
          <w:tcPr>
            <w:tcW w:w="2693" w:type="dxa"/>
            <w:gridSpan w:val="2"/>
          </w:tcPr>
          <w:p w14:paraId="7EDFACA4"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0229CAAB" wp14:editId="1850BAC5">
                  <wp:extent cx="1060969" cy="1080000"/>
                  <wp:effectExtent l="0" t="0" r="0" b="0"/>
                  <wp:docPr id="2133617402" name="image39.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39.png" descr="Un dibujo de una señal de alto&#10;&#10;Descripción generada automáticamente con confianza baja"/>
                          <pic:cNvPicPr preferRelativeResize="0"/>
                        </pic:nvPicPr>
                        <pic:blipFill>
                          <a:blip r:embed="rId86"/>
                          <a:srcRect/>
                          <a:stretch>
                            <a:fillRect/>
                          </a:stretch>
                        </pic:blipFill>
                        <pic:spPr>
                          <a:xfrm>
                            <a:off x="0" y="0"/>
                            <a:ext cx="1060969" cy="1080000"/>
                          </a:xfrm>
                          <a:prstGeom prst="rect">
                            <a:avLst/>
                          </a:prstGeom>
                          <a:ln/>
                        </pic:spPr>
                      </pic:pic>
                    </a:graphicData>
                  </a:graphic>
                </wp:inline>
              </w:drawing>
            </w:r>
          </w:p>
        </w:tc>
        <w:tc>
          <w:tcPr>
            <w:tcW w:w="2530" w:type="dxa"/>
          </w:tcPr>
          <w:p w14:paraId="65EF03F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C19D755" wp14:editId="3666B876">
                  <wp:extent cx="1077589" cy="1080000"/>
                  <wp:effectExtent l="0" t="0" r="0" b="0"/>
                  <wp:docPr id="2133617403" name="image48.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48.png" descr="Un dibujo de una señal de alto&#10;&#10;Descripción generada automáticamente con confianza baja"/>
                          <pic:cNvPicPr preferRelativeResize="0"/>
                        </pic:nvPicPr>
                        <pic:blipFill>
                          <a:blip r:embed="rId87"/>
                          <a:srcRect/>
                          <a:stretch>
                            <a:fillRect/>
                          </a:stretch>
                        </pic:blipFill>
                        <pic:spPr>
                          <a:xfrm>
                            <a:off x="0" y="0"/>
                            <a:ext cx="1077589" cy="1080000"/>
                          </a:xfrm>
                          <a:prstGeom prst="rect">
                            <a:avLst/>
                          </a:prstGeom>
                          <a:ln/>
                        </pic:spPr>
                      </pic:pic>
                    </a:graphicData>
                  </a:graphic>
                </wp:inline>
              </w:drawing>
            </w:r>
          </w:p>
        </w:tc>
      </w:tr>
      <w:tr w:rsidR="001F600C" w:rsidRPr="00285D58" w14:paraId="24BADD2F" w14:textId="77777777" w:rsidTr="00242093">
        <w:trPr>
          <w:jc w:val="center"/>
        </w:trPr>
        <w:tc>
          <w:tcPr>
            <w:tcW w:w="2554" w:type="dxa"/>
          </w:tcPr>
          <w:p w14:paraId="7BF41E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P-2B</w:t>
            </w:r>
          </w:p>
        </w:tc>
        <w:tc>
          <w:tcPr>
            <w:tcW w:w="2693" w:type="dxa"/>
            <w:gridSpan w:val="2"/>
          </w:tcPr>
          <w:p w14:paraId="5F31B45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P-3B</w:t>
            </w:r>
          </w:p>
        </w:tc>
        <w:tc>
          <w:tcPr>
            <w:tcW w:w="2530" w:type="dxa"/>
          </w:tcPr>
          <w:p w14:paraId="10E10CF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P-4B</w:t>
            </w:r>
          </w:p>
        </w:tc>
      </w:tr>
      <w:tr w:rsidR="001F600C" w:rsidRPr="00285D58" w14:paraId="2FEABEEC" w14:textId="77777777" w:rsidTr="00242093">
        <w:trPr>
          <w:jc w:val="center"/>
        </w:trPr>
        <w:tc>
          <w:tcPr>
            <w:tcW w:w="2554" w:type="dxa"/>
          </w:tcPr>
          <w:p w14:paraId="2FC4272C"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1DBF65F4" wp14:editId="52B7085F">
                  <wp:extent cx="1092126" cy="1080000"/>
                  <wp:effectExtent l="0" t="0" r="0" b="0"/>
                  <wp:docPr id="2133617404" name="image56.png" descr="Un dibujo de 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56.png" descr="Un dibujo de una señal de alto&#10;&#10;Descripción generada automáticamente con confianza media"/>
                          <pic:cNvPicPr preferRelativeResize="0"/>
                        </pic:nvPicPr>
                        <pic:blipFill>
                          <a:blip r:embed="rId88"/>
                          <a:srcRect t="10586" b="5550"/>
                          <a:stretch>
                            <a:fillRect/>
                          </a:stretch>
                        </pic:blipFill>
                        <pic:spPr>
                          <a:xfrm>
                            <a:off x="0" y="0"/>
                            <a:ext cx="1092126" cy="1080000"/>
                          </a:xfrm>
                          <a:prstGeom prst="rect">
                            <a:avLst/>
                          </a:prstGeom>
                          <a:ln/>
                        </pic:spPr>
                      </pic:pic>
                    </a:graphicData>
                  </a:graphic>
                </wp:inline>
              </w:drawing>
            </w:r>
          </w:p>
        </w:tc>
        <w:tc>
          <w:tcPr>
            <w:tcW w:w="2693" w:type="dxa"/>
            <w:gridSpan w:val="2"/>
          </w:tcPr>
          <w:p w14:paraId="131F875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2C91055" wp14:editId="06847555">
                  <wp:extent cx="1113826" cy="1080000"/>
                  <wp:effectExtent l="0" t="0" r="0" b="0"/>
                  <wp:docPr id="2133617405" name="image51.png" descr="Un dibujo de una señal de al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51.png" descr="Un dibujo de una señal de alto&#10;&#10;Descripción generada automáticamente con confianza baja"/>
                          <pic:cNvPicPr preferRelativeResize="0"/>
                        </pic:nvPicPr>
                        <pic:blipFill>
                          <a:blip r:embed="rId89"/>
                          <a:srcRect/>
                          <a:stretch>
                            <a:fillRect/>
                          </a:stretch>
                        </pic:blipFill>
                        <pic:spPr>
                          <a:xfrm>
                            <a:off x="0" y="0"/>
                            <a:ext cx="1113826" cy="1080000"/>
                          </a:xfrm>
                          <a:prstGeom prst="rect">
                            <a:avLst/>
                          </a:prstGeom>
                          <a:ln/>
                        </pic:spPr>
                      </pic:pic>
                    </a:graphicData>
                  </a:graphic>
                </wp:inline>
              </w:drawing>
            </w:r>
          </w:p>
        </w:tc>
        <w:tc>
          <w:tcPr>
            <w:tcW w:w="2530" w:type="dxa"/>
          </w:tcPr>
          <w:p w14:paraId="3B972171"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295F94D" wp14:editId="6E89B405">
                  <wp:extent cx="1089621" cy="1080000"/>
                  <wp:effectExtent l="0" t="0" r="0" b="0"/>
                  <wp:docPr id="2133617406" name="image49.png"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9.png" descr="Logotipo&#10;&#10;Descripción generada automáticamente"/>
                          <pic:cNvPicPr preferRelativeResize="0"/>
                        </pic:nvPicPr>
                        <pic:blipFill>
                          <a:blip r:embed="rId90"/>
                          <a:srcRect/>
                          <a:stretch>
                            <a:fillRect/>
                          </a:stretch>
                        </pic:blipFill>
                        <pic:spPr>
                          <a:xfrm>
                            <a:off x="0" y="0"/>
                            <a:ext cx="1089621" cy="1080000"/>
                          </a:xfrm>
                          <a:prstGeom prst="rect">
                            <a:avLst/>
                          </a:prstGeom>
                          <a:ln/>
                        </pic:spPr>
                      </pic:pic>
                    </a:graphicData>
                  </a:graphic>
                </wp:inline>
              </w:drawing>
            </w:r>
          </w:p>
        </w:tc>
      </w:tr>
      <w:tr w:rsidR="001F600C" w:rsidRPr="00285D58" w14:paraId="5AB05C85" w14:textId="77777777" w:rsidTr="00242093">
        <w:trPr>
          <w:jc w:val="center"/>
        </w:trPr>
        <w:tc>
          <w:tcPr>
            <w:tcW w:w="2554" w:type="dxa"/>
          </w:tcPr>
          <w:p w14:paraId="5BAB398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P-5-1</w:t>
            </w:r>
          </w:p>
        </w:tc>
        <w:tc>
          <w:tcPr>
            <w:tcW w:w="2693" w:type="dxa"/>
            <w:gridSpan w:val="2"/>
          </w:tcPr>
          <w:p w14:paraId="52CAC90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P-5-1ª</w:t>
            </w:r>
          </w:p>
        </w:tc>
        <w:tc>
          <w:tcPr>
            <w:tcW w:w="2530" w:type="dxa"/>
          </w:tcPr>
          <w:p w14:paraId="4890163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P-5-2ª</w:t>
            </w:r>
          </w:p>
        </w:tc>
      </w:tr>
      <w:tr w:rsidR="001F600C" w:rsidRPr="00285D58" w14:paraId="362E1D9E" w14:textId="77777777" w:rsidTr="00242093">
        <w:trPr>
          <w:jc w:val="center"/>
        </w:trPr>
        <w:tc>
          <w:tcPr>
            <w:tcW w:w="2554" w:type="dxa"/>
          </w:tcPr>
          <w:p w14:paraId="3ADA4AC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3CC14BC" wp14:editId="37443FF2">
                  <wp:extent cx="1120667" cy="1080000"/>
                  <wp:effectExtent l="0" t="0" r="0" b="0"/>
                  <wp:docPr id="2133617396" name="image36.png"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6.png" descr="Logotipo&#10;&#10;Descripción generada automáticamente"/>
                          <pic:cNvPicPr preferRelativeResize="0"/>
                        </pic:nvPicPr>
                        <pic:blipFill>
                          <a:blip r:embed="rId91"/>
                          <a:srcRect b="4657"/>
                          <a:stretch>
                            <a:fillRect/>
                          </a:stretch>
                        </pic:blipFill>
                        <pic:spPr>
                          <a:xfrm>
                            <a:off x="0" y="0"/>
                            <a:ext cx="1120667" cy="1080000"/>
                          </a:xfrm>
                          <a:prstGeom prst="rect">
                            <a:avLst/>
                          </a:prstGeom>
                          <a:ln/>
                        </pic:spPr>
                      </pic:pic>
                    </a:graphicData>
                  </a:graphic>
                </wp:inline>
              </w:drawing>
            </w:r>
          </w:p>
        </w:tc>
        <w:tc>
          <w:tcPr>
            <w:tcW w:w="2693" w:type="dxa"/>
            <w:gridSpan w:val="2"/>
          </w:tcPr>
          <w:p w14:paraId="6373CD25"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505603F9" wp14:editId="0EE3583A">
                  <wp:extent cx="1073514" cy="1080000"/>
                  <wp:effectExtent l="0" t="0" r="0" b="0"/>
                  <wp:docPr id="2133617397" name="image43.png" descr="Un letrero de color blanc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3.png" descr="Un letrero de color blanco&#10;&#10;Descripción generada automáticamente con confianza media"/>
                          <pic:cNvPicPr preferRelativeResize="0"/>
                        </pic:nvPicPr>
                        <pic:blipFill>
                          <a:blip r:embed="rId92"/>
                          <a:srcRect b="2019"/>
                          <a:stretch>
                            <a:fillRect/>
                          </a:stretch>
                        </pic:blipFill>
                        <pic:spPr>
                          <a:xfrm>
                            <a:off x="0" y="0"/>
                            <a:ext cx="1073514" cy="1080000"/>
                          </a:xfrm>
                          <a:prstGeom prst="rect">
                            <a:avLst/>
                          </a:prstGeom>
                          <a:ln/>
                        </pic:spPr>
                      </pic:pic>
                    </a:graphicData>
                  </a:graphic>
                </wp:inline>
              </w:drawing>
            </w:r>
          </w:p>
        </w:tc>
        <w:tc>
          <w:tcPr>
            <w:tcW w:w="2530" w:type="dxa"/>
          </w:tcPr>
          <w:p w14:paraId="6C91F342"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2BC6AB5" wp14:editId="51568017">
                  <wp:extent cx="1109596" cy="1080000"/>
                  <wp:effectExtent l="0" t="0" r="0" b="0"/>
                  <wp:docPr id="2133617432" name="image71.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71.png" descr="Una señal de alto&#10;&#10;Descripción generada automáticamente con confianza media"/>
                          <pic:cNvPicPr preferRelativeResize="0"/>
                        </pic:nvPicPr>
                        <pic:blipFill>
                          <a:blip r:embed="rId93"/>
                          <a:srcRect b="9236"/>
                          <a:stretch>
                            <a:fillRect/>
                          </a:stretch>
                        </pic:blipFill>
                        <pic:spPr>
                          <a:xfrm>
                            <a:off x="0" y="0"/>
                            <a:ext cx="1109596" cy="1080000"/>
                          </a:xfrm>
                          <a:prstGeom prst="rect">
                            <a:avLst/>
                          </a:prstGeom>
                          <a:ln/>
                        </pic:spPr>
                      </pic:pic>
                    </a:graphicData>
                  </a:graphic>
                </wp:inline>
              </w:drawing>
            </w:r>
          </w:p>
        </w:tc>
      </w:tr>
      <w:tr w:rsidR="001F600C" w:rsidRPr="00285D58" w14:paraId="13056BDF" w14:textId="77777777" w:rsidTr="00242093">
        <w:trPr>
          <w:jc w:val="center"/>
        </w:trPr>
        <w:tc>
          <w:tcPr>
            <w:tcW w:w="2554" w:type="dxa"/>
          </w:tcPr>
          <w:p w14:paraId="22330CF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P-5-2B</w:t>
            </w:r>
          </w:p>
        </w:tc>
        <w:tc>
          <w:tcPr>
            <w:tcW w:w="2693" w:type="dxa"/>
            <w:gridSpan w:val="2"/>
          </w:tcPr>
          <w:p w14:paraId="1B844B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P-34</w:t>
            </w:r>
          </w:p>
        </w:tc>
        <w:tc>
          <w:tcPr>
            <w:tcW w:w="2530" w:type="dxa"/>
          </w:tcPr>
          <w:p w14:paraId="3D52229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P-35</w:t>
            </w:r>
          </w:p>
        </w:tc>
      </w:tr>
      <w:tr w:rsidR="001F600C" w:rsidRPr="00285D58" w14:paraId="64212768" w14:textId="77777777" w:rsidTr="00242093">
        <w:trPr>
          <w:jc w:val="center"/>
        </w:trPr>
        <w:tc>
          <w:tcPr>
            <w:tcW w:w="3903" w:type="dxa"/>
            <w:gridSpan w:val="2"/>
          </w:tcPr>
          <w:p w14:paraId="52081743"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E7CC021" wp14:editId="12E3A0A9">
                  <wp:extent cx="1116080" cy="1080000"/>
                  <wp:effectExtent l="0" t="0" r="0" b="0"/>
                  <wp:docPr id="2133617433" name="image77.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77.png" descr="Una señal de alto&#10;&#10;Descripción generada automáticamente con confianza media"/>
                          <pic:cNvPicPr preferRelativeResize="0"/>
                        </pic:nvPicPr>
                        <pic:blipFill>
                          <a:blip r:embed="rId94"/>
                          <a:srcRect/>
                          <a:stretch>
                            <a:fillRect/>
                          </a:stretch>
                        </pic:blipFill>
                        <pic:spPr>
                          <a:xfrm>
                            <a:off x="0" y="0"/>
                            <a:ext cx="1116080" cy="1080000"/>
                          </a:xfrm>
                          <a:prstGeom prst="rect">
                            <a:avLst/>
                          </a:prstGeom>
                          <a:ln/>
                        </pic:spPr>
                      </pic:pic>
                    </a:graphicData>
                  </a:graphic>
                </wp:inline>
              </w:drawing>
            </w:r>
          </w:p>
        </w:tc>
        <w:tc>
          <w:tcPr>
            <w:tcW w:w="3874" w:type="dxa"/>
            <w:gridSpan w:val="2"/>
          </w:tcPr>
          <w:p w14:paraId="1B71499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419731CF" wp14:editId="605EB7CD">
                  <wp:extent cx="644926" cy="936000"/>
                  <wp:effectExtent l="0" t="0" r="0" b="0"/>
                  <wp:docPr id="2133617434" name="image75.png" descr="For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5.png" descr="Forma&#10;&#10;Descripción generada automáticamente"/>
                          <pic:cNvPicPr preferRelativeResize="0"/>
                        </pic:nvPicPr>
                        <pic:blipFill>
                          <a:blip r:embed="rId95"/>
                          <a:srcRect/>
                          <a:stretch>
                            <a:fillRect/>
                          </a:stretch>
                        </pic:blipFill>
                        <pic:spPr>
                          <a:xfrm>
                            <a:off x="0" y="0"/>
                            <a:ext cx="644926" cy="936000"/>
                          </a:xfrm>
                          <a:prstGeom prst="rect">
                            <a:avLst/>
                          </a:prstGeom>
                          <a:ln/>
                        </pic:spPr>
                      </pic:pic>
                    </a:graphicData>
                  </a:graphic>
                </wp:inline>
              </w:drawing>
            </w:r>
          </w:p>
        </w:tc>
      </w:tr>
      <w:tr w:rsidR="001F600C" w:rsidRPr="00285D58" w14:paraId="7E49558A" w14:textId="77777777" w:rsidTr="00242093">
        <w:trPr>
          <w:jc w:val="center"/>
        </w:trPr>
        <w:tc>
          <w:tcPr>
            <w:tcW w:w="3903" w:type="dxa"/>
            <w:gridSpan w:val="2"/>
          </w:tcPr>
          <w:p w14:paraId="66F19CC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P-35C</w:t>
            </w:r>
          </w:p>
        </w:tc>
        <w:tc>
          <w:tcPr>
            <w:tcW w:w="3874" w:type="dxa"/>
            <w:gridSpan w:val="2"/>
          </w:tcPr>
          <w:p w14:paraId="5E18F3A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P-61</w:t>
            </w:r>
          </w:p>
        </w:tc>
      </w:tr>
    </w:tbl>
    <w:p w14:paraId="5E638E96" w14:textId="207D3A2A"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26: Señales Preventivas</w:t>
      </w:r>
      <w:r w:rsidR="00764D55" w:rsidRPr="00285D58">
        <w:rPr>
          <w:rFonts w:asciiTheme="minorHAnsi" w:eastAsia="Calibri" w:hAnsiTheme="minorHAnsi" w:cstheme="minorHAnsi"/>
        </w:rPr>
        <w:t>.</w:t>
      </w:r>
    </w:p>
    <w:p w14:paraId="2C61E949" w14:textId="7F2D120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433F525D"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(P-35) Fuerte Pendiente en Descenso, (P-35C) Fuerte Pendiente en Ascenso, se utilizará para prevenir al conductor sobre la proximidad de un tramo con fuerte pendiente de descenso o Ascenso</w:t>
      </w:r>
    </w:p>
    <w:p w14:paraId="6F478024"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(P-61) Delineador de curva horizontal “Chevron”, se utilizarán para advertir al conductor de la proximidad de una curva de vuelta.</w:t>
      </w:r>
    </w:p>
    <w:p w14:paraId="250BD46C"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51E10A13" w14:textId="77777777" w:rsidR="001F600C" w:rsidRPr="00285D58" w:rsidRDefault="001F600C" w:rsidP="008D1FFF">
      <w:pPr>
        <w:spacing w:line="276" w:lineRule="auto"/>
        <w:jc w:val="both"/>
        <w:rPr>
          <w:rFonts w:asciiTheme="minorHAnsi" w:eastAsia="Calibri" w:hAnsiTheme="minorHAnsi" w:cstheme="minorHAnsi"/>
        </w:rPr>
      </w:pPr>
    </w:p>
    <w:p w14:paraId="414C68BF" w14:textId="77777777" w:rsidR="001F600C" w:rsidRPr="00285D58" w:rsidRDefault="001F600C" w:rsidP="00A3732C">
      <w:pPr>
        <w:widowControl/>
        <w:numPr>
          <w:ilvl w:val="0"/>
          <w:numId w:val="126"/>
        </w:numP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rPr>
        <w:t>Señales Informativas</w:t>
      </w:r>
    </w:p>
    <w:p w14:paraId="2B5B4C2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Tienen como finalidad guiar al conductor de un vehículo a través de una determinada ruta, dirigiéndolo al lugar de su destino. También tienen por objeto identificar puntos notables o de interés, tales como ciudades, ríos, lugares históricos, etc. Y dar información precisa y oportuna que ayude al usuario que utilice la vía.</w:t>
      </w:r>
    </w:p>
    <w:p w14:paraId="6885CCDC" w14:textId="77777777" w:rsidR="001F600C" w:rsidRPr="00285D58" w:rsidRDefault="001F600C" w:rsidP="008D1FFF">
      <w:pPr>
        <w:spacing w:line="276" w:lineRule="auto"/>
        <w:jc w:val="both"/>
        <w:rPr>
          <w:rFonts w:asciiTheme="minorHAnsi" w:eastAsia="Calibri" w:hAnsiTheme="minorHAnsi" w:cstheme="minorHAnsi"/>
        </w:rPr>
      </w:pPr>
    </w:p>
    <w:p w14:paraId="7010F97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de información que se utilizarán en el proyecto serán las de dirección, localización, indicadoras de ruta y de información general, para dar a conocer los lugares o poblaciones más importantes en el trayecto de su destino. Asimismo, se emplearán señales con indicación de distancias, las cuales se utilizarán con la finalidad de informar al conductor del vehículo, sobre las distancias a las que se encuentran las poblaciones de importancia. Se utilizarán también postes de kilometraje.</w:t>
      </w:r>
    </w:p>
    <w:p w14:paraId="563E8F56" w14:textId="77777777" w:rsidR="001F600C" w:rsidRPr="00285D58" w:rsidRDefault="001F600C" w:rsidP="008D1FFF">
      <w:pPr>
        <w:spacing w:line="276" w:lineRule="auto"/>
        <w:jc w:val="both"/>
        <w:rPr>
          <w:rFonts w:asciiTheme="minorHAnsi" w:eastAsia="Calibri" w:hAnsiTheme="minorHAnsi" w:cstheme="minorHAnsi"/>
        </w:rPr>
      </w:pPr>
    </w:p>
    <w:p w14:paraId="390DB91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señales informativas serán de forma rectangular con su mayor dimensión horizontal y de dimensiones variables, según el mensaje a transmitir. Dichas señales deberán ubicarse al lado derecho de la carretera, de manera que los conductores puedan distinguirlas de manera clara y oportuna.</w:t>
      </w:r>
    </w:p>
    <w:p w14:paraId="5E81D7C8" w14:textId="77777777" w:rsidR="001F600C" w:rsidRPr="00285D58" w:rsidRDefault="001F600C" w:rsidP="008D1FFF">
      <w:pPr>
        <w:spacing w:line="276" w:lineRule="auto"/>
        <w:jc w:val="both"/>
        <w:rPr>
          <w:rFonts w:asciiTheme="minorHAnsi" w:eastAsia="Calibri" w:hAnsiTheme="minorHAnsi" w:cstheme="minorHAnsi"/>
        </w:rPr>
      </w:pPr>
    </w:p>
    <w:p w14:paraId="363FF13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estructuras de soporte para estas señales serán metálicas, constituidas principalmente por tubos negros standard de 3” de diámetro, los cuales serán recubiertos con pintura anticorrosiva y esmalte de color gris. Los carteles de las señales serán fabricados con fibra de vidrio de 4 mm de espesor con resina poliéster y con una cara de textura similar al vidrio. La cara posterior de los paneles se pintará con dos manos de pintura esmalte color negro.</w:t>
      </w:r>
    </w:p>
    <w:p w14:paraId="4E16AC57" w14:textId="77777777" w:rsidR="001F600C" w:rsidRPr="00285D58" w:rsidRDefault="001F600C" w:rsidP="008D1FFF">
      <w:pPr>
        <w:spacing w:line="276" w:lineRule="auto"/>
        <w:jc w:val="both"/>
        <w:rPr>
          <w:rFonts w:asciiTheme="minorHAnsi" w:eastAsia="Calibri" w:hAnsiTheme="minorHAnsi" w:cstheme="minorHAnsi"/>
        </w:rPr>
      </w:pPr>
    </w:p>
    <w:p w14:paraId="56DE771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mensaje por comunicar, así como los bordes, se confeccionarán con láminas retro reflectantes de color blanco, mientras que para el fondo de la señal se utilizarán láminas retro reflectantes de color verde.</w:t>
      </w:r>
    </w:p>
    <w:p w14:paraId="2F8CC138" w14:textId="77777777" w:rsidR="001F600C" w:rsidRPr="00285D58" w:rsidRDefault="001F600C" w:rsidP="008D1FFF">
      <w:pPr>
        <w:spacing w:line="276" w:lineRule="auto"/>
        <w:jc w:val="both"/>
        <w:rPr>
          <w:rFonts w:asciiTheme="minorHAnsi" w:eastAsia="Calibri" w:hAnsiTheme="minorHAnsi" w:cstheme="minorHAnsi"/>
        </w:rPr>
      </w:pPr>
    </w:p>
    <w:p w14:paraId="45DD5CD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Relación de señales informativas que serán utilizadas en el Proyecto. Ver Figura 27.</w:t>
      </w:r>
    </w:p>
    <w:p w14:paraId="583F28E6" w14:textId="77777777" w:rsidR="001F600C" w:rsidRPr="00285D58" w:rsidRDefault="001F600C" w:rsidP="008D1FFF">
      <w:pPr>
        <w:spacing w:line="276" w:lineRule="auto"/>
        <w:jc w:val="both"/>
        <w:rPr>
          <w:rFonts w:asciiTheme="minorHAnsi" w:eastAsia="Calibri" w:hAnsiTheme="minorHAnsi" w:cstheme="minorHAnsi"/>
        </w:rPr>
      </w:pPr>
    </w:p>
    <w:p w14:paraId="0A10F16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t>(I-8) Postes de kilometraje, se utilizarán para indicar la distancia al origen de la vía. Dichos postes se colocarán a intervalos de 1 kilómetro, considerando su instalación en el lado derecho para los números pares y al lado izquierdo los números impares.</w:t>
      </w:r>
    </w:p>
    <w:p w14:paraId="47089FFB" w14:textId="77777777" w:rsidR="001F600C" w:rsidRPr="00285D58" w:rsidRDefault="001F600C" w:rsidP="008D1FFF">
      <w:pPr>
        <w:spacing w:line="276" w:lineRule="auto"/>
        <w:jc w:val="both"/>
        <w:rPr>
          <w:rFonts w:asciiTheme="minorHAnsi" w:eastAsia="Calibri" w:hAnsiTheme="minorHAnsi" w:cstheme="minorHAnsi"/>
        </w:rPr>
      </w:pPr>
    </w:p>
    <w:p w14:paraId="30EE2B30" w14:textId="77777777" w:rsidR="001F600C" w:rsidRPr="00285D58" w:rsidRDefault="001F600C" w:rsidP="00A3732C">
      <w:pPr>
        <w:widowControl/>
        <w:numPr>
          <w:ilvl w:val="0"/>
          <w:numId w:val="190"/>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color w:val="000000"/>
        </w:rPr>
        <w:lastRenderedPageBreak/>
        <w:t>(I-18) Señal de Localización, se emplearán para indicar la proximidad de poblaciones o lugares de interés, tales como estaciones, ríos, etc.</w:t>
      </w:r>
    </w:p>
    <w:p w14:paraId="3BFBA375" w14:textId="77777777" w:rsidR="001F600C" w:rsidRPr="00285D58" w:rsidRDefault="001F600C" w:rsidP="008D1FFF">
      <w:pPr>
        <w:spacing w:line="276" w:lineRule="auto"/>
        <w:ind w:left="720"/>
        <w:jc w:val="both"/>
        <w:rPr>
          <w:rFonts w:asciiTheme="minorHAnsi" w:eastAsia="Calibri" w:hAnsiTheme="minorHAnsi" w:cstheme="minorHAnsi"/>
          <w:color w:val="000000"/>
        </w:rPr>
      </w:pPr>
    </w:p>
    <w:p w14:paraId="3FBAA33C" w14:textId="77777777" w:rsidR="001F600C" w:rsidRPr="00285D58" w:rsidRDefault="001F600C" w:rsidP="008D1FFF">
      <w:pPr>
        <w:spacing w:line="276" w:lineRule="auto"/>
        <w:jc w:val="both"/>
        <w:rPr>
          <w:rFonts w:asciiTheme="minorHAnsi" w:eastAsia="Calibri" w:hAnsiTheme="minorHAnsi" w:cstheme="minorHAnsi"/>
        </w:rPr>
      </w:pPr>
    </w:p>
    <w:tbl>
      <w:tblPr>
        <w:tblW w:w="8597" w:type="dxa"/>
        <w:jc w:val="center"/>
        <w:tblBorders>
          <w:top w:val="single" w:sz="4" w:space="0" w:color="BDD7EE"/>
          <w:left w:val="single" w:sz="4" w:space="0" w:color="BDD7EE"/>
          <w:bottom w:val="single" w:sz="4" w:space="0" w:color="BDD7EE"/>
          <w:right w:val="single" w:sz="4" w:space="0" w:color="BDD7EE"/>
          <w:insideH w:val="nil"/>
          <w:insideV w:val="nil"/>
        </w:tblBorders>
        <w:tblLayout w:type="fixed"/>
        <w:tblLook w:val="0400" w:firstRow="0" w:lastRow="0" w:firstColumn="0" w:lastColumn="0" w:noHBand="0" w:noVBand="1"/>
      </w:tblPr>
      <w:tblGrid>
        <w:gridCol w:w="1564"/>
        <w:gridCol w:w="3519"/>
        <w:gridCol w:w="3514"/>
      </w:tblGrid>
      <w:tr w:rsidR="001F600C" w:rsidRPr="00285D58" w14:paraId="465AE66E" w14:textId="77777777" w:rsidTr="00242093">
        <w:trPr>
          <w:jc w:val="center"/>
        </w:trPr>
        <w:tc>
          <w:tcPr>
            <w:tcW w:w="1564" w:type="dxa"/>
          </w:tcPr>
          <w:p w14:paraId="13805529"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CBE1901" wp14:editId="13D1F390">
                  <wp:extent cx="1080000" cy="462668"/>
                  <wp:effectExtent l="9389" t="3955" r="9389" b="3955"/>
                  <wp:docPr id="2133617435" name="image79.png" descr="Imagen que contiene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9.png" descr="Imagen que contiene Rectángulo&#10;&#10;Descripción generada automáticamente"/>
                          <pic:cNvPicPr preferRelativeResize="0"/>
                        </pic:nvPicPr>
                        <pic:blipFill>
                          <a:blip r:embed="rId96"/>
                          <a:srcRect/>
                          <a:stretch>
                            <a:fillRect/>
                          </a:stretch>
                        </pic:blipFill>
                        <pic:spPr>
                          <a:xfrm rot="16260000">
                            <a:off x="0" y="0"/>
                            <a:ext cx="1080000" cy="462668"/>
                          </a:xfrm>
                          <a:prstGeom prst="rect">
                            <a:avLst/>
                          </a:prstGeom>
                          <a:ln/>
                        </pic:spPr>
                      </pic:pic>
                    </a:graphicData>
                  </a:graphic>
                </wp:inline>
              </w:drawing>
            </w:r>
          </w:p>
        </w:tc>
        <w:tc>
          <w:tcPr>
            <w:tcW w:w="3519" w:type="dxa"/>
          </w:tcPr>
          <w:p w14:paraId="3D4FD41F"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87997A0" wp14:editId="6BBADDCB">
                  <wp:extent cx="1737191" cy="1008000"/>
                  <wp:effectExtent l="0" t="0" r="0" b="0"/>
                  <wp:docPr id="2133617436" name="image76.png" descr="Captura de pantalla de un celular con letr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6.png" descr="Captura de pantalla de un celular con letras&#10;&#10;Descripción generada automáticamente"/>
                          <pic:cNvPicPr preferRelativeResize="0"/>
                        </pic:nvPicPr>
                        <pic:blipFill>
                          <a:blip r:embed="rId97"/>
                          <a:srcRect/>
                          <a:stretch>
                            <a:fillRect/>
                          </a:stretch>
                        </pic:blipFill>
                        <pic:spPr>
                          <a:xfrm>
                            <a:off x="0" y="0"/>
                            <a:ext cx="1737191" cy="1008000"/>
                          </a:xfrm>
                          <a:prstGeom prst="rect">
                            <a:avLst/>
                          </a:prstGeom>
                          <a:ln/>
                        </pic:spPr>
                      </pic:pic>
                    </a:graphicData>
                  </a:graphic>
                </wp:inline>
              </w:drawing>
            </w:r>
          </w:p>
        </w:tc>
        <w:tc>
          <w:tcPr>
            <w:tcW w:w="3514" w:type="dxa"/>
          </w:tcPr>
          <w:p w14:paraId="3A897504"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7ADB9A92" wp14:editId="55C5CD8C">
                  <wp:extent cx="1734029" cy="1008000"/>
                  <wp:effectExtent l="0" t="0" r="0" b="0"/>
                  <wp:docPr id="2133617437" name="image80.png" descr="Una señal de al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80.png" descr="Una señal de alto&#10;&#10;Descripción generada automáticamente con confianza media"/>
                          <pic:cNvPicPr preferRelativeResize="0"/>
                        </pic:nvPicPr>
                        <pic:blipFill>
                          <a:blip r:embed="rId98"/>
                          <a:srcRect/>
                          <a:stretch>
                            <a:fillRect/>
                          </a:stretch>
                        </pic:blipFill>
                        <pic:spPr>
                          <a:xfrm>
                            <a:off x="0" y="0"/>
                            <a:ext cx="1734029" cy="1008000"/>
                          </a:xfrm>
                          <a:prstGeom prst="rect">
                            <a:avLst/>
                          </a:prstGeom>
                          <a:ln/>
                        </pic:spPr>
                      </pic:pic>
                    </a:graphicData>
                  </a:graphic>
                </wp:inline>
              </w:drawing>
            </w:r>
          </w:p>
        </w:tc>
      </w:tr>
      <w:tr w:rsidR="001F600C" w:rsidRPr="00285D58" w14:paraId="158449AB" w14:textId="77777777" w:rsidTr="00242093">
        <w:trPr>
          <w:jc w:val="center"/>
        </w:trPr>
        <w:tc>
          <w:tcPr>
            <w:tcW w:w="1564" w:type="dxa"/>
          </w:tcPr>
          <w:p w14:paraId="2846EAD8"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I-8</w:t>
            </w:r>
          </w:p>
        </w:tc>
        <w:tc>
          <w:tcPr>
            <w:tcW w:w="3519" w:type="dxa"/>
          </w:tcPr>
          <w:p w14:paraId="43AC34F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I-18 (zona Norte)</w:t>
            </w:r>
          </w:p>
        </w:tc>
        <w:tc>
          <w:tcPr>
            <w:tcW w:w="3514" w:type="dxa"/>
          </w:tcPr>
          <w:p w14:paraId="4079A38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I-18 (zona Sur)</w:t>
            </w:r>
          </w:p>
        </w:tc>
      </w:tr>
    </w:tbl>
    <w:p w14:paraId="0F0AD8C0" w14:textId="7F18ABC4"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27: Señales Informativas</w:t>
      </w:r>
      <w:r w:rsidR="00764D55" w:rsidRPr="00285D58">
        <w:rPr>
          <w:rFonts w:asciiTheme="minorHAnsi" w:eastAsia="Calibri" w:hAnsiTheme="minorHAnsi" w:cstheme="minorHAnsi"/>
        </w:rPr>
        <w:t>.</w:t>
      </w:r>
    </w:p>
    <w:p w14:paraId="2E29F6FF" w14:textId="708284B2"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Elaboración Propia – Consorcio Choquequirao</w:t>
      </w:r>
      <w:r w:rsidR="00764D55" w:rsidRPr="00285D58">
        <w:rPr>
          <w:rFonts w:asciiTheme="minorHAnsi" w:eastAsia="Calibri" w:hAnsiTheme="minorHAnsi" w:cstheme="minorHAnsi"/>
        </w:rPr>
        <w:t>.</w:t>
      </w:r>
    </w:p>
    <w:p w14:paraId="1AF565C9" w14:textId="77777777" w:rsidR="001F600C" w:rsidRPr="00285D58" w:rsidRDefault="001F600C" w:rsidP="008D1FFF">
      <w:pPr>
        <w:spacing w:line="276" w:lineRule="auto"/>
        <w:jc w:val="both"/>
        <w:rPr>
          <w:rFonts w:asciiTheme="minorHAnsi" w:eastAsia="Calibri" w:hAnsiTheme="minorHAnsi" w:cstheme="minorHAnsi"/>
        </w:rPr>
      </w:pPr>
    </w:p>
    <w:p w14:paraId="534E9EFE"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D.8.2)</w:t>
      </w:r>
      <w:r w:rsidRPr="00285D58">
        <w:rPr>
          <w:rFonts w:asciiTheme="minorHAnsi" w:eastAsia="Calibri" w:hAnsiTheme="minorHAnsi" w:cstheme="minorHAnsi"/>
        </w:rPr>
        <w:tab/>
        <w:t>Señalización Horizontal</w:t>
      </w:r>
    </w:p>
    <w:p w14:paraId="0A366159"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 xml:space="preserve">Postes delineadores </w:t>
      </w:r>
    </w:p>
    <w:p w14:paraId="63415C76" w14:textId="77777777" w:rsidR="001F600C" w:rsidRPr="00285D58" w:rsidRDefault="001F600C" w:rsidP="008D1FFF">
      <w:pPr>
        <w:spacing w:line="276" w:lineRule="auto"/>
        <w:jc w:val="both"/>
        <w:rPr>
          <w:rFonts w:asciiTheme="minorHAnsi" w:eastAsia="Calibri" w:hAnsiTheme="minorHAnsi" w:cstheme="minorHAnsi"/>
        </w:rPr>
      </w:pPr>
    </w:p>
    <w:p w14:paraId="5D84FF7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elementos de guía óptica que se fijan sobre la calzada por medio de postes de concreto, los mismos que serán utilizados para demarcar la vía debido a las condiciones de diseño (geométricos) o condiciones atmosféricas (zonas de neblina o escasa visibilidad nocturna), que requieren ser resaltados.</w:t>
      </w:r>
    </w:p>
    <w:p w14:paraId="524A82CD" w14:textId="77777777" w:rsidR="001F600C" w:rsidRPr="00285D58" w:rsidRDefault="001F600C" w:rsidP="008D1FFF">
      <w:pPr>
        <w:spacing w:line="276" w:lineRule="auto"/>
        <w:jc w:val="both"/>
        <w:rPr>
          <w:rFonts w:asciiTheme="minorHAnsi" w:eastAsia="Calibri" w:hAnsiTheme="minorHAnsi" w:cstheme="minorHAnsi"/>
        </w:rPr>
      </w:pPr>
    </w:p>
    <w:p w14:paraId="0F88E03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colocarán en el borde exterior de la vía, serán postes de color blanco y láminas retro reflectivas de color blanco en el sentido del tráfico y de color rojo en sentido contrario.</w:t>
      </w:r>
    </w:p>
    <w:p w14:paraId="110F8856" w14:textId="77777777" w:rsidR="001F600C" w:rsidRPr="00285D58" w:rsidRDefault="001F600C" w:rsidP="008D1FFF">
      <w:pPr>
        <w:spacing w:line="276" w:lineRule="auto"/>
        <w:ind w:firstLine="567"/>
        <w:jc w:val="both"/>
        <w:rPr>
          <w:rFonts w:asciiTheme="minorHAnsi" w:eastAsia="Calibri" w:hAnsiTheme="minorHAnsi" w:cstheme="minorHAnsi"/>
        </w:rPr>
      </w:pPr>
    </w:p>
    <w:p w14:paraId="1BEE0E9B" w14:textId="77777777" w:rsidR="001F600C" w:rsidRPr="00285D58" w:rsidRDefault="001F600C" w:rsidP="008D1FFF">
      <w:pPr>
        <w:spacing w:line="276" w:lineRule="auto"/>
        <w:ind w:firstLine="567"/>
        <w:jc w:val="both"/>
        <w:rPr>
          <w:rFonts w:asciiTheme="minorHAnsi" w:eastAsia="Calibri" w:hAnsiTheme="minorHAnsi" w:cstheme="minorHAnsi"/>
        </w:rPr>
      </w:pPr>
      <w:r w:rsidRPr="00285D58">
        <w:rPr>
          <w:rFonts w:asciiTheme="minorHAnsi" w:eastAsia="Calibri" w:hAnsiTheme="minorHAnsi" w:cstheme="minorHAnsi"/>
        </w:rPr>
        <w:t>D.8.3)</w:t>
      </w:r>
      <w:r w:rsidRPr="00285D58">
        <w:rPr>
          <w:rFonts w:asciiTheme="minorHAnsi" w:eastAsia="Calibri" w:hAnsiTheme="minorHAnsi" w:cstheme="minorHAnsi"/>
        </w:rPr>
        <w:tab/>
        <w:t>Seguridad Vial</w:t>
      </w:r>
    </w:p>
    <w:p w14:paraId="16B30F1A" w14:textId="0A52334C" w:rsidR="001F600C" w:rsidRPr="00285D58" w:rsidRDefault="00764D55"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Guardavías metálicos</w:t>
      </w:r>
    </w:p>
    <w:p w14:paraId="6E571429" w14:textId="77777777" w:rsidR="001F600C" w:rsidRPr="00285D58" w:rsidRDefault="001F600C" w:rsidP="008D1FFF">
      <w:pPr>
        <w:spacing w:line="276" w:lineRule="auto"/>
        <w:jc w:val="both"/>
        <w:rPr>
          <w:rFonts w:asciiTheme="minorHAnsi" w:eastAsia="Calibri" w:hAnsiTheme="minorHAnsi" w:cstheme="minorHAnsi"/>
        </w:rPr>
      </w:pPr>
    </w:p>
    <w:p w14:paraId="1DAD60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diseño de estas barreras se debe tener en cuenta lo indicado en el Manual de Seguridad Vial (2016) del MTC, las cuales serán utilizadas en aquellos sectores que se constituyen en un peligro al tránsito vehicular.</w:t>
      </w:r>
    </w:p>
    <w:p w14:paraId="1F4FA525" w14:textId="77777777" w:rsidR="001F600C" w:rsidRPr="00285D58" w:rsidRDefault="001F600C" w:rsidP="008D1FFF">
      <w:pPr>
        <w:spacing w:line="276" w:lineRule="auto"/>
        <w:jc w:val="both"/>
        <w:rPr>
          <w:rFonts w:asciiTheme="minorHAnsi" w:eastAsia="Calibri" w:hAnsiTheme="minorHAnsi" w:cstheme="minorHAnsi"/>
        </w:rPr>
      </w:pPr>
    </w:p>
    <w:p w14:paraId="4D7F4D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forma complementaria se ha previsto el uso de capta faros, los mismos que serán colocados en cada viga de defensa, a fin de que los conductores se encuentren convenientemente orientados, principalmente durante la conducción nocturna u horas de poca visibilidad debido a la presencia de neblina.</w:t>
      </w:r>
    </w:p>
    <w:p w14:paraId="27CD88F6" w14:textId="77777777" w:rsidR="001F600C" w:rsidRPr="00285D58" w:rsidRDefault="001F600C" w:rsidP="008D1FFF">
      <w:pPr>
        <w:spacing w:line="276" w:lineRule="auto"/>
        <w:jc w:val="both"/>
        <w:rPr>
          <w:rFonts w:asciiTheme="minorHAnsi" w:eastAsia="Calibri" w:hAnsiTheme="minorHAnsi" w:cstheme="minorHAnsi"/>
        </w:rPr>
      </w:pPr>
    </w:p>
    <w:p w14:paraId="130C0E33"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EXPLOTACIÓN DE MATERIALES DE CONSTRUCCIÓN</w:t>
      </w:r>
    </w:p>
    <w:p w14:paraId="467E494E" w14:textId="3A690CC0"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definición de canteras para el abastecimiento de materiales y DME (Depósitos de materiales excedentes) ha sido desarrollada de manera preliminar en base a la información cartográfica disponible durante el desarrollo del proyecto y a una evaluación preliminar similar, sin llegar a efectuar determinaciones de calidad de las canteras y las fuentes agua. Por lo que deberá </w:t>
      </w:r>
      <w:r w:rsidRPr="00285D58">
        <w:rPr>
          <w:rFonts w:asciiTheme="minorHAnsi" w:eastAsia="Calibri" w:hAnsiTheme="minorHAnsi" w:cstheme="minorHAnsi"/>
          <w:color w:val="000000"/>
        </w:rPr>
        <w:lastRenderedPageBreak/>
        <w:t>profundizarse en este aspecto durante el estudio definitivo.</w:t>
      </w:r>
    </w:p>
    <w:p w14:paraId="75CF219B" w14:textId="77777777" w:rsidR="001F600C" w:rsidRPr="00285D58" w:rsidRDefault="001F600C" w:rsidP="008D1FFF">
      <w:pPr>
        <w:spacing w:line="276" w:lineRule="auto"/>
        <w:ind w:firstLine="567"/>
        <w:jc w:val="both"/>
        <w:rPr>
          <w:rFonts w:asciiTheme="minorHAnsi" w:eastAsia="Calibri" w:hAnsiTheme="minorHAnsi" w:cstheme="minorHAnsi"/>
        </w:rPr>
      </w:pPr>
    </w:p>
    <w:p w14:paraId="26492335"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DEPÓSITOS DE MATERIAL EXCEDENTE (DME)</w:t>
      </w:r>
    </w:p>
    <w:p w14:paraId="5ED8714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Son los lugares donde se colocarán todos los materiales sobrantes del proceso constructivo, como material vegetal, desechos del desbroce, limpieza, excavación; que deberán ser transportados considerando el centroide de la superficie del DME. Ver Figura 28.</w:t>
      </w:r>
    </w:p>
    <w:p w14:paraId="307FC15C" w14:textId="77777777" w:rsidR="001F600C" w:rsidRPr="00285D58" w:rsidRDefault="001F600C" w:rsidP="008D1FFF">
      <w:pPr>
        <w:spacing w:line="276" w:lineRule="auto"/>
        <w:ind w:firstLine="567"/>
        <w:jc w:val="both"/>
        <w:rPr>
          <w:rFonts w:asciiTheme="minorHAnsi" w:eastAsia="Calibri" w:hAnsiTheme="minorHAnsi" w:cstheme="minorHAnsi"/>
        </w:rPr>
      </w:pPr>
    </w:p>
    <w:p w14:paraId="3029C23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ningún motivo los materiales de desecho deben ser incorporados en los terraplenes, ni en sitios donde puedan ocasionar perjuicios ambientales. Por la disponibilidad de terrenos, uso del suelo y por áreas protegidas naturales se propone la disposición de DME’s al lado de la vía proyectada.</w:t>
      </w:r>
    </w:p>
    <w:p w14:paraId="4D0C58A6" w14:textId="77777777" w:rsidR="001F600C" w:rsidRPr="00285D58" w:rsidRDefault="001F600C" w:rsidP="008D1FFF">
      <w:pPr>
        <w:spacing w:line="276" w:lineRule="auto"/>
        <w:ind w:firstLine="567"/>
        <w:jc w:val="center"/>
        <w:rPr>
          <w:rFonts w:asciiTheme="minorHAnsi" w:eastAsia="Calibri" w:hAnsiTheme="minorHAnsi" w:cstheme="minorHAnsi"/>
        </w:rPr>
      </w:pPr>
    </w:p>
    <w:p w14:paraId="6DB1B9A2"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06B4D1A" wp14:editId="4F799EBC">
            <wp:extent cx="3910606" cy="2315114"/>
            <wp:effectExtent l="0" t="0" r="0" b="0"/>
            <wp:docPr id="2133617438" name="image84.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4.png" descr="Diagrama&#10;&#10;Descripción generada automáticamente"/>
                    <pic:cNvPicPr preferRelativeResize="0"/>
                  </pic:nvPicPr>
                  <pic:blipFill>
                    <a:blip r:embed="rId99"/>
                    <a:srcRect t="18522" b="1090"/>
                    <a:stretch>
                      <a:fillRect/>
                    </a:stretch>
                  </pic:blipFill>
                  <pic:spPr>
                    <a:xfrm>
                      <a:off x="0" y="0"/>
                      <a:ext cx="3910606" cy="2315114"/>
                    </a:xfrm>
                    <a:prstGeom prst="rect">
                      <a:avLst/>
                    </a:prstGeom>
                    <a:ln/>
                  </pic:spPr>
                </pic:pic>
              </a:graphicData>
            </a:graphic>
          </wp:inline>
        </w:drawing>
      </w:r>
    </w:p>
    <w:p w14:paraId="562B7A2E" w14:textId="0E868E6E"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Figura 28: Configuración de los DME’s</w:t>
      </w:r>
      <w:r w:rsidR="00764D55" w:rsidRPr="00285D58">
        <w:rPr>
          <w:rFonts w:asciiTheme="minorHAnsi" w:eastAsia="Calibri" w:hAnsiTheme="minorHAnsi" w:cstheme="minorHAnsi"/>
        </w:rPr>
        <w:t>.</w:t>
      </w:r>
    </w:p>
    <w:p w14:paraId="3261D04F" w14:textId="5B12BEB1"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rPr>
        <w:t>Fuente: Manual DG-2018, MTC</w:t>
      </w:r>
      <w:r w:rsidR="00764D55" w:rsidRPr="00285D58">
        <w:rPr>
          <w:rFonts w:asciiTheme="minorHAnsi" w:eastAsia="Calibri" w:hAnsiTheme="minorHAnsi" w:cstheme="minorHAnsi"/>
        </w:rPr>
        <w:t>.</w:t>
      </w:r>
      <w:r w:rsidRPr="00285D58">
        <w:rPr>
          <w:rFonts w:asciiTheme="minorHAnsi" w:eastAsia="Calibri" w:hAnsiTheme="minorHAnsi" w:cstheme="minorHAnsi"/>
        </w:rPr>
        <w:br w:type="page"/>
      </w:r>
    </w:p>
    <w:p w14:paraId="11E94791"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3: PARA LAS ESTACIONES CENTRALES</w:t>
      </w:r>
    </w:p>
    <w:p w14:paraId="5B35189D" w14:textId="77777777" w:rsidR="00E02769" w:rsidRPr="00285D58" w:rsidRDefault="00E02769" w:rsidP="008D1FFF">
      <w:pPr>
        <w:spacing w:line="276" w:lineRule="auto"/>
        <w:rPr>
          <w:rFonts w:asciiTheme="minorHAnsi" w:hAnsiTheme="minorHAnsi" w:cstheme="minorHAnsi"/>
          <w:b/>
          <w:bCs/>
        </w:rPr>
      </w:pPr>
    </w:p>
    <w:p w14:paraId="3D6B49F0"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98" w:name="_Toc180162477"/>
      <w:bookmarkStart w:id="99" w:name="_Toc180162539"/>
      <w:bookmarkStart w:id="100" w:name="_Toc180162651"/>
      <w:bookmarkStart w:id="101" w:name="_Toc182581471"/>
      <w:bookmarkStart w:id="102" w:name="_Toc182582254"/>
      <w:bookmarkStart w:id="103" w:name="_Toc188634221"/>
      <w:bookmarkStart w:id="104" w:name="_Toc188634600"/>
      <w:bookmarkStart w:id="105" w:name="_Toc188634657"/>
      <w:bookmarkStart w:id="106" w:name="_Toc188634715"/>
      <w:bookmarkStart w:id="107" w:name="_Toc188634771"/>
      <w:bookmarkStart w:id="108" w:name="_Toc188984862"/>
      <w:bookmarkStart w:id="109" w:name="_Toc188986643"/>
      <w:bookmarkStart w:id="110" w:name="_Toc188987050"/>
      <w:bookmarkStart w:id="111" w:name="_Toc188987153"/>
      <w:bookmarkStart w:id="112" w:name="_Toc190193973"/>
      <w:bookmarkStart w:id="113" w:name="_Toc190194020"/>
      <w:bookmarkStart w:id="114" w:name="_Toc19397927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80041DF"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MARCO NORMATIVO APLICABLE</w:t>
      </w:r>
    </w:p>
    <w:p w14:paraId="1CEBDF0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A.010 Condiciones Generales de Diseño, que establece los criterios y requisitos mínimos que deberán cumplir las edificaciones en general, para garantizar la seguridad, funcionalidad, habitabilidad y adecuación al entorno y protección del medio ambiente.</w:t>
      </w:r>
    </w:p>
    <w:p w14:paraId="1FD6FEC9"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A.070 Comercio, que define y regula las características y requisitos que deben reunir las edificaciones destinadas a desarrollar actividades cuya finalidad es la comercialización de bienes y servicios, con el fin de asegurar su seguridad, atender sus necesidades de servicios y facilita su desarrollo.</w:t>
      </w:r>
    </w:p>
    <w:p w14:paraId="15F91B32"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A.080 Oficinas, que define y regula las características y requisitos que deben reunir las edificaciones destinadas a la prestación de servicios administrativos, técnicos, financieros, de gestión, de asesoramiento y afines de carácter público o privado.</w:t>
      </w:r>
    </w:p>
    <w:p w14:paraId="10950D28"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A.120 Accesibilidad para personas con discapacidad, que define y regula las características y requisitos que deben tener las edificaciones en general para permitir que las personas con discapacidad puedan usar sus servicios.</w:t>
      </w:r>
    </w:p>
    <w:p w14:paraId="41266FA7"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A.130 Requisitos de Seguridad, que define, de acuerdo con su uso y número de ocupantes, los requisitos de seguridad y prevención de siniestros que tienen por objetivo salvaguardar las vidas humanas y preservar el patrimonio y la continuidad de la edificación.</w:t>
      </w:r>
    </w:p>
    <w:p w14:paraId="7A963560" w14:textId="77777777" w:rsidR="001F600C" w:rsidRPr="00285D58" w:rsidRDefault="001F600C" w:rsidP="008D1FFF">
      <w:pPr>
        <w:spacing w:line="276" w:lineRule="auto"/>
        <w:jc w:val="both"/>
        <w:rPr>
          <w:rFonts w:asciiTheme="minorHAnsi" w:eastAsia="Calibri" w:hAnsiTheme="minorHAnsi" w:cstheme="minorHAnsi"/>
        </w:rPr>
      </w:pPr>
    </w:p>
    <w:p w14:paraId="6F8AB0AA"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36A84F49"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b/>
          <w:smallCaps/>
          <w:color w:val="000000"/>
        </w:rPr>
      </w:pPr>
      <w:r w:rsidRPr="00285D58">
        <w:rPr>
          <w:rFonts w:asciiTheme="minorHAnsi" w:eastAsia="Calibri" w:hAnsiTheme="minorHAnsi" w:cstheme="minorHAnsi"/>
          <w:b/>
          <w:smallCaps/>
          <w:color w:val="000000"/>
        </w:rPr>
        <w:t>DESCRIPCIÓN</w:t>
      </w:r>
    </w:p>
    <w:p w14:paraId="71F6822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estaciones centrales son edificaciones que recibirán a los visitantes, se ubican en los centros poblados cercanos al recurso turístico, desde aquí los visitantes podrán abordar los buses que los llevarán hacia las estaciones de salida del teleférico. Estas infraestructuras contendrán todos los requerimientos para la óptima operación y mantenimiento de los buses, también se ofrecerán distintos servicios complementarios para los visitantes como cafeterías, zonas de espera, módulos de información y orientación turística, entre otros. </w:t>
      </w:r>
    </w:p>
    <w:p w14:paraId="18EBFBD2" w14:textId="77777777" w:rsidR="001F600C" w:rsidRPr="00285D58" w:rsidRDefault="001F600C" w:rsidP="008D1FFF">
      <w:pPr>
        <w:spacing w:line="276" w:lineRule="auto"/>
        <w:ind w:firstLine="566"/>
        <w:jc w:val="both"/>
        <w:rPr>
          <w:rFonts w:asciiTheme="minorHAnsi" w:eastAsia="Calibri" w:hAnsiTheme="minorHAnsi" w:cstheme="minorHAnsi"/>
        </w:rPr>
      </w:pPr>
    </w:p>
    <w:p w14:paraId="30285F4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propuesta arquitectónica plantea la utilización de cubiertas ligeras que aterrizan en el suelo de forma puntual. De esta manera, se enfatiza el predominio y continuidad del paisaje natural sobre las intervenciones arquitectónicas. Asimismo, esta idea se refuerza con la elección de materiales ligeros que complementarán la lectura del lenguaje arquitectónico de la propuesta.</w:t>
      </w:r>
    </w:p>
    <w:p w14:paraId="17DB5B1E" w14:textId="77777777" w:rsidR="001F600C" w:rsidRPr="00285D58" w:rsidRDefault="001F600C" w:rsidP="008D1FFF">
      <w:pPr>
        <w:spacing w:line="276" w:lineRule="auto"/>
        <w:ind w:firstLine="566"/>
        <w:jc w:val="both"/>
        <w:rPr>
          <w:rFonts w:asciiTheme="minorHAnsi" w:eastAsia="Calibri" w:hAnsiTheme="minorHAnsi" w:cstheme="minorHAnsi"/>
        </w:rPr>
      </w:pPr>
    </w:p>
    <w:p w14:paraId="554356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Dada la naturaleza del territorio en donde descansan las estaciones, se trabaja un esquema de emplazamiento y programa que pueda adaptarse a su topografía. Los espacios interiores que se requieren son albergados bajo una cubierta, la cual se dispone en el sentido perpendicular a la pendiente para hacer más eficiente su organización y reducir el volumen de excavación. El volumen de programa se techa con una cubierta a dos aguas. Se utilizan terrazas para condicionar espacio para el programa. Los espacios interiores se disponen en distintos niveles según la topografía. El </w:t>
      </w:r>
      <w:r w:rsidRPr="00285D58">
        <w:rPr>
          <w:rFonts w:asciiTheme="minorHAnsi" w:eastAsia="Calibri" w:hAnsiTheme="minorHAnsi" w:cstheme="minorHAnsi"/>
        </w:rPr>
        <w:lastRenderedPageBreak/>
        <w:t>programa techado se emplaza donde se necesite la menor cantidad de excavación/relleno. Se condicionan dos plazas: una de ingreso en el nivel superior, y una de embarque en el nivel inferior. Y la cubierta se adapta a las condiciones específicas de esta pendiente. Está cubierta se pliega para crear jerarquía interna y responder a las escalas de las plazas superior e inferior, consolidando el volumen y la dinámica de la instalación.</w:t>
      </w:r>
    </w:p>
    <w:p w14:paraId="134EED99" w14:textId="77777777" w:rsidR="001F600C" w:rsidRPr="00285D58" w:rsidRDefault="001F600C" w:rsidP="008D1FFF">
      <w:pPr>
        <w:spacing w:line="276" w:lineRule="auto"/>
        <w:jc w:val="both"/>
        <w:rPr>
          <w:rFonts w:asciiTheme="minorHAnsi" w:eastAsia="Calibri" w:hAnsiTheme="minorHAnsi" w:cstheme="minorHAnsi"/>
        </w:rPr>
      </w:pPr>
    </w:p>
    <w:p w14:paraId="55FDBED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 importante destacar que el planteamiento arquitectónico ha sido presentado en varias ocasiones al equipo técnico de la DDC Cusco y que sus opiniones y recomendaciones han sido considerados en esta propuesta, dado que la infraestructura se ubica dentro del área de un Parque Arqueológico bajo la administración de dicha entidad y es fundamental contar con su opinión técnica. Producto de estas reuniones se recoge el “Acta de Reunión de Trabajo -DGET – DPDT” de fecha 05 de marzo del 2019 en donde se concluye: </w:t>
      </w:r>
    </w:p>
    <w:p w14:paraId="028F9AD9" w14:textId="77777777" w:rsidR="001F600C" w:rsidRPr="00285D58" w:rsidRDefault="001F600C" w:rsidP="008D1FFF">
      <w:pPr>
        <w:spacing w:line="276" w:lineRule="auto"/>
        <w:ind w:firstLine="566"/>
        <w:jc w:val="both"/>
        <w:rPr>
          <w:rFonts w:asciiTheme="minorHAnsi" w:eastAsia="Calibri" w:hAnsiTheme="minorHAnsi" w:cstheme="minorHAnsi"/>
        </w:rPr>
      </w:pPr>
    </w:p>
    <w:p w14:paraId="5A342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“Sin existir diferencias conceptuales entre lo expuesto por el Consorcio (la propuesta arquitectónica) y lo sustentado por la DDC-Cusco, se llegó al acuerdo que el equipo de arquitectura del Consorcio efectúe una evaluación de las propuestas de cubiertas”.</w:t>
      </w:r>
    </w:p>
    <w:p w14:paraId="1EEEA2E0" w14:textId="77777777" w:rsidR="001F600C" w:rsidRPr="00285D58" w:rsidRDefault="001F600C" w:rsidP="008D1FFF">
      <w:pPr>
        <w:spacing w:line="276" w:lineRule="auto"/>
        <w:jc w:val="both"/>
        <w:rPr>
          <w:rFonts w:asciiTheme="minorHAnsi" w:eastAsia="Calibri" w:hAnsiTheme="minorHAnsi" w:cstheme="minorHAnsi"/>
        </w:rPr>
      </w:pPr>
    </w:p>
    <w:p w14:paraId="43EB2C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evaluación fue realizada, motivo por el cual el planteamiento técnico comprende la propuesta de cubiertas a dos aguas.</w:t>
      </w:r>
    </w:p>
    <w:p w14:paraId="30196B34" w14:textId="77777777" w:rsidR="001F600C" w:rsidRPr="00285D58" w:rsidRDefault="001F600C" w:rsidP="008D1FFF">
      <w:pPr>
        <w:spacing w:line="276" w:lineRule="auto"/>
        <w:jc w:val="both"/>
        <w:rPr>
          <w:rFonts w:asciiTheme="minorHAnsi" w:eastAsia="Calibri" w:hAnsiTheme="minorHAnsi" w:cstheme="minorHAnsi"/>
        </w:rPr>
      </w:pPr>
    </w:p>
    <w:p w14:paraId="5A326A07"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DIMENSIONAMIENTO</w:t>
      </w:r>
    </w:p>
    <w:p w14:paraId="5B1A7AF6"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Estación Central alberga la mayor cantidad de funciones posibles del sistema de transporte multimodal debido a que se encuentra en los alrededores de un centro poblado. </w:t>
      </w:r>
    </w:p>
    <w:p w14:paraId="21EC2934"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shd w:val="clear" w:color="auto" w:fill="FFD966"/>
        </w:rPr>
      </w:pPr>
      <w:r w:rsidRPr="00285D58">
        <w:rPr>
          <w:rFonts w:asciiTheme="minorHAnsi" w:eastAsia="Calibri" w:hAnsiTheme="minorHAnsi" w:cstheme="minorHAnsi"/>
          <w:color w:val="000000"/>
        </w:rPr>
        <w:t xml:space="preserve">Al llegar, el usuario podrá adquirir un boleto que incluya el servicio de transporte por cable y el derecho de entrada al Monumento Arqueológico de Choquequirao. Durante el tiempo de espera para abordar el bus lanzadera, la estación ofrecerá espacios comerciales, servicios de información, áreas de exposición interpretativa y lugares de espera. </w:t>
      </w:r>
    </w:p>
    <w:p w14:paraId="7BF570B3"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zonas de espera y las circulaciones están calculadas para soportar este flujo; sin embargo, la estación cuenta con áreas complementarias como una galería de exposición interpretativa, cafetería y zona comercial. Asimismo, las zonas de embarque y desembarque han sido calculadas en función al número de buses requerido para el óptimo funcionamiento del sistema para cada ruta (ruta sur y ruta norte).</w:t>
      </w:r>
    </w:p>
    <w:p w14:paraId="11F187CE"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número de buses que albergará cada estación ha sido calculado en función de la distancia entre la estación central y la Estación de salida más cercana, la capacidad de los buses (25 pasajeros), la velocidad de operación de los buses (30 km/h y 25 km/h)</w:t>
      </w:r>
      <w:r w:rsidRPr="00285D58">
        <w:rPr>
          <w:rFonts w:asciiTheme="minorHAnsi" w:eastAsia="Calibri" w:hAnsiTheme="minorHAnsi" w:cstheme="minorHAnsi"/>
          <w:color w:val="000000"/>
          <w:vertAlign w:val="superscript"/>
        </w:rPr>
        <w:footnoteReference w:id="4"/>
      </w:r>
      <w:r w:rsidRPr="00285D58">
        <w:rPr>
          <w:rFonts w:asciiTheme="minorHAnsi" w:eastAsia="Calibri" w:hAnsiTheme="minorHAnsi" w:cstheme="minorHAnsi"/>
          <w:color w:val="000000"/>
        </w:rPr>
        <w:t xml:space="preserve"> y la capacidad de transporte de los </w:t>
      </w:r>
      <w:r w:rsidRPr="00285D58">
        <w:rPr>
          <w:rFonts w:asciiTheme="minorHAnsi" w:eastAsia="Calibri" w:hAnsiTheme="minorHAnsi" w:cstheme="minorHAnsi"/>
          <w:color w:val="000000"/>
        </w:rPr>
        <w:lastRenderedPageBreak/>
        <w:t>teleféricos. En ese sentido, se ha estimado un total de 21 buses para la Estación Central Yanama y 27 para la Estación Central Huanipaca. Sumando un total de 48 buses entre ambas estaciones.</w:t>
      </w:r>
    </w:p>
    <w:p w14:paraId="79F39837"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11236088"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7D71320B" w14:textId="77777777" w:rsidR="00764D55" w:rsidRPr="00285D58" w:rsidRDefault="00764D55"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7A817E83" w14:textId="77777777" w:rsidR="00764D55" w:rsidRPr="00285D58" w:rsidRDefault="00764D55"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p>
    <w:p w14:paraId="5ABD094B" w14:textId="77777777" w:rsidR="001F600C" w:rsidRPr="00285D58" w:rsidRDefault="001F600C" w:rsidP="008D1FFF">
      <w:pPr>
        <w:pBdr>
          <w:top w:val="nil"/>
          <w:left w:val="nil"/>
          <w:bottom w:val="nil"/>
          <w:right w:val="nil"/>
          <w:between w:val="nil"/>
        </w:pBdr>
        <w:spacing w:after="240" w:line="276" w:lineRule="auto"/>
        <w:jc w:val="center"/>
        <w:rPr>
          <w:rFonts w:asciiTheme="minorHAnsi" w:eastAsia="Calibri" w:hAnsiTheme="minorHAnsi" w:cstheme="minorHAnsi"/>
          <w:color w:val="000000"/>
        </w:rPr>
      </w:pPr>
      <w:r w:rsidRPr="00285D58">
        <w:rPr>
          <w:rFonts w:asciiTheme="minorHAnsi" w:eastAsia="Calibri" w:hAnsiTheme="minorHAnsi" w:cstheme="minorHAnsi"/>
        </w:rPr>
        <w:t>Figura N°32: Dimensiones del bus turístico de diseño.</w:t>
      </w:r>
    </w:p>
    <w:p w14:paraId="211A5C03" w14:textId="77777777" w:rsidR="001F600C" w:rsidRPr="00285D58" w:rsidRDefault="001F600C" w:rsidP="008D1FFF">
      <w:pPr>
        <w:pBdr>
          <w:top w:val="nil"/>
          <w:left w:val="nil"/>
          <w:bottom w:val="nil"/>
          <w:right w:val="nil"/>
          <w:between w:val="nil"/>
        </w:pBdr>
        <w:spacing w:after="240" w:line="276" w:lineRule="auto"/>
        <w:jc w:val="center"/>
        <w:rPr>
          <w:rFonts w:asciiTheme="minorHAnsi" w:eastAsia="Calibri" w:hAnsiTheme="minorHAnsi" w:cstheme="minorHAnsi"/>
          <w:color w:val="000000"/>
        </w:rPr>
      </w:pPr>
      <w:r w:rsidRPr="00285D58">
        <w:rPr>
          <w:rFonts w:asciiTheme="minorHAnsi" w:eastAsia="Calibri" w:hAnsiTheme="minorHAnsi" w:cstheme="minorHAnsi"/>
          <w:noProof/>
          <w:color w:val="000000"/>
          <w:lang w:val="es-PE"/>
        </w:rPr>
        <w:drawing>
          <wp:inline distT="0" distB="0" distL="0" distR="0" wp14:anchorId="07CB664C" wp14:editId="2120167A">
            <wp:extent cx="5400040" cy="2685415"/>
            <wp:effectExtent l="0" t="0" r="0" b="635"/>
            <wp:docPr id="213361743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00"/>
                    <a:srcRect/>
                    <a:stretch>
                      <a:fillRect/>
                    </a:stretch>
                  </pic:blipFill>
                  <pic:spPr>
                    <a:xfrm>
                      <a:off x="0" y="0"/>
                      <a:ext cx="5400040" cy="2685415"/>
                    </a:xfrm>
                    <a:prstGeom prst="rect">
                      <a:avLst/>
                    </a:prstGeom>
                    <a:ln/>
                  </pic:spPr>
                </pic:pic>
              </a:graphicData>
            </a:graphic>
          </wp:inline>
        </w:drawing>
      </w:r>
    </w:p>
    <w:p w14:paraId="0B48A9CC" w14:textId="54DF5D4D" w:rsidR="001F600C" w:rsidRPr="00285D58" w:rsidRDefault="001F600C" w:rsidP="008D1FFF">
      <w:pPr>
        <w:pBdr>
          <w:top w:val="nil"/>
          <w:left w:val="nil"/>
          <w:bottom w:val="nil"/>
          <w:right w:val="nil"/>
          <w:between w:val="nil"/>
        </w:pBdr>
        <w:spacing w:after="240" w:line="276" w:lineRule="auto"/>
        <w:ind w:left="709" w:firstLine="284"/>
        <w:jc w:val="center"/>
        <w:rPr>
          <w:rFonts w:asciiTheme="minorHAnsi" w:eastAsia="Calibri" w:hAnsiTheme="minorHAnsi" w:cstheme="minorHAnsi"/>
          <w:color w:val="000000"/>
        </w:rPr>
      </w:pPr>
      <w:r w:rsidRPr="00285D58">
        <w:rPr>
          <w:rFonts w:asciiTheme="minorHAnsi" w:eastAsia="Calibri" w:hAnsiTheme="minorHAnsi" w:cstheme="minorHAnsi"/>
          <w:color w:val="000000"/>
        </w:rPr>
        <w:t>Fuente: Cotización de Bus County, Hyundai</w:t>
      </w:r>
      <w:r w:rsidR="00764D55" w:rsidRPr="00285D58">
        <w:rPr>
          <w:rFonts w:asciiTheme="minorHAnsi" w:eastAsia="Calibri" w:hAnsiTheme="minorHAnsi" w:cstheme="minorHAnsi"/>
          <w:color w:val="000000"/>
        </w:rPr>
        <w:t>.</w:t>
      </w:r>
    </w:p>
    <w:p w14:paraId="7DA6AE41"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Adicionalmente, las áreas exteriores de la estación se encuentran calculadas para amortiguar el eventual auge de usuarios en fechas y horarios pico. Por ello, se está incorporando al diseño una plaza con la función de espacio de llegada y que permita albergar al exceso de usuarios en distintas situaciones. Dicha plaza se encuentra dimensionada para permitir diferentes actividades que aparecerán según los requerimientos del proyecto y su entorno urbano, como ferias comerciales, festivales culturales o eventos de entretenimiento. Además, se han incorporado las áreas necesarias para la administración y operación del servicio de transporte turístico; así como el espacio necesario para la circulación y el estacionamiento de los buses. </w:t>
      </w:r>
    </w:p>
    <w:p w14:paraId="7E77E7D3"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dimensionamiento preliminar de las Estaciones Centrales se ha realizado considerando los aforos mínimos calculados en el dimensionamiento del Proyecto.</w:t>
      </w:r>
    </w:p>
    <w:p w14:paraId="59057F5D" w14:textId="77777777" w:rsidR="001F600C" w:rsidRPr="00285D58" w:rsidRDefault="001F600C" w:rsidP="008D1FFF">
      <w:pPr>
        <w:pBdr>
          <w:top w:val="nil"/>
          <w:left w:val="nil"/>
          <w:bottom w:val="nil"/>
          <w:right w:val="nil"/>
          <w:between w:val="nil"/>
        </w:pBdr>
        <w:spacing w:after="24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dimensionamiento final, además del aforo mínimo, incluye áreas de servicio para los visitantes (zonas comerciales, restaurantes, áreas de interpretación, entre otras) y zonas de administrativas y </w:t>
      </w:r>
      <w:r w:rsidRPr="00285D58">
        <w:rPr>
          <w:rFonts w:asciiTheme="minorHAnsi" w:eastAsia="Calibri" w:hAnsiTheme="minorHAnsi" w:cstheme="minorHAnsi"/>
          <w:color w:val="000000"/>
        </w:rPr>
        <w:lastRenderedPageBreak/>
        <w:t xml:space="preserve">mantenimiento para la operación del sistema. Las dimensiones de estos espacios han sido estimadas en </w:t>
      </w:r>
      <w:sdt>
        <w:sdtPr>
          <w:rPr>
            <w:rFonts w:asciiTheme="minorHAnsi" w:hAnsiTheme="minorHAnsi" w:cstheme="minorHAnsi"/>
          </w:rPr>
          <w:tag w:val="goog_rdk_119"/>
          <w:id w:val="168067709"/>
        </w:sdtPr>
        <w:sdtContent/>
      </w:sdt>
      <w:sdt>
        <w:sdtPr>
          <w:rPr>
            <w:rFonts w:asciiTheme="minorHAnsi" w:hAnsiTheme="minorHAnsi" w:cstheme="minorHAnsi"/>
          </w:rPr>
          <w:tag w:val="goog_rdk_120"/>
          <w:id w:val="1236897348"/>
        </w:sdtPr>
        <w:sdtContent/>
      </w:sdt>
      <w:r w:rsidRPr="00285D58">
        <w:rPr>
          <w:rFonts w:asciiTheme="minorHAnsi" w:eastAsia="Calibri" w:hAnsiTheme="minorHAnsi" w:cstheme="minorHAnsi"/>
          <w:color w:val="000000"/>
        </w:rPr>
        <w:t>base a los aforos máximos y las condiciones territoriales donde se implanta la propuesta. De forma complementaria, se han propuesto un tratamiento exterior que incluye accesos y plazas exteriores por seguridad, en caso de evacuación del edificio, o en caso se requiera por algún inconveniente en el funcionamiento del modelo de operación.</w:t>
      </w:r>
    </w:p>
    <w:p w14:paraId="42F3FA69" w14:textId="1EFA959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30</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CENTRAL YANAMA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20"/>
        <w:gridCol w:w="696"/>
        <w:gridCol w:w="2174"/>
        <w:gridCol w:w="928"/>
        <w:gridCol w:w="797"/>
        <w:gridCol w:w="1571"/>
        <w:gridCol w:w="1240"/>
      </w:tblGrid>
      <w:tr w:rsidR="001F600C" w:rsidRPr="00285D58" w14:paraId="6B079261" w14:textId="77777777" w:rsidTr="00242093">
        <w:trPr>
          <w:trHeight w:val="399"/>
          <w:jc w:val="center"/>
        </w:trPr>
        <w:tc>
          <w:tcPr>
            <w:tcW w:w="8926" w:type="dxa"/>
            <w:gridSpan w:val="7"/>
            <w:shd w:val="clear" w:color="auto" w:fill="E7E6E6" w:themeFill="background2"/>
          </w:tcPr>
          <w:p w14:paraId="24DA700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EC01 – ESTACIÓN CENTRAL YANAMA</w:t>
            </w:r>
          </w:p>
        </w:tc>
      </w:tr>
      <w:tr w:rsidR="001F600C" w:rsidRPr="00285D58" w14:paraId="2AD9402B" w14:textId="77777777" w:rsidTr="00242093">
        <w:trPr>
          <w:trHeight w:val="399"/>
          <w:jc w:val="center"/>
        </w:trPr>
        <w:tc>
          <w:tcPr>
            <w:tcW w:w="1520" w:type="dxa"/>
            <w:shd w:val="clear" w:color="auto" w:fill="E7E6E6" w:themeFill="background2"/>
          </w:tcPr>
          <w:p w14:paraId="1C87800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96" w:type="dxa"/>
            <w:shd w:val="clear" w:color="auto" w:fill="E7E6E6" w:themeFill="background2"/>
          </w:tcPr>
          <w:p w14:paraId="1547A93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174" w:type="dxa"/>
            <w:shd w:val="clear" w:color="auto" w:fill="E7E6E6" w:themeFill="background2"/>
          </w:tcPr>
          <w:p w14:paraId="79339BE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928" w:type="dxa"/>
            <w:shd w:val="clear" w:color="auto" w:fill="E7E6E6" w:themeFill="background2"/>
          </w:tcPr>
          <w:p w14:paraId="4BF1404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368" w:type="dxa"/>
            <w:gridSpan w:val="2"/>
            <w:shd w:val="clear" w:color="auto" w:fill="E7E6E6" w:themeFill="background2"/>
          </w:tcPr>
          <w:p w14:paraId="013C4076"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40" w:type="dxa"/>
            <w:shd w:val="clear" w:color="auto" w:fill="E7E6E6" w:themeFill="background2"/>
          </w:tcPr>
          <w:p w14:paraId="7F819FB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2777448F" w14:textId="77777777" w:rsidTr="00242093">
        <w:trPr>
          <w:trHeight w:val="240"/>
          <w:jc w:val="center"/>
        </w:trPr>
        <w:tc>
          <w:tcPr>
            <w:tcW w:w="1520" w:type="dxa"/>
            <w:shd w:val="clear" w:color="auto" w:fill="E7E6E6" w:themeFill="background2"/>
          </w:tcPr>
          <w:p w14:paraId="6B7F8D6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870" w:type="dxa"/>
            <w:gridSpan w:val="2"/>
            <w:shd w:val="clear" w:color="auto" w:fill="E7E6E6" w:themeFill="background2"/>
          </w:tcPr>
          <w:p w14:paraId="1760BC2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28" w:type="dxa"/>
            <w:shd w:val="clear" w:color="auto" w:fill="E7E6E6" w:themeFill="background2"/>
          </w:tcPr>
          <w:p w14:paraId="751FEBA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604</w:t>
            </w:r>
          </w:p>
        </w:tc>
        <w:tc>
          <w:tcPr>
            <w:tcW w:w="2368" w:type="dxa"/>
            <w:gridSpan w:val="2"/>
            <w:shd w:val="clear" w:color="auto" w:fill="E7E6E6" w:themeFill="background2"/>
          </w:tcPr>
          <w:p w14:paraId="64A14A2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40" w:type="dxa"/>
            <w:shd w:val="clear" w:color="auto" w:fill="E7E6E6" w:themeFill="background2"/>
          </w:tcPr>
          <w:p w14:paraId="1AA783C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3242.49 m2</w:t>
            </w:r>
          </w:p>
        </w:tc>
      </w:tr>
      <w:tr w:rsidR="001F600C" w:rsidRPr="00285D58" w14:paraId="1946C544" w14:textId="77777777" w:rsidTr="00242093">
        <w:trPr>
          <w:trHeight w:val="227"/>
          <w:jc w:val="center"/>
        </w:trPr>
        <w:tc>
          <w:tcPr>
            <w:tcW w:w="1520" w:type="dxa"/>
            <w:vMerge w:val="restart"/>
          </w:tcPr>
          <w:p w14:paraId="258DDE9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96" w:type="dxa"/>
          </w:tcPr>
          <w:p w14:paraId="4EA038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73A40F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Boletería</w:t>
            </w:r>
          </w:p>
        </w:tc>
        <w:tc>
          <w:tcPr>
            <w:tcW w:w="928" w:type="dxa"/>
          </w:tcPr>
          <w:p w14:paraId="77E4C7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w:t>
            </w:r>
          </w:p>
        </w:tc>
        <w:tc>
          <w:tcPr>
            <w:tcW w:w="797" w:type="dxa"/>
          </w:tcPr>
          <w:p w14:paraId="1EC50A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83E39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5629B6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16.80 m2</w:t>
            </w:r>
          </w:p>
        </w:tc>
      </w:tr>
      <w:tr w:rsidR="001F600C" w:rsidRPr="00285D58" w14:paraId="4705ACF8" w14:textId="77777777" w:rsidTr="00242093">
        <w:trPr>
          <w:trHeight w:val="227"/>
          <w:jc w:val="center"/>
        </w:trPr>
        <w:tc>
          <w:tcPr>
            <w:tcW w:w="1520" w:type="dxa"/>
            <w:vMerge/>
          </w:tcPr>
          <w:p w14:paraId="4B0A78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BB412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7626798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w:t>
            </w:r>
          </w:p>
        </w:tc>
        <w:tc>
          <w:tcPr>
            <w:tcW w:w="928" w:type="dxa"/>
          </w:tcPr>
          <w:p w14:paraId="3D104D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797" w:type="dxa"/>
          </w:tcPr>
          <w:p w14:paraId="358BB9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13.65</w:t>
            </w:r>
          </w:p>
        </w:tc>
        <w:tc>
          <w:tcPr>
            <w:tcW w:w="1571" w:type="dxa"/>
          </w:tcPr>
          <w:p w14:paraId="4C4CA3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3325A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27.29 m2</w:t>
            </w:r>
          </w:p>
        </w:tc>
      </w:tr>
      <w:tr w:rsidR="001F600C" w:rsidRPr="00285D58" w14:paraId="0A720816" w14:textId="77777777" w:rsidTr="00242093">
        <w:trPr>
          <w:trHeight w:val="227"/>
          <w:jc w:val="center"/>
        </w:trPr>
        <w:tc>
          <w:tcPr>
            <w:tcW w:w="1520" w:type="dxa"/>
            <w:vMerge/>
          </w:tcPr>
          <w:p w14:paraId="3FC9713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E0A5ED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EE55FF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209F0B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08A058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1A01AF9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4DBA98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2.94 m2</w:t>
            </w:r>
          </w:p>
        </w:tc>
      </w:tr>
      <w:tr w:rsidR="001F600C" w:rsidRPr="00285D58" w14:paraId="3AA25C2D" w14:textId="77777777" w:rsidTr="00242093">
        <w:trPr>
          <w:trHeight w:val="227"/>
          <w:jc w:val="center"/>
        </w:trPr>
        <w:tc>
          <w:tcPr>
            <w:tcW w:w="1520" w:type="dxa"/>
            <w:vMerge/>
          </w:tcPr>
          <w:p w14:paraId="53ACF1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CB427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6507B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28" w:type="dxa"/>
          </w:tcPr>
          <w:p w14:paraId="28A4DB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78D9C5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6EB4DEB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2BD2375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 m2</w:t>
            </w:r>
          </w:p>
        </w:tc>
      </w:tr>
      <w:tr w:rsidR="001F600C" w:rsidRPr="00285D58" w14:paraId="28F66129" w14:textId="77777777" w:rsidTr="00242093">
        <w:trPr>
          <w:trHeight w:val="227"/>
          <w:jc w:val="center"/>
        </w:trPr>
        <w:tc>
          <w:tcPr>
            <w:tcW w:w="1520" w:type="dxa"/>
            <w:vMerge/>
          </w:tcPr>
          <w:p w14:paraId="01B6F41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2BE72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3F4B58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 administrativas</w:t>
            </w:r>
          </w:p>
        </w:tc>
        <w:tc>
          <w:tcPr>
            <w:tcW w:w="928" w:type="dxa"/>
          </w:tcPr>
          <w:p w14:paraId="487E8B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w:t>
            </w:r>
          </w:p>
        </w:tc>
        <w:tc>
          <w:tcPr>
            <w:tcW w:w="797" w:type="dxa"/>
          </w:tcPr>
          <w:p w14:paraId="39CBA1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3.11</w:t>
            </w:r>
          </w:p>
        </w:tc>
        <w:tc>
          <w:tcPr>
            <w:tcW w:w="1571" w:type="dxa"/>
          </w:tcPr>
          <w:p w14:paraId="540CE0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0D203DF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24.84 m2</w:t>
            </w:r>
          </w:p>
        </w:tc>
      </w:tr>
      <w:tr w:rsidR="001F600C" w:rsidRPr="00285D58" w14:paraId="4BCB57D2" w14:textId="77777777" w:rsidTr="00242093">
        <w:trPr>
          <w:trHeight w:val="227"/>
          <w:jc w:val="center"/>
        </w:trPr>
        <w:tc>
          <w:tcPr>
            <w:tcW w:w="1520" w:type="dxa"/>
            <w:vMerge/>
          </w:tcPr>
          <w:p w14:paraId="0EFA24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D5195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DDA31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928" w:type="dxa"/>
          </w:tcPr>
          <w:p w14:paraId="26AD870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w:t>
            </w:r>
          </w:p>
        </w:tc>
        <w:tc>
          <w:tcPr>
            <w:tcW w:w="797" w:type="dxa"/>
          </w:tcPr>
          <w:p w14:paraId="6A213C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2.06</w:t>
            </w:r>
          </w:p>
        </w:tc>
        <w:tc>
          <w:tcPr>
            <w:tcW w:w="1571" w:type="dxa"/>
          </w:tcPr>
          <w:p w14:paraId="1809C7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4A2D6D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30.87 m2</w:t>
            </w:r>
          </w:p>
        </w:tc>
      </w:tr>
      <w:tr w:rsidR="001F600C" w:rsidRPr="00285D58" w14:paraId="3FD928BA" w14:textId="77777777" w:rsidTr="00242093">
        <w:trPr>
          <w:trHeight w:val="227"/>
          <w:jc w:val="center"/>
        </w:trPr>
        <w:tc>
          <w:tcPr>
            <w:tcW w:w="1520" w:type="dxa"/>
            <w:vMerge/>
          </w:tcPr>
          <w:p w14:paraId="52F4E4B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7F7EB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D04C5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28" w:type="dxa"/>
          </w:tcPr>
          <w:p w14:paraId="5B078E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BF3F4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68F073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6B79EF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6.49 m2</w:t>
            </w:r>
          </w:p>
        </w:tc>
      </w:tr>
      <w:tr w:rsidR="001F600C" w:rsidRPr="00285D58" w14:paraId="320776F0" w14:textId="77777777" w:rsidTr="00242093">
        <w:trPr>
          <w:trHeight w:val="227"/>
          <w:jc w:val="center"/>
        </w:trPr>
        <w:tc>
          <w:tcPr>
            <w:tcW w:w="1520" w:type="dxa"/>
            <w:vMerge/>
          </w:tcPr>
          <w:p w14:paraId="08FC34D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E83408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1C4FEF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mecánico</w:t>
            </w:r>
          </w:p>
        </w:tc>
        <w:tc>
          <w:tcPr>
            <w:tcW w:w="928" w:type="dxa"/>
          </w:tcPr>
          <w:p w14:paraId="41AAE8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4A99E6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A2FB6E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6389A1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7.13 m2</w:t>
            </w:r>
          </w:p>
        </w:tc>
      </w:tr>
      <w:tr w:rsidR="001F600C" w:rsidRPr="00285D58" w14:paraId="72294F84" w14:textId="77777777" w:rsidTr="00242093">
        <w:trPr>
          <w:trHeight w:val="227"/>
          <w:jc w:val="center"/>
        </w:trPr>
        <w:tc>
          <w:tcPr>
            <w:tcW w:w="1520" w:type="dxa"/>
            <w:vMerge/>
          </w:tcPr>
          <w:p w14:paraId="636AB16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F256D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29D660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bombas</w:t>
            </w:r>
          </w:p>
        </w:tc>
        <w:tc>
          <w:tcPr>
            <w:tcW w:w="928" w:type="dxa"/>
          </w:tcPr>
          <w:p w14:paraId="204F25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753F03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A337F7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74AED4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7.43 m2</w:t>
            </w:r>
          </w:p>
        </w:tc>
      </w:tr>
      <w:tr w:rsidR="001F600C" w:rsidRPr="00285D58" w14:paraId="3CA7098F" w14:textId="77777777" w:rsidTr="00242093">
        <w:trPr>
          <w:trHeight w:val="227"/>
          <w:jc w:val="center"/>
        </w:trPr>
        <w:tc>
          <w:tcPr>
            <w:tcW w:w="1520" w:type="dxa"/>
            <w:vMerge/>
          </w:tcPr>
          <w:p w14:paraId="35DC79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628826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3B1EB9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Cisterna</w:t>
            </w:r>
          </w:p>
        </w:tc>
        <w:tc>
          <w:tcPr>
            <w:tcW w:w="928" w:type="dxa"/>
          </w:tcPr>
          <w:p w14:paraId="24C9C8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C1A11B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3F25EAA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CA7CE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13.11 m2</w:t>
            </w:r>
          </w:p>
        </w:tc>
      </w:tr>
      <w:tr w:rsidR="001F600C" w:rsidRPr="00285D58" w14:paraId="3629AF26" w14:textId="77777777" w:rsidTr="00242093">
        <w:trPr>
          <w:trHeight w:val="227"/>
          <w:jc w:val="center"/>
        </w:trPr>
        <w:tc>
          <w:tcPr>
            <w:tcW w:w="1520" w:type="dxa"/>
            <w:vMerge/>
          </w:tcPr>
          <w:p w14:paraId="6F26843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3AC41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726511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2A6E146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C129D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5138986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033C2A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3.66 m2</w:t>
            </w:r>
          </w:p>
        </w:tc>
      </w:tr>
      <w:tr w:rsidR="001F600C" w:rsidRPr="00285D58" w14:paraId="63CCABCD" w14:textId="77777777" w:rsidTr="00242093">
        <w:trPr>
          <w:trHeight w:val="227"/>
          <w:jc w:val="center"/>
        </w:trPr>
        <w:tc>
          <w:tcPr>
            <w:tcW w:w="1520" w:type="dxa"/>
            <w:vMerge/>
          </w:tcPr>
          <w:p w14:paraId="783119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EA291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0DC51D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cuarto de máquinas</w:t>
            </w:r>
          </w:p>
        </w:tc>
        <w:tc>
          <w:tcPr>
            <w:tcW w:w="928" w:type="dxa"/>
          </w:tcPr>
          <w:p w14:paraId="5E100A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2870BB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07E844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74AB1E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3.38 m2</w:t>
            </w:r>
          </w:p>
        </w:tc>
      </w:tr>
      <w:tr w:rsidR="001F600C" w:rsidRPr="00285D58" w14:paraId="378EE2C7" w14:textId="77777777" w:rsidTr="00242093">
        <w:trPr>
          <w:trHeight w:val="227"/>
          <w:jc w:val="center"/>
        </w:trPr>
        <w:tc>
          <w:tcPr>
            <w:tcW w:w="1520" w:type="dxa"/>
            <w:vMerge w:val="restart"/>
          </w:tcPr>
          <w:p w14:paraId="3DE7C0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96" w:type="dxa"/>
          </w:tcPr>
          <w:p w14:paraId="7EC901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00598E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Cajeros</w:t>
            </w:r>
          </w:p>
        </w:tc>
        <w:tc>
          <w:tcPr>
            <w:tcW w:w="928" w:type="dxa"/>
          </w:tcPr>
          <w:p w14:paraId="06C8DA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627E62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259C99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03BE53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8.74 m2</w:t>
            </w:r>
          </w:p>
        </w:tc>
      </w:tr>
      <w:tr w:rsidR="001F600C" w:rsidRPr="00285D58" w14:paraId="06D214B0" w14:textId="77777777" w:rsidTr="00242093">
        <w:trPr>
          <w:trHeight w:val="227"/>
          <w:jc w:val="center"/>
        </w:trPr>
        <w:tc>
          <w:tcPr>
            <w:tcW w:w="1520" w:type="dxa"/>
            <w:vMerge/>
          </w:tcPr>
          <w:p w14:paraId="7F9EC76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954B5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1D03F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Casilleros</w:t>
            </w:r>
          </w:p>
        </w:tc>
        <w:tc>
          <w:tcPr>
            <w:tcW w:w="928" w:type="dxa"/>
          </w:tcPr>
          <w:p w14:paraId="7D2BDD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16E075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3C0D1C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5DFE7B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7.67 m2</w:t>
            </w:r>
          </w:p>
        </w:tc>
      </w:tr>
      <w:tr w:rsidR="001F600C" w:rsidRPr="00285D58" w14:paraId="17600E7E" w14:textId="77777777" w:rsidTr="00242093">
        <w:trPr>
          <w:trHeight w:val="227"/>
          <w:jc w:val="center"/>
        </w:trPr>
        <w:tc>
          <w:tcPr>
            <w:tcW w:w="1520" w:type="dxa"/>
            <w:vMerge/>
          </w:tcPr>
          <w:p w14:paraId="447062B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6885B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830E6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928" w:type="dxa"/>
          </w:tcPr>
          <w:p w14:paraId="670B0F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797" w:type="dxa"/>
          </w:tcPr>
          <w:p w14:paraId="2E565A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5.07</w:t>
            </w:r>
          </w:p>
        </w:tc>
        <w:tc>
          <w:tcPr>
            <w:tcW w:w="1571" w:type="dxa"/>
          </w:tcPr>
          <w:p w14:paraId="41EC310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40" w:type="dxa"/>
          </w:tcPr>
          <w:p w14:paraId="1D2108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15.21 m2</w:t>
            </w:r>
          </w:p>
        </w:tc>
      </w:tr>
      <w:tr w:rsidR="001F600C" w:rsidRPr="00285D58" w14:paraId="2D0DD1E7" w14:textId="77777777" w:rsidTr="00242093">
        <w:trPr>
          <w:trHeight w:val="227"/>
          <w:jc w:val="center"/>
        </w:trPr>
        <w:tc>
          <w:tcPr>
            <w:tcW w:w="1520" w:type="dxa"/>
            <w:vMerge/>
          </w:tcPr>
          <w:p w14:paraId="5B18B98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E938F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DEA43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28" w:type="dxa"/>
          </w:tcPr>
          <w:p w14:paraId="7F226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65F8D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AC16A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6920DE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17.25 m2</w:t>
            </w:r>
          </w:p>
        </w:tc>
      </w:tr>
      <w:tr w:rsidR="001F600C" w:rsidRPr="00285D58" w14:paraId="58F0F88A" w14:textId="77777777" w:rsidTr="00242093">
        <w:trPr>
          <w:trHeight w:val="227"/>
          <w:jc w:val="center"/>
        </w:trPr>
        <w:tc>
          <w:tcPr>
            <w:tcW w:w="1520" w:type="dxa"/>
            <w:vMerge/>
          </w:tcPr>
          <w:p w14:paraId="063A4B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56404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6903D6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28" w:type="dxa"/>
          </w:tcPr>
          <w:p w14:paraId="5347EE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98BBE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71" w:type="dxa"/>
          </w:tcPr>
          <w:p w14:paraId="510E958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378A8A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18.61 m2</w:t>
            </w:r>
          </w:p>
        </w:tc>
      </w:tr>
      <w:tr w:rsidR="001F600C" w:rsidRPr="00285D58" w14:paraId="28B420C4" w14:textId="77777777" w:rsidTr="00242093">
        <w:trPr>
          <w:trHeight w:val="227"/>
          <w:jc w:val="center"/>
        </w:trPr>
        <w:tc>
          <w:tcPr>
            <w:tcW w:w="1520" w:type="dxa"/>
            <w:vMerge/>
          </w:tcPr>
          <w:p w14:paraId="2F7BB9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88359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220535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3CDB18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C3C4A1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FF283C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45B76B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2.73 m2</w:t>
            </w:r>
          </w:p>
        </w:tc>
      </w:tr>
      <w:tr w:rsidR="001F600C" w:rsidRPr="00285D58" w14:paraId="11D0F341" w14:textId="77777777" w:rsidTr="00242093">
        <w:trPr>
          <w:trHeight w:val="227"/>
          <w:jc w:val="center"/>
        </w:trPr>
        <w:tc>
          <w:tcPr>
            <w:tcW w:w="1520" w:type="dxa"/>
            <w:vMerge/>
          </w:tcPr>
          <w:p w14:paraId="2159C57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BFA0E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30820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28" w:type="dxa"/>
          </w:tcPr>
          <w:p w14:paraId="39C24B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DE65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3925C19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788142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4.06 m2</w:t>
            </w:r>
          </w:p>
        </w:tc>
      </w:tr>
      <w:tr w:rsidR="001F600C" w:rsidRPr="00285D58" w14:paraId="518E67AC" w14:textId="77777777" w:rsidTr="00242093">
        <w:trPr>
          <w:trHeight w:val="227"/>
          <w:jc w:val="center"/>
        </w:trPr>
        <w:tc>
          <w:tcPr>
            <w:tcW w:w="1520" w:type="dxa"/>
            <w:vMerge/>
          </w:tcPr>
          <w:p w14:paraId="1810AD0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2C9AF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E51DA1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28" w:type="dxa"/>
          </w:tcPr>
          <w:p w14:paraId="45296E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16F57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78A98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6AFB9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20.79 m2</w:t>
            </w:r>
          </w:p>
        </w:tc>
      </w:tr>
      <w:tr w:rsidR="001F600C" w:rsidRPr="00285D58" w14:paraId="7B914E72" w14:textId="77777777" w:rsidTr="00242093">
        <w:trPr>
          <w:trHeight w:val="227"/>
          <w:jc w:val="center"/>
        </w:trPr>
        <w:tc>
          <w:tcPr>
            <w:tcW w:w="1520" w:type="dxa"/>
            <w:vMerge/>
          </w:tcPr>
          <w:p w14:paraId="5F2C18C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9C0A9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F352C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28" w:type="dxa"/>
          </w:tcPr>
          <w:p w14:paraId="25F3B0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0CF60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71" w:type="dxa"/>
          </w:tcPr>
          <w:p w14:paraId="7EC470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40" w:type="dxa"/>
          </w:tcPr>
          <w:p w14:paraId="5109AF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20.79 m2</w:t>
            </w:r>
          </w:p>
        </w:tc>
      </w:tr>
      <w:tr w:rsidR="001F600C" w:rsidRPr="00285D58" w14:paraId="700ED514" w14:textId="77777777" w:rsidTr="00242093">
        <w:trPr>
          <w:trHeight w:val="227"/>
          <w:jc w:val="center"/>
        </w:trPr>
        <w:tc>
          <w:tcPr>
            <w:tcW w:w="1520" w:type="dxa"/>
            <w:vMerge/>
          </w:tcPr>
          <w:p w14:paraId="107B5F1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7FC53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6229E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928" w:type="dxa"/>
          </w:tcPr>
          <w:p w14:paraId="091B73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7D373E1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4B54F8E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5DD90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4.27 m2</w:t>
            </w:r>
          </w:p>
        </w:tc>
      </w:tr>
      <w:tr w:rsidR="001F600C" w:rsidRPr="00285D58" w14:paraId="52503E2A" w14:textId="77777777" w:rsidTr="00242093">
        <w:trPr>
          <w:trHeight w:val="227"/>
          <w:jc w:val="center"/>
        </w:trPr>
        <w:tc>
          <w:tcPr>
            <w:tcW w:w="1520" w:type="dxa"/>
            <w:vMerge/>
          </w:tcPr>
          <w:p w14:paraId="0411447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57B9D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125E0F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28" w:type="dxa"/>
          </w:tcPr>
          <w:p w14:paraId="3D931C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FA604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2F157C7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66547D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5.13 m2</w:t>
            </w:r>
          </w:p>
        </w:tc>
      </w:tr>
      <w:tr w:rsidR="001F600C" w:rsidRPr="00285D58" w14:paraId="3F2F1235" w14:textId="77777777" w:rsidTr="00242093">
        <w:trPr>
          <w:trHeight w:val="227"/>
          <w:jc w:val="center"/>
        </w:trPr>
        <w:tc>
          <w:tcPr>
            <w:tcW w:w="1520" w:type="dxa"/>
            <w:vMerge w:val="restart"/>
          </w:tcPr>
          <w:p w14:paraId="6B6DA4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Cafetería</w:t>
            </w:r>
          </w:p>
        </w:tc>
        <w:tc>
          <w:tcPr>
            <w:tcW w:w="696" w:type="dxa"/>
          </w:tcPr>
          <w:p w14:paraId="6849DB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46D88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Cocina</w:t>
            </w:r>
          </w:p>
        </w:tc>
        <w:tc>
          <w:tcPr>
            <w:tcW w:w="928" w:type="dxa"/>
          </w:tcPr>
          <w:p w14:paraId="291318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797" w:type="dxa"/>
          </w:tcPr>
          <w:p w14:paraId="5CAF97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9.30</w:t>
            </w:r>
          </w:p>
        </w:tc>
        <w:tc>
          <w:tcPr>
            <w:tcW w:w="1571" w:type="dxa"/>
          </w:tcPr>
          <w:p w14:paraId="5746C4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4</w:t>
            </w:r>
          </w:p>
        </w:tc>
        <w:tc>
          <w:tcPr>
            <w:tcW w:w="1240" w:type="dxa"/>
          </w:tcPr>
          <w:p w14:paraId="50F417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11.16 m2</w:t>
            </w:r>
          </w:p>
        </w:tc>
      </w:tr>
      <w:tr w:rsidR="001F600C" w:rsidRPr="00285D58" w14:paraId="0DA919F7" w14:textId="77777777" w:rsidTr="00242093">
        <w:trPr>
          <w:trHeight w:val="227"/>
          <w:jc w:val="center"/>
        </w:trPr>
        <w:tc>
          <w:tcPr>
            <w:tcW w:w="1520" w:type="dxa"/>
            <w:vMerge/>
          </w:tcPr>
          <w:p w14:paraId="0BDA534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1BA4E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36227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cocina</w:t>
            </w:r>
          </w:p>
        </w:tc>
        <w:tc>
          <w:tcPr>
            <w:tcW w:w="928" w:type="dxa"/>
          </w:tcPr>
          <w:p w14:paraId="178C20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75BC3E6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71" w:type="dxa"/>
          </w:tcPr>
          <w:p w14:paraId="51B416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40" w:type="dxa"/>
          </w:tcPr>
          <w:p w14:paraId="04CED4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3.37 m2</w:t>
            </w:r>
          </w:p>
        </w:tc>
      </w:tr>
      <w:tr w:rsidR="001F600C" w:rsidRPr="00285D58" w14:paraId="5388DDAD" w14:textId="77777777" w:rsidTr="00242093">
        <w:trPr>
          <w:trHeight w:val="227"/>
          <w:jc w:val="center"/>
        </w:trPr>
        <w:tc>
          <w:tcPr>
            <w:tcW w:w="1520" w:type="dxa"/>
            <w:vMerge/>
          </w:tcPr>
          <w:p w14:paraId="2B55D12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64596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06A750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cocina</w:t>
            </w:r>
          </w:p>
        </w:tc>
        <w:tc>
          <w:tcPr>
            <w:tcW w:w="928" w:type="dxa"/>
          </w:tcPr>
          <w:p w14:paraId="5BBF4E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5520DF5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9242DE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C0193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2.70 m2</w:t>
            </w:r>
          </w:p>
        </w:tc>
      </w:tr>
      <w:tr w:rsidR="001F600C" w:rsidRPr="00285D58" w14:paraId="2E2EAF78" w14:textId="77777777" w:rsidTr="00242093">
        <w:trPr>
          <w:trHeight w:val="227"/>
          <w:jc w:val="center"/>
        </w:trPr>
        <w:tc>
          <w:tcPr>
            <w:tcW w:w="1520" w:type="dxa"/>
            <w:vMerge/>
          </w:tcPr>
          <w:p w14:paraId="44AD286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1F439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15F4D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Barra de atención</w:t>
            </w:r>
          </w:p>
        </w:tc>
        <w:tc>
          <w:tcPr>
            <w:tcW w:w="928" w:type="dxa"/>
          </w:tcPr>
          <w:p w14:paraId="503F6C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797" w:type="dxa"/>
          </w:tcPr>
          <w:p w14:paraId="2C438D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5.00</w:t>
            </w:r>
          </w:p>
        </w:tc>
        <w:tc>
          <w:tcPr>
            <w:tcW w:w="1571" w:type="dxa"/>
          </w:tcPr>
          <w:p w14:paraId="368AFA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5</w:t>
            </w:r>
          </w:p>
        </w:tc>
        <w:tc>
          <w:tcPr>
            <w:tcW w:w="1240" w:type="dxa"/>
          </w:tcPr>
          <w:p w14:paraId="0CA843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11.64 m2</w:t>
            </w:r>
          </w:p>
        </w:tc>
      </w:tr>
      <w:tr w:rsidR="001F600C" w:rsidRPr="00285D58" w14:paraId="5DCFD709" w14:textId="77777777" w:rsidTr="00242093">
        <w:trPr>
          <w:trHeight w:val="227"/>
          <w:jc w:val="center"/>
        </w:trPr>
        <w:tc>
          <w:tcPr>
            <w:tcW w:w="1520" w:type="dxa"/>
            <w:vMerge/>
          </w:tcPr>
          <w:p w14:paraId="500E5B6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1D5127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63386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mesas</w:t>
            </w:r>
          </w:p>
        </w:tc>
        <w:tc>
          <w:tcPr>
            <w:tcW w:w="928" w:type="dxa"/>
          </w:tcPr>
          <w:p w14:paraId="31AA7A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w:t>
            </w:r>
          </w:p>
        </w:tc>
        <w:tc>
          <w:tcPr>
            <w:tcW w:w="797" w:type="dxa"/>
          </w:tcPr>
          <w:p w14:paraId="7429D8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w:t>
            </w:r>
          </w:p>
        </w:tc>
        <w:tc>
          <w:tcPr>
            <w:tcW w:w="1571" w:type="dxa"/>
          </w:tcPr>
          <w:p w14:paraId="045A6D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6</w:t>
            </w:r>
          </w:p>
        </w:tc>
        <w:tc>
          <w:tcPr>
            <w:tcW w:w="1240" w:type="dxa"/>
          </w:tcPr>
          <w:p w14:paraId="1C32A4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68.29 m2</w:t>
            </w:r>
          </w:p>
        </w:tc>
      </w:tr>
      <w:tr w:rsidR="001F600C" w:rsidRPr="00285D58" w14:paraId="4C5D112C" w14:textId="77777777" w:rsidTr="00242093">
        <w:trPr>
          <w:trHeight w:val="227"/>
          <w:jc w:val="center"/>
        </w:trPr>
        <w:tc>
          <w:tcPr>
            <w:tcW w:w="1520" w:type="dxa"/>
            <w:vMerge w:val="restart"/>
          </w:tcPr>
          <w:p w14:paraId="09796B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96" w:type="dxa"/>
          </w:tcPr>
          <w:p w14:paraId="122E66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191A2D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 de interpretación</w:t>
            </w:r>
          </w:p>
        </w:tc>
        <w:tc>
          <w:tcPr>
            <w:tcW w:w="928" w:type="dxa"/>
          </w:tcPr>
          <w:p w14:paraId="1C4A52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w:t>
            </w:r>
          </w:p>
        </w:tc>
        <w:tc>
          <w:tcPr>
            <w:tcW w:w="797" w:type="dxa"/>
          </w:tcPr>
          <w:p w14:paraId="6A592C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A09D9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66F126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370.74 m2</w:t>
            </w:r>
          </w:p>
        </w:tc>
      </w:tr>
      <w:tr w:rsidR="001F600C" w:rsidRPr="00285D58" w14:paraId="7512FFDE" w14:textId="77777777" w:rsidTr="00242093">
        <w:trPr>
          <w:trHeight w:val="227"/>
          <w:jc w:val="center"/>
        </w:trPr>
        <w:tc>
          <w:tcPr>
            <w:tcW w:w="1520" w:type="dxa"/>
            <w:vMerge/>
          </w:tcPr>
          <w:p w14:paraId="2968A77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2EEC67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3E4998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Terraza mirador</w:t>
            </w:r>
          </w:p>
        </w:tc>
        <w:tc>
          <w:tcPr>
            <w:tcW w:w="928" w:type="dxa"/>
          </w:tcPr>
          <w:p w14:paraId="287E35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0CC59D6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143400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2A074C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82.88 m2</w:t>
            </w:r>
          </w:p>
        </w:tc>
      </w:tr>
      <w:tr w:rsidR="001F600C" w:rsidRPr="00285D58" w14:paraId="2B4C786E" w14:textId="77777777" w:rsidTr="00242093">
        <w:trPr>
          <w:trHeight w:val="227"/>
          <w:jc w:val="center"/>
        </w:trPr>
        <w:tc>
          <w:tcPr>
            <w:tcW w:w="1520" w:type="dxa"/>
            <w:vMerge/>
          </w:tcPr>
          <w:p w14:paraId="74EEE9D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0C8F04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65AD73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interpretación</w:t>
            </w:r>
          </w:p>
        </w:tc>
        <w:tc>
          <w:tcPr>
            <w:tcW w:w="928" w:type="dxa"/>
          </w:tcPr>
          <w:p w14:paraId="4A443B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54</w:t>
            </w:r>
          </w:p>
        </w:tc>
        <w:tc>
          <w:tcPr>
            <w:tcW w:w="797" w:type="dxa"/>
          </w:tcPr>
          <w:p w14:paraId="36BE0E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344FBF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72686D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161.61 m2</w:t>
            </w:r>
          </w:p>
        </w:tc>
      </w:tr>
      <w:tr w:rsidR="001F600C" w:rsidRPr="00285D58" w14:paraId="1D7A6D5F" w14:textId="77777777" w:rsidTr="00242093">
        <w:trPr>
          <w:trHeight w:val="227"/>
          <w:jc w:val="center"/>
        </w:trPr>
        <w:tc>
          <w:tcPr>
            <w:tcW w:w="1520" w:type="dxa"/>
            <w:vMerge/>
          </w:tcPr>
          <w:p w14:paraId="2FB4DB3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84AC3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73006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Terraza comedor</w:t>
            </w:r>
          </w:p>
        </w:tc>
        <w:tc>
          <w:tcPr>
            <w:tcW w:w="928" w:type="dxa"/>
          </w:tcPr>
          <w:p w14:paraId="088756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w:t>
            </w:r>
          </w:p>
        </w:tc>
        <w:tc>
          <w:tcPr>
            <w:tcW w:w="797" w:type="dxa"/>
          </w:tcPr>
          <w:p w14:paraId="4B074A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1C3D6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011BAA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110.22 m2</w:t>
            </w:r>
          </w:p>
        </w:tc>
      </w:tr>
      <w:tr w:rsidR="001F600C" w:rsidRPr="00285D58" w14:paraId="13901F2D" w14:textId="77777777" w:rsidTr="00242093">
        <w:trPr>
          <w:trHeight w:val="227"/>
          <w:jc w:val="center"/>
        </w:trPr>
        <w:tc>
          <w:tcPr>
            <w:tcW w:w="1520" w:type="dxa"/>
            <w:vMerge/>
          </w:tcPr>
          <w:p w14:paraId="7CC28C5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4E8F89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7391BD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embarque</w:t>
            </w:r>
          </w:p>
        </w:tc>
        <w:tc>
          <w:tcPr>
            <w:tcW w:w="928" w:type="dxa"/>
          </w:tcPr>
          <w:p w14:paraId="392D77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205581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71" w:type="dxa"/>
          </w:tcPr>
          <w:p w14:paraId="0B67B1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40" w:type="dxa"/>
          </w:tcPr>
          <w:p w14:paraId="2405F4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22.63 m2</w:t>
            </w:r>
          </w:p>
        </w:tc>
      </w:tr>
      <w:tr w:rsidR="001F600C" w:rsidRPr="00285D58" w14:paraId="00E4F0F5" w14:textId="77777777" w:rsidTr="00242093">
        <w:trPr>
          <w:trHeight w:val="227"/>
          <w:jc w:val="center"/>
        </w:trPr>
        <w:tc>
          <w:tcPr>
            <w:tcW w:w="1520" w:type="dxa"/>
            <w:vMerge/>
          </w:tcPr>
          <w:p w14:paraId="1B08C71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ACB34C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20B43A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desembarque</w:t>
            </w:r>
          </w:p>
        </w:tc>
        <w:tc>
          <w:tcPr>
            <w:tcW w:w="928" w:type="dxa"/>
          </w:tcPr>
          <w:p w14:paraId="3D430D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w:t>
            </w:r>
          </w:p>
        </w:tc>
        <w:tc>
          <w:tcPr>
            <w:tcW w:w="797" w:type="dxa"/>
          </w:tcPr>
          <w:p w14:paraId="505E19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71" w:type="dxa"/>
          </w:tcPr>
          <w:p w14:paraId="451815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40" w:type="dxa"/>
          </w:tcPr>
          <w:p w14:paraId="47FE468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22.63 m2</w:t>
            </w:r>
          </w:p>
        </w:tc>
      </w:tr>
      <w:tr w:rsidR="001F600C" w:rsidRPr="00285D58" w14:paraId="3CF26641" w14:textId="77777777" w:rsidTr="00242093">
        <w:trPr>
          <w:trHeight w:val="227"/>
          <w:jc w:val="center"/>
        </w:trPr>
        <w:tc>
          <w:tcPr>
            <w:tcW w:w="1520" w:type="dxa"/>
            <w:vMerge/>
          </w:tcPr>
          <w:p w14:paraId="69FC8BC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88BCB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46129F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interpretación</w:t>
            </w:r>
          </w:p>
        </w:tc>
        <w:tc>
          <w:tcPr>
            <w:tcW w:w="928" w:type="dxa"/>
          </w:tcPr>
          <w:p w14:paraId="5377BC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34</w:t>
            </w:r>
          </w:p>
        </w:tc>
        <w:tc>
          <w:tcPr>
            <w:tcW w:w="797" w:type="dxa"/>
          </w:tcPr>
          <w:p w14:paraId="33864F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429402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4326A77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101.06 m2</w:t>
            </w:r>
          </w:p>
        </w:tc>
      </w:tr>
      <w:tr w:rsidR="001F600C" w:rsidRPr="00285D58" w14:paraId="6886A79C" w14:textId="77777777" w:rsidTr="00242093">
        <w:trPr>
          <w:trHeight w:val="227"/>
          <w:jc w:val="center"/>
        </w:trPr>
        <w:tc>
          <w:tcPr>
            <w:tcW w:w="1520" w:type="dxa"/>
            <w:vMerge/>
          </w:tcPr>
          <w:p w14:paraId="3A499B0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4CD96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4E1E9A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Control de embarque</w:t>
            </w:r>
          </w:p>
        </w:tc>
        <w:tc>
          <w:tcPr>
            <w:tcW w:w="928" w:type="dxa"/>
          </w:tcPr>
          <w:p w14:paraId="070C8AA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w:t>
            </w:r>
          </w:p>
        </w:tc>
        <w:tc>
          <w:tcPr>
            <w:tcW w:w="797" w:type="dxa"/>
          </w:tcPr>
          <w:p w14:paraId="07311E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025CFD6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40" w:type="dxa"/>
          </w:tcPr>
          <w:p w14:paraId="44721B1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30.23 m2</w:t>
            </w:r>
          </w:p>
        </w:tc>
      </w:tr>
      <w:tr w:rsidR="001F600C" w:rsidRPr="00285D58" w14:paraId="362D76C3" w14:textId="77777777" w:rsidTr="00242093">
        <w:trPr>
          <w:trHeight w:val="227"/>
          <w:jc w:val="center"/>
        </w:trPr>
        <w:tc>
          <w:tcPr>
            <w:tcW w:w="1520" w:type="dxa"/>
            <w:vMerge/>
          </w:tcPr>
          <w:p w14:paraId="10D903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706770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4B54EB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abordaje</w:t>
            </w:r>
          </w:p>
        </w:tc>
        <w:tc>
          <w:tcPr>
            <w:tcW w:w="928" w:type="dxa"/>
          </w:tcPr>
          <w:p w14:paraId="13EE60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AF2C71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ECD97C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0043700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104.86 m2</w:t>
            </w:r>
          </w:p>
        </w:tc>
      </w:tr>
      <w:tr w:rsidR="001F600C" w:rsidRPr="00285D58" w14:paraId="44185707" w14:textId="77777777" w:rsidTr="00242093">
        <w:trPr>
          <w:trHeight w:val="227"/>
          <w:jc w:val="center"/>
        </w:trPr>
        <w:tc>
          <w:tcPr>
            <w:tcW w:w="1520" w:type="dxa"/>
          </w:tcPr>
          <w:p w14:paraId="0931F5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comercial</w:t>
            </w:r>
          </w:p>
        </w:tc>
        <w:tc>
          <w:tcPr>
            <w:tcW w:w="696" w:type="dxa"/>
          </w:tcPr>
          <w:p w14:paraId="5CB17A5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+0.70</w:t>
            </w:r>
          </w:p>
        </w:tc>
        <w:tc>
          <w:tcPr>
            <w:tcW w:w="2174" w:type="dxa"/>
          </w:tcPr>
          <w:p w14:paraId="1FAF6D1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928" w:type="dxa"/>
          </w:tcPr>
          <w:p w14:paraId="27F9E8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w:t>
            </w:r>
          </w:p>
        </w:tc>
        <w:tc>
          <w:tcPr>
            <w:tcW w:w="797" w:type="dxa"/>
          </w:tcPr>
          <w:p w14:paraId="394602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71" w:type="dxa"/>
          </w:tcPr>
          <w:p w14:paraId="4DCD1D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40" w:type="dxa"/>
          </w:tcPr>
          <w:p w14:paraId="50F0E1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192.00 m2</w:t>
            </w:r>
          </w:p>
        </w:tc>
      </w:tr>
      <w:tr w:rsidR="001F600C" w:rsidRPr="00285D58" w14:paraId="20CC6221" w14:textId="77777777" w:rsidTr="00242093">
        <w:trPr>
          <w:trHeight w:val="227"/>
          <w:jc w:val="center"/>
        </w:trPr>
        <w:tc>
          <w:tcPr>
            <w:tcW w:w="1520" w:type="dxa"/>
          </w:tcPr>
          <w:p w14:paraId="74CF93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w:t>
            </w:r>
          </w:p>
        </w:tc>
        <w:tc>
          <w:tcPr>
            <w:tcW w:w="696" w:type="dxa"/>
          </w:tcPr>
          <w:p w14:paraId="5A4C9F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489484F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techado</w:t>
            </w:r>
          </w:p>
        </w:tc>
        <w:tc>
          <w:tcPr>
            <w:tcW w:w="928" w:type="dxa"/>
          </w:tcPr>
          <w:p w14:paraId="04BE72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9392A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11.00</w:t>
            </w:r>
          </w:p>
        </w:tc>
        <w:tc>
          <w:tcPr>
            <w:tcW w:w="1571" w:type="dxa"/>
          </w:tcPr>
          <w:p w14:paraId="410EF5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75F706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543.03 m2</w:t>
            </w:r>
          </w:p>
        </w:tc>
      </w:tr>
      <w:tr w:rsidR="001F600C" w:rsidRPr="00285D58" w14:paraId="4124A29A" w14:textId="77777777" w:rsidTr="00242093">
        <w:trPr>
          <w:trHeight w:val="227"/>
          <w:jc w:val="center"/>
        </w:trPr>
        <w:tc>
          <w:tcPr>
            <w:tcW w:w="1520" w:type="dxa"/>
            <w:vMerge w:val="restart"/>
          </w:tcPr>
          <w:p w14:paraId="5BDD51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96" w:type="dxa"/>
          </w:tcPr>
          <w:p w14:paraId="548A6A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174" w:type="dxa"/>
          </w:tcPr>
          <w:p w14:paraId="5D3282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928" w:type="dxa"/>
          </w:tcPr>
          <w:p w14:paraId="75B4A1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2DA7E86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1D8BD3C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848EF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249.22 m2</w:t>
            </w:r>
          </w:p>
        </w:tc>
      </w:tr>
      <w:tr w:rsidR="001F600C" w:rsidRPr="00285D58" w14:paraId="5D10425C" w14:textId="77777777" w:rsidTr="00242093">
        <w:trPr>
          <w:trHeight w:val="227"/>
          <w:jc w:val="center"/>
        </w:trPr>
        <w:tc>
          <w:tcPr>
            <w:tcW w:w="1520" w:type="dxa"/>
            <w:vMerge/>
          </w:tcPr>
          <w:p w14:paraId="357ED5F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DE283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74" w:type="dxa"/>
          </w:tcPr>
          <w:p w14:paraId="55D1FC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espera</w:t>
            </w:r>
          </w:p>
        </w:tc>
        <w:tc>
          <w:tcPr>
            <w:tcW w:w="928" w:type="dxa"/>
          </w:tcPr>
          <w:p w14:paraId="73BE60D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996498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458FEB6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3D46B8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498.45 m2</w:t>
            </w:r>
          </w:p>
        </w:tc>
      </w:tr>
      <w:tr w:rsidR="001F600C" w:rsidRPr="00285D58" w14:paraId="3A053537" w14:textId="77777777" w:rsidTr="00242093">
        <w:trPr>
          <w:trHeight w:val="227"/>
          <w:jc w:val="center"/>
        </w:trPr>
        <w:tc>
          <w:tcPr>
            <w:tcW w:w="1520" w:type="dxa"/>
            <w:vMerge/>
          </w:tcPr>
          <w:p w14:paraId="53CEA9A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3A4E2F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-8.00</w:t>
            </w:r>
          </w:p>
        </w:tc>
        <w:tc>
          <w:tcPr>
            <w:tcW w:w="2174" w:type="dxa"/>
          </w:tcPr>
          <w:p w14:paraId="6487BD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abordaje</w:t>
            </w:r>
          </w:p>
        </w:tc>
        <w:tc>
          <w:tcPr>
            <w:tcW w:w="928" w:type="dxa"/>
          </w:tcPr>
          <w:p w14:paraId="467B575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4D377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3F93DF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26F5AD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383.78 m2</w:t>
            </w:r>
          </w:p>
        </w:tc>
      </w:tr>
      <w:tr w:rsidR="001F600C" w:rsidRPr="00285D58" w14:paraId="5F7E21AD" w14:textId="77777777" w:rsidTr="00242093">
        <w:trPr>
          <w:trHeight w:val="240"/>
          <w:jc w:val="center"/>
        </w:trPr>
        <w:tc>
          <w:tcPr>
            <w:tcW w:w="1520" w:type="dxa"/>
            <w:shd w:val="clear" w:color="auto" w:fill="E7E6E6" w:themeFill="background2"/>
          </w:tcPr>
          <w:p w14:paraId="74D750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Áreas exteriores</w:t>
            </w:r>
          </w:p>
        </w:tc>
        <w:tc>
          <w:tcPr>
            <w:tcW w:w="2870" w:type="dxa"/>
            <w:gridSpan w:val="2"/>
            <w:shd w:val="clear" w:color="auto" w:fill="E7E6E6" w:themeFill="background2"/>
          </w:tcPr>
          <w:p w14:paraId="032CB0D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928" w:type="dxa"/>
            <w:shd w:val="clear" w:color="auto" w:fill="E7E6E6" w:themeFill="background2"/>
          </w:tcPr>
          <w:p w14:paraId="6488C26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515</w:t>
            </w:r>
          </w:p>
        </w:tc>
        <w:tc>
          <w:tcPr>
            <w:tcW w:w="2368" w:type="dxa"/>
            <w:gridSpan w:val="2"/>
            <w:shd w:val="clear" w:color="auto" w:fill="E7E6E6" w:themeFill="background2"/>
          </w:tcPr>
          <w:p w14:paraId="6D96E04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240" w:type="dxa"/>
            <w:shd w:val="clear" w:color="auto" w:fill="E7E6E6" w:themeFill="background2"/>
          </w:tcPr>
          <w:p w14:paraId="502611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4532.13 m2</w:t>
            </w:r>
          </w:p>
        </w:tc>
      </w:tr>
      <w:tr w:rsidR="001F600C" w:rsidRPr="00285D58" w14:paraId="4B36CA3C" w14:textId="77777777" w:rsidTr="00242093">
        <w:trPr>
          <w:trHeight w:val="227"/>
          <w:jc w:val="center"/>
        </w:trPr>
        <w:tc>
          <w:tcPr>
            <w:tcW w:w="1520" w:type="dxa"/>
            <w:vMerge w:val="restart"/>
          </w:tcPr>
          <w:p w14:paraId="04DED6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96" w:type="dxa"/>
          </w:tcPr>
          <w:p w14:paraId="73E307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+0.70</w:t>
            </w:r>
          </w:p>
        </w:tc>
        <w:tc>
          <w:tcPr>
            <w:tcW w:w="2174" w:type="dxa"/>
          </w:tcPr>
          <w:p w14:paraId="67A89C2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928" w:type="dxa"/>
          </w:tcPr>
          <w:p w14:paraId="4A7C71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303</w:t>
            </w:r>
          </w:p>
        </w:tc>
        <w:tc>
          <w:tcPr>
            <w:tcW w:w="797" w:type="dxa"/>
          </w:tcPr>
          <w:p w14:paraId="232468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2.50</w:t>
            </w:r>
          </w:p>
        </w:tc>
        <w:tc>
          <w:tcPr>
            <w:tcW w:w="1571" w:type="dxa"/>
          </w:tcPr>
          <w:p w14:paraId="46C904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10</w:t>
            </w:r>
          </w:p>
        </w:tc>
        <w:tc>
          <w:tcPr>
            <w:tcW w:w="1240" w:type="dxa"/>
          </w:tcPr>
          <w:p w14:paraId="28AE8B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756.98 m2</w:t>
            </w:r>
          </w:p>
        </w:tc>
      </w:tr>
      <w:tr w:rsidR="001F600C" w:rsidRPr="00285D58" w14:paraId="6FC658FD" w14:textId="77777777" w:rsidTr="00242093">
        <w:trPr>
          <w:trHeight w:val="227"/>
          <w:jc w:val="center"/>
        </w:trPr>
        <w:tc>
          <w:tcPr>
            <w:tcW w:w="1520" w:type="dxa"/>
            <w:vMerge/>
          </w:tcPr>
          <w:p w14:paraId="0FF93C9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7950E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+4.45</w:t>
            </w:r>
          </w:p>
        </w:tc>
        <w:tc>
          <w:tcPr>
            <w:tcW w:w="2174" w:type="dxa"/>
          </w:tcPr>
          <w:p w14:paraId="5C67469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Bahía de estacionamiento para turistas</w:t>
            </w:r>
          </w:p>
        </w:tc>
        <w:tc>
          <w:tcPr>
            <w:tcW w:w="928" w:type="dxa"/>
          </w:tcPr>
          <w:p w14:paraId="010BEB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415DC1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7.00</w:t>
            </w:r>
          </w:p>
        </w:tc>
        <w:tc>
          <w:tcPr>
            <w:tcW w:w="1571" w:type="dxa"/>
          </w:tcPr>
          <w:p w14:paraId="44C836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4FD66A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147.00 m2</w:t>
            </w:r>
          </w:p>
        </w:tc>
      </w:tr>
      <w:tr w:rsidR="001F600C" w:rsidRPr="00285D58" w14:paraId="7F1D2803" w14:textId="77777777" w:rsidTr="00242093">
        <w:trPr>
          <w:trHeight w:val="227"/>
          <w:jc w:val="center"/>
        </w:trPr>
        <w:tc>
          <w:tcPr>
            <w:tcW w:w="1520" w:type="dxa"/>
            <w:vMerge/>
          </w:tcPr>
          <w:p w14:paraId="2750D75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36156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174" w:type="dxa"/>
          </w:tcPr>
          <w:p w14:paraId="284FCE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928" w:type="dxa"/>
          </w:tcPr>
          <w:p w14:paraId="18A89AD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1749BE7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031BCAB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5C3BD9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492.93 m2</w:t>
            </w:r>
          </w:p>
        </w:tc>
      </w:tr>
      <w:tr w:rsidR="001F600C" w:rsidRPr="00285D58" w14:paraId="4773398E" w14:textId="77777777" w:rsidTr="00242093">
        <w:trPr>
          <w:trHeight w:val="227"/>
          <w:jc w:val="center"/>
        </w:trPr>
        <w:tc>
          <w:tcPr>
            <w:tcW w:w="1520" w:type="dxa"/>
            <w:vMerge/>
          </w:tcPr>
          <w:p w14:paraId="1C94F1B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19094E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174" w:type="dxa"/>
          </w:tcPr>
          <w:p w14:paraId="151727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vehículos</w:t>
            </w:r>
          </w:p>
        </w:tc>
        <w:tc>
          <w:tcPr>
            <w:tcW w:w="928" w:type="dxa"/>
          </w:tcPr>
          <w:p w14:paraId="34580C0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0D144E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674D10C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1289B1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934.07 m2</w:t>
            </w:r>
          </w:p>
        </w:tc>
      </w:tr>
      <w:tr w:rsidR="001F600C" w:rsidRPr="00285D58" w14:paraId="04CE395A" w14:textId="77777777" w:rsidTr="00242093">
        <w:trPr>
          <w:trHeight w:val="227"/>
          <w:jc w:val="center"/>
        </w:trPr>
        <w:tc>
          <w:tcPr>
            <w:tcW w:w="1520" w:type="dxa"/>
            <w:vMerge w:val="restart"/>
          </w:tcPr>
          <w:p w14:paraId="2A73DD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                   N° de buses 21</w:t>
            </w:r>
          </w:p>
        </w:tc>
        <w:tc>
          <w:tcPr>
            <w:tcW w:w="696" w:type="dxa"/>
          </w:tcPr>
          <w:p w14:paraId="3A0139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-8.15</w:t>
            </w:r>
          </w:p>
        </w:tc>
        <w:tc>
          <w:tcPr>
            <w:tcW w:w="2174" w:type="dxa"/>
          </w:tcPr>
          <w:p w14:paraId="5BFDD9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abordaje</w:t>
            </w:r>
          </w:p>
        </w:tc>
        <w:tc>
          <w:tcPr>
            <w:tcW w:w="928" w:type="dxa"/>
          </w:tcPr>
          <w:p w14:paraId="3485B69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08BA76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71" w:type="dxa"/>
          </w:tcPr>
          <w:p w14:paraId="744DD2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688657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598.71 m2</w:t>
            </w:r>
          </w:p>
        </w:tc>
      </w:tr>
      <w:tr w:rsidR="001F600C" w:rsidRPr="00285D58" w14:paraId="0E6CF76E" w14:textId="77777777" w:rsidTr="00242093">
        <w:trPr>
          <w:trHeight w:val="227"/>
          <w:jc w:val="center"/>
        </w:trPr>
        <w:tc>
          <w:tcPr>
            <w:tcW w:w="1520" w:type="dxa"/>
            <w:vMerge/>
          </w:tcPr>
          <w:p w14:paraId="767AD1E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60D3DB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3AA7AA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estacionamiento de buses</w:t>
            </w:r>
          </w:p>
        </w:tc>
        <w:tc>
          <w:tcPr>
            <w:tcW w:w="928" w:type="dxa"/>
          </w:tcPr>
          <w:p w14:paraId="4D48713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6F2C4F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18.00</w:t>
            </w:r>
          </w:p>
        </w:tc>
        <w:tc>
          <w:tcPr>
            <w:tcW w:w="1571" w:type="dxa"/>
          </w:tcPr>
          <w:p w14:paraId="11F993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40" w:type="dxa"/>
          </w:tcPr>
          <w:p w14:paraId="2EAF19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442.36 m2</w:t>
            </w:r>
          </w:p>
        </w:tc>
      </w:tr>
      <w:tr w:rsidR="001F600C" w:rsidRPr="00285D58" w14:paraId="28AF868A" w14:textId="77777777" w:rsidTr="00242093">
        <w:trPr>
          <w:trHeight w:val="227"/>
          <w:jc w:val="center"/>
        </w:trPr>
        <w:tc>
          <w:tcPr>
            <w:tcW w:w="1520" w:type="dxa"/>
            <w:vMerge/>
          </w:tcPr>
          <w:p w14:paraId="055CE6F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96" w:type="dxa"/>
          </w:tcPr>
          <w:p w14:paraId="581662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-12.50</w:t>
            </w:r>
          </w:p>
        </w:tc>
        <w:tc>
          <w:tcPr>
            <w:tcW w:w="2174" w:type="dxa"/>
          </w:tcPr>
          <w:p w14:paraId="6DC647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buses</w:t>
            </w:r>
          </w:p>
        </w:tc>
        <w:tc>
          <w:tcPr>
            <w:tcW w:w="928" w:type="dxa"/>
          </w:tcPr>
          <w:p w14:paraId="6ABEE67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797" w:type="dxa"/>
          </w:tcPr>
          <w:p w14:paraId="389C11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71" w:type="dxa"/>
          </w:tcPr>
          <w:p w14:paraId="5650F8B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40" w:type="dxa"/>
          </w:tcPr>
          <w:p w14:paraId="7B6339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1160.08 m2</w:t>
            </w:r>
          </w:p>
        </w:tc>
      </w:tr>
      <w:tr w:rsidR="001F600C" w:rsidRPr="00285D58" w14:paraId="6DCD154E" w14:textId="77777777" w:rsidTr="00242093">
        <w:trPr>
          <w:trHeight w:val="170"/>
          <w:jc w:val="center"/>
        </w:trPr>
        <w:tc>
          <w:tcPr>
            <w:tcW w:w="8926" w:type="dxa"/>
            <w:gridSpan w:val="7"/>
            <w:shd w:val="clear" w:color="auto" w:fill="E7E6E6" w:themeFill="background2"/>
          </w:tcPr>
          <w:p w14:paraId="70C918E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64DD029B" w14:textId="77777777" w:rsidTr="00242093">
        <w:trPr>
          <w:trHeight w:val="170"/>
          <w:jc w:val="center"/>
        </w:trPr>
        <w:tc>
          <w:tcPr>
            <w:tcW w:w="8926" w:type="dxa"/>
            <w:gridSpan w:val="7"/>
            <w:shd w:val="clear" w:color="auto" w:fill="E7E6E6" w:themeFill="background2"/>
          </w:tcPr>
          <w:p w14:paraId="6FB744F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cuatro (4) sistemas de aparatos completos correspondientes el aforo máximo estimado. Sin embargo, debido a que existen dos niveles con alta confluencia de gente, se utilizarán bloques de baños de tres (3) aparatos en cada nivel.</w:t>
            </w:r>
          </w:p>
        </w:tc>
      </w:tr>
      <w:tr w:rsidR="001F600C" w:rsidRPr="00285D58" w14:paraId="2D684AFE" w14:textId="77777777" w:rsidTr="00242093">
        <w:trPr>
          <w:trHeight w:val="170"/>
          <w:jc w:val="center"/>
        </w:trPr>
        <w:tc>
          <w:tcPr>
            <w:tcW w:w="8926" w:type="dxa"/>
            <w:gridSpan w:val="7"/>
            <w:shd w:val="clear" w:color="auto" w:fill="E7E6E6" w:themeFill="background2"/>
          </w:tcPr>
          <w:p w14:paraId="0DB9D68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6691090D" w14:textId="77777777" w:rsidTr="00242093">
        <w:trPr>
          <w:trHeight w:val="170"/>
          <w:jc w:val="center"/>
        </w:trPr>
        <w:tc>
          <w:tcPr>
            <w:tcW w:w="8926" w:type="dxa"/>
            <w:gridSpan w:val="7"/>
            <w:shd w:val="clear" w:color="auto" w:fill="E7E6E6" w:themeFill="background2"/>
          </w:tcPr>
          <w:p w14:paraId="1511CA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Se usa el índice de Restaurante – Cocina de la categoría Comercio del Cálculo de aforo de CENEPRED</w:t>
            </w:r>
          </w:p>
        </w:tc>
      </w:tr>
      <w:tr w:rsidR="001F600C" w:rsidRPr="00285D58" w14:paraId="7654FBB4" w14:textId="77777777" w:rsidTr="00242093">
        <w:trPr>
          <w:trHeight w:val="170"/>
          <w:jc w:val="center"/>
        </w:trPr>
        <w:tc>
          <w:tcPr>
            <w:tcW w:w="8926" w:type="dxa"/>
            <w:gridSpan w:val="7"/>
            <w:shd w:val="clear" w:color="auto" w:fill="E7E6E6" w:themeFill="background2"/>
          </w:tcPr>
          <w:p w14:paraId="65151F0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usa el índice de Comida rápida al paso – Cocina de la categoría Comercio del Cálculo de aforo de CENEPRED</w:t>
            </w:r>
          </w:p>
        </w:tc>
      </w:tr>
      <w:tr w:rsidR="001F600C" w:rsidRPr="00285D58" w14:paraId="50A777FC" w14:textId="77777777" w:rsidTr="00242093">
        <w:trPr>
          <w:trHeight w:val="170"/>
          <w:jc w:val="center"/>
        </w:trPr>
        <w:tc>
          <w:tcPr>
            <w:tcW w:w="8926" w:type="dxa"/>
            <w:gridSpan w:val="7"/>
            <w:shd w:val="clear" w:color="auto" w:fill="E7E6E6" w:themeFill="background2"/>
          </w:tcPr>
          <w:p w14:paraId="35491B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 Se usa el índice de Restaurante – Área de Mesas de la categoría Comercio del Cálculo de aforo de CENEPRED</w:t>
            </w:r>
          </w:p>
        </w:tc>
      </w:tr>
      <w:tr w:rsidR="001F600C" w:rsidRPr="00285D58" w14:paraId="40D06C5E" w14:textId="77777777" w:rsidTr="00242093">
        <w:trPr>
          <w:trHeight w:val="170"/>
          <w:jc w:val="center"/>
        </w:trPr>
        <w:tc>
          <w:tcPr>
            <w:tcW w:w="8926" w:type="dxa"/>
            <w:gridSpan w:val="7"/>
            <w:shd w:val="clear" w:color="auto" w:fill="E7E6E6" w:themeFill="background2"/>
          </w:tcPr>
          <w:p w14:paraId="43B2E38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 Se usa el índice de Salas de exposición de la categoría Servicios Comunales del Cálculo de aforo de CENEPRED</w:t>
            </w:r>
          </w:p>
        </w:tc>
      </w:tr>
      <w:tr w:rsidR="001F600C" w:rsidRPr="00285D58" w14:paraId="4ABC7BBF" w14:textId="77777777" w:rsidTr="00242093">
        <w:trPr>
          <w:trHeight w:val="170"/>
          <w:jc w:val="center"/>
        </w:trPr>
        <w:tc>
          <w:tcPr>
            <w:tcW w:w="8926" w:type="dxa"/>
            <w:gridSpan w:val="7"/>
            <w:shd w:val="clear" w:color="auto" w:fill="E7E6E6" w:themeFill="background2"/>
          </w:tcPr>
          <w:p w14:paraId="16DA2B5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 Se usa el índice de Salas de espera de la categoría Salud del Cálculo de aforo de CENEPRED</w:t>
            </w:r>
          </w:p>
        </w:tc>
      </w:tr>
      <w:tr w:rsidR="001F600C" w:rsidRPr="00285D58" w14:paraId="3AA5EDB8" w14:textId="77777777" w:rsidTr="00242093">
        <w:trPr>
          <w:trHeight w:val="170"/>
          <w:jc w:val="center"/>
        </w:trPr>
        <w:tc>
          <w:tcPr>
            <w:tcW w:w="8926" w:type="dxa"/>
            <w:gridSpan w:val="7"/>
            <w:shd w:val="clear" w:color="auto" w:fill="E7E6E6" w:themeFill="background2"/>
          </w:tcPr>
          <w:p w14:paraId="3BE4268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 Se usa el índice de Tienda independiente en 1er piso de la categoría Comercio del Cálculo de aforo de CENEPRED</w:t>
            </w:r>
          </w:p>
        </w:tc>
      </w:tr>
      <w:tr w:rsidR="001F600C" w:rsidRPr="00285D58" w14:paraId="55022012" w14:textId="77777777" w:rsidTr="00242093">
        <w:trPr>
          <w:trHeight w:val="170"/>
          <w:jc w:val="center"/>
        </w:trPr>
        <w:tc>
          <w:tcPr>
            <w:tcW w:w="8926" w:type="dxa"/>
            <w:gridSpan w:val="7"/>
            <w:shd w:val="clear" w:color="auto" w:fill="E7E6E6" w:themeFill="background2"/>
          </w:tcPr>
          <w:p w14:paraId="0A9D70E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 Se ha tomado un estimado de 2.5 m2 por persona para el cálculo de aforo de las plazas exteriores al edificio.</w:t>
            </w:r>
          </w:p>
        </w:tc>
      </w:tr>
      <w:tr w:rsidR="001F600C" w:rsidRPr="00285D58" w14:paraId="6D5BC7D9" w14:textId="77777777" w:rsidTr="00242093">
        <w:trPr>
          <w:trHeight w:val="170"/>
          <w:jc w:val="center"/>
        </w:trPr>
        <w:tc>
          <w:tcPr>
            <w:tcW w:w="8926" w:type="dxa"/>
            <w:gridSpan w:val="7"/>
            <w:shd w:val="clear" w:color="auto" w:fill="E7E6E6" w:themeFill="background2"/>
          </w:tcPr>
          <w:p w14:paraId="4D95229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54A8D715" w14:textId="77777777" w:rsidTr="00242093">
        <w:trPr>
          <w:trHeight w:val="170"/>
          <w:jc w:val="center"/>
        </w:trPr>
        <w:tc>
          <w:tcPr>
            <w:tcW w:w="8926" w:type="dxa"/>
            <w:gridSpan w:val="7"/>
            <w:shd w:val="clear" w:color="auto" w:fill="E7E6E6" w:themeFill="background2"/>
          </w:tcPr>
          <w:p w14:paraId="750ED25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6C501B5D"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5836BDB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4718E3EE" w14:textId="387C681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N°33: Propuesta de arquitectura de la Estación Central Yanama</w:t>
      </w:r>
    </w:p>
    <w:p w14:paraId="20ED021F"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3F771EE0"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r w:rsidRPr="00285D58">
        <w:rPr>
          <w:rFonts w:asciiTheme="minorHAnsi" w:eastAsia="Calibri" w:hAnsiTheme="minorHAnsi" w:cstheme="minorHAnsi"/>
          <w:noProof/>
          <w:color w:val="000000"/>
          <w:lang w:val="es-PE"/>
        </w:rPr>
        <w:lastRenderedPageBreak/>
        <w:drawing>
          <wp:inline distT="0" distB="0" distL="0" distR="0" wp14:anchorId="670B07E1" wp14:editId="2D3A4078">
            <wp:extent cx="5715000" cy="2162175"/>
            <wp:effectExtent l="0" t="0" r="0" b="0"/>
            <wp:docPr id="2133617429" name="image78.jpg" descr="../../../../Desktop/ES_%20ESTACIONES%20TELEFÉRICO/EC%20Yanama-6.j"/>
            <wp:cNvGraphicFramePr/>
            <a:graphic xmlns:a="http://schemas.openxmlformats.org/drawingml/2006/main">
              <a:graphicData uri="http://schemas.openxmlformats.org/drawingml/2006/picture">
                <pic:pic xmlns:pic="http://schemas.openxmlformats.org/drawingml/2006/picture">
                  <pic:nvPicPr>
                    <pic:cNvPr id="0" name="image78.jpg" descr="../../../../Desktop/ES_%20ESTACIONES%20TELEFÉRICO/EC%20Yanama-6.j"/>
                    <pic:cNvPicPr preferRelativeResize="0"/>
                  </pic:nvPicPr>
                  <pic:blipFill>
                    <a:blip r:embed="rId101"/>
                    <a:srcRect/>
                    <a:stretch>
                      <a:fillRect/>
                    </a:stretch>
                  </pic:blipFill>
                  <pic:spPr>
                    <a:xfrm>
                      <a:off x="0" y="0"/>
                      <a:ext cx="5715000" cy="2162175"/>
                    </a:xfrm>
                    <a:prstGeom prst="rect">
                      <a:avLst/>
                    </a:prstGeom>
                    <a:ln/>
                  </pic:spPr>
                </pic:pic>
              </a:graphicData>
            </a:graphic>
          </wp:inline>
        </w:drawing>
      </w:r>
    </w:p>
    <w:p w14:paraId="57E85961"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07B9CE8F"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7E360223" w14:textId="0D212FA5"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31</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CENTRAL HUANIPACA</w:t>
      </w:r>
    </w:p>
    <w:tbl>
      <w:tblPr>
        <w:tblW w:w="9587" w:type="dxa"/>
        <w:tblLayout w:type="fixed"/>
        <w:tblLook w:val="0400" w:firstRow="0" w:lastRow="0" w:firstColumn="0" w:lastColumn="0" w:noHBand="0" w:noVBand="1"/>
      </w:tblPr>
      <w:tblGrid>
        <w:gridCol w:w="1496"/>
        <w:gridCol w:w="767"/>
        <w:gridCol w:w="2788"/>
        <w:gridCol w:w="756"/>
        <w:gridCol w:w="945"/>
        <w:gridCol w:w="1559"/>
        <w:gridCol w:w="1276"/>
      </w:tblGrid>
      <w:tr w:rsidR="001F600C" w:rsidRPr="00285D58" w14:paraId="1A8770E6" w14:textId="77777777" w:rsidTr="00242093">
        <w:trPr>
          <w:trHeight w:val="399"/>
        </w:trPr>
        <w:tc>
          <w:tcPr>
            <w:tcW w:w="9587"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78FCEFC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EC02 – ESTACIÓN CENTRAL HUANIPACA</w:t>
            </w:r>
          </w:p>
        </w:tc>
      </w:tr>
      <w:tr w:rsidR="001F600C" w:rsidRPr="00285D58" w14:paraId="1FBB81F6" w14:textId="77777777" w:rsidTr="00242093">
        <w:trPr>
          <w:trHeight w:val="399"/>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5902E5AB"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767" w:type="dxa"/>
            <w:tcBorders>
              <w:top w:val="nil"/>
              <w:left w:val="nil"/>
              <w:bottom w:val="single" w:sz="4" w:space="0" w:color="1072BD"/>
              <w:right w:val="single" w:sz="4" w:space="0" w:color="1072BD"/>
            </w:tcBorders>
            <w:shd w:val="clear" w:color="auto" w:fill="E7E6E6" w:themeFill="background2"/>
          </w:tcPr>
          <w:p w14:paraId="5F31C13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788" w:type="dxa"/>
            <w:tcBorders>
              <w:top w:val="nil"/>
              <w:left w:val="nil"/>
              <w:bottom w:val="single" w:sz="4" w:space="0" w:color="1072BD"/>
              <w:right w:val="single" w:sz="4" w:space="0" w:color="1072BD"/>
            </w:tcBorders>
            <w:shd w:val="clear" w:color="auto" w:fill="E7E6E6" w:themeFill="background2"/>
          </w:tcPr>
          <w:p w14:paraId="12CE2AA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756" w:type="dxa"/>
            <w:tcBorders>
              <w:top w:val="nil"/>
              <w:left w:val="nil"/>
              <w:bottom w:val="single" w:sz="4" w:space="0" w:color="1072BD"/>
              <w:right w:val="single" w:sz="4" w:space="0" w:color="1072BD"/>
            </w:tcBorders>
            <w:shd w:val="clear" w:color="auto" w:fill="E7E6E6" w:themeFill="background2"/>
          </w:tcPr>
          <w:p w14:paraId="0A463F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504" w:type="dxa"/>
            <w:gridSpan w:val="2"/>
            <w:tcBorders>
              <w:top w:val="single" w:sz="4" w:space="0" w:color="1072BD"/>
              <w:left w:val="nil"/>
              <w:bottom w:val="single" w:sz="4" w:space="0" w:color="1072BD"/>
              <w:right w:val="single" w:sz="4" w:space="0" w:color="1072BD"/>
            </w:tcBorders>
            <w:shd w:val="clear" w:color="auto" w:fill="E7E6E6" w:themeFill="background2"/>
          </w:tcPr>
          <w:p w14:paraId="4400CEA0"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76" w:type="dxa"/>
            <w:tcBorders>
              <w:top w:val="nil"/>
              <w:left w:val="nil"/>
              <w:bottom w:val="single" w:sz="4" w:space="0" w:color="1072BD"/>
              <w:right w:val="single" w:sz="4" w:space="0" w:color="1072BD"/>
            </w:tcBorders>
            <w:shd w:val="clear" w:color="auto" w:fill="E7E6E6" w:themeFill="background2"/>
          </w:tcPr>
          <w:p w14:paraId="6E03B8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34084F56" w14:textId="77777777" w:rsidTr="00242093">
        <w:trPr>
          <w:trHeight w:val="240"/>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7775883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3555" w:type="dxa"/>
            <w:gridSpan w:val="2"/>
            <w:tcBorders>
              <w:top w:val="single" w:sz="4" w:space="0" w:color="1072BD"/>
              <w:left w:val="nil"/>
              <w:bottom w:val="single" w:sz="4" w:space="0" w:color="1072BD"/>
              <w:right w:val="single" w:sz="4" w:space="0" w:color="1072BD"/>
            </w:tcBorders>
            <w:shd w:val="clear" w:color="auto" w:fill="E7E6E6" w:themeFill="background2"/>
          </w:tcPr>
          <w:p w14:paraId="72F79B9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56" w:type="dxa"/>
            <w:tcBorders>
              <w:top w:val="nil"/>
              <w:left w:val="nil"/>
              <w:bottom w:val="single" w:sz="4" w:space="0" w:color="1072BD"/>
              <w:right w:val="single" w:sz="4" w:space="0" w:color="1072BD"/>
            </w:tcBorders>
            <w:shd w:val="clear" w:color="auto" w:fill="E7E6E6" w:themeFill="background2"/>
          </w:tcPr>
          <w:p w14:paraId="2019DD2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544</w:t>
            </w:r>
          </w:p>
        </w:tc>
        <w:tc>
          <w:tcPr>
            <w:tcW w:w="2504" w:type="dxa"/>
            <w:gridSpan w:val="2"/>
            <w:tcBorders>
              <w:top w:val="single" w:sz="4" w:space="0" w:color="1072BD"/>
              <w:left w:val="nil"/>
              <w:bottom w:val="nil"/>
              <w:right w:val="single" w:sz="4" w:space="0" w:color="1072BD"/>
            </w:tcBorders>
            <w:shd w:val="clear" w:color="auto" w:fill="E7E6E6" w:themeFill="background2"/>
          </w:tcPr>
          <w:p w14:paraId="1B452803"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76" w:type="dxa"/>
            <w:tcBorders>
              <w:top w:val="nil"/>
              <w:left w:val="nil"/>
              <w:bottom w:val="single" w:sz="4" w:space="0" w:color="1072BD"/>
              <w:right w:val="single" w:sz="4" w:space="0" w:color="1072BD"/>
            </w:tcBorders>
            <w:shd w:val="clear" w:color="auto" w:fill="E7E6E6" w:themeFill="background2"/>
          </w:tcPr>
          <w:p w14:paraId="471CB99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1937.69 m2</w:t>
            </w:r>
          </w:p>
        </w:tc>
      </w:tr>
      <w:tr w:rsidR="001F600C" w:rsidRPr="00285D58" w14:paraId="3BF7135D"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3DD877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767" w:type="dxa"/>
            <w:tcBorders>
              <w:top w:val="nil"/>
              <w:left w:val="nil"/>
              <w:bottom w:val="single" w:sz="4" w:space="0" w:color="1072BD"/>
              <w:right w:val="single" w:sz="4" w:space="0" w:color="1072BD"/>
            </w:tcBorders>
          </w:tcPr>
          <w:p w14:paraId="3472FA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9F6D5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Boletería</w:t>
            </w:r>
          </w:p>
        </w:tc>
        <w:tc>
          <w:tcPr>
            <w:tcW w:w="756" w:type="dxa"/>
            <w:tcBorders>
              <w:top w:val="nil"/>
              <w:left w:val="nil"/>
              <w:bottom w:val="single" w:sz="4" w:space="0" w:color="1072BD"/>
              <w:right w:val="nil"/>
            </w:tcBorders>
          </w:tcPr>
          <w:p w14:paraId="4D6278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w:t>
            </w:r>
          </w:p>
        </w:tc>
        <w:tc>
          <w:tcPr>
            <w:tcW w:w="945" w:type="dxa"/>
            <w:tcBorders>
              <w:top w:val="single" w:sz="4" w:space="0" w:color="1072BD"/>
              <w:left w:val="single" w:sz="4" w:space="0" w:color="1072BD"/>
              <w:bottom w:val="single" w:sz="4" w:space="0" w:color="1072BD"/>
              <w:right w:val="nil"/>
            </w:tcBorders>
          </w:tcPr>
          <w:p w14:paraId="55B53B1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single" w:sz="4" w:space="0" w:color="1072BD"/>
              <w:left w:val="nil"/>
              <w:bottom w:val="single" w:sz="4" w:space="0" w:color="1072BD"/>
              <w:right w:val="single" w:sz="4" w:space="0" w:color="1072BD"/>
            </w:tcBorders>
          </w:tcPr>
          <w:p w14:paraId="24A98A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171FD9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15.45 m2</w:t>
            </w:r>
          </w:p>
        </w:tc>
      </w:tr>
      <w:tr w:rsidR="001F600C" w:rsidRPr="00285D58" w14:paraId="14D0214C"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0AEA33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6B832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38750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Recepción</w:t>
            </w:r>
          </w:p>
        </w:tc>
        <w:tc>
          <w:tcPr>
            <w:tcW w:w="756" w:type="dxa"/>
            <w:tcBorders>
              <w:top w:val="nil"/>
              <w:left w:val="nil"/>
              <w:bottom w:val="single" w:sz="4" w:space="0" w:color="1072BD"/>
              <w:right w:val="single" w:sz="4" w:space="0" w:color="1072BD"/>
            </w:tcBorders>
          </w:tcPr>
          <w:p w14:paraId="69179A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945" w:type="dxa"/>
            <w:tcBorders>
              <w:top w:val="nil"/>
              <w:left w:val="nil"/>
              <w:bottom w:val="single" w:sz="4" w:space="0" w:color="1072BD"/>
              <w:right w:val="nil"/>
            </w:tcBorders>
          </w:tcPr>
          <w:p w14:paraId="498C4A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7.00</w:t>
            </w:r>
          </w:p>
        </w:tc>
        <w:tc>
          <w:tcPr>
            <w:tcW w:w="1559" w:type="dxa"/>
            <w:tcBorders>
              <w:top w:val="nil"/>
              <w:left w:val="nil"/>
              <w:bottom w:val="single" w:sz="4" w:space="0" w:color="1072BD"/>
              <w:right w:val="single" w:sz="4" w:space="0" w:color="1072BD"/>
            </w:tcBorders>
          </w:tcPr>
          <w:p w14:paraId="260A30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7001EC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7.02 m2</w:t>
            </w:r>
          </w:p>
        </w:tc>
      </w:tr>
      <w:tr w:rsidR="001F600C" w:rsidRPr="00285D58" w14:paraId="23C2036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F9A2B5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87C79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A50CA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Directorio</w:t>
            </w:r>
          </w:p>
        </w:tc>
        <w:tc>
          <w:tcPr>
            <w:tcW w:w="756" w:type="dxa"/>
            <w:tcBorders>
              <w:top w:val="nil"/>
              <w:left w:val="nil"/>
              <w:bottom w:val="single" w:sz="4" w:space="0" w:color="1072BD"/>
              <w:right w:val="single" w:sz="4" w:space="0" w:color="1072BD"/>
            </w:tcBorders>
          </w:tcPr>
          <w:p w14:paraId="186BEE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w:t>
            </w:r>
          </w:p>
        </w:tc>
        <w:tc>
          <w:tcPr>
            <w:tcW w:w="945" w:type="dxa"/>
            <w:tcBorders>
              <w:top w:val="nil"/>
              <w:left w:val="nil"/>
              <w:bottom w:val="single" w:sz="4" w:space="0" w:color="1072BD"/>
              <w:right w:val="nil"/>
            </w:tcBorders>
          </w:tcPr>
          <w:p w14:paraId="7FB85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8.50</w:t>
            </w:r>
          </w:p>
        </w:tc>
        <w:tc>
          <w:tcPr>
            <w:tcW w:w="1559" w:type="dxa"/>
            <w:tcBorders>
              <w:top w:val="nil"/>
              <w:left w:val="nil"/>
              <w:bottom w:val="single" w:sz="4" w:space="0" w:color="1072BD"/>
              <w:right w:val="single" w:sz="4" w:space="0" w:color="1072BD"/>
            </w:tcBorders>
          </w:tcPr>
          <w:p w14:paraId="5E89BA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64BF8E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8.55 m2</w:t>
            </w:r>
          </w:p>
        </w:tc>
      </w:tr>
      <w:tr w:rsidR="001F600C" w:rsidRPr="00285D58" w14:paraId="763D032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5083B9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7E2CE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232431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Oficinas administrativas</w:t>
            </w:r>
          </w:p>
        </w:tc>
        <w:tc>
          <w:tcPr>
            <w:tcW w:w="756" w:type="dxa"/>
            <w:tcBorders>
              <w:top w:val="nil"/>
              <w:left w:val="nil"/>
              <w:bottom w:val="single" w:sz="4" w:space="0" w:color="1072BD"/>
              <w:right w:val="single" w:sz="4" w:space="0" w:color="1072BD"/>
            </w:tcBorders>
          </w:tcPr>
          <w:p w14:paraId="3E95F4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w:t>
            </w:r>
          </w:p>
        </w:tc>
        <w:tc>
          <w:tcPr>
            <w:tcW w:w="945" w:type="dxa"/>
            <w:tcBorders>
              <w:top w:val="nil"/>
              <w:left w:val="nil"/>
              <w:bottom w:val="single" w:sz="4" w:space="0" w:color="1072BD"/>
              <w:right w:val="nil"/>
            </w:tcBorders>
          </w:tcPr>
          <w:p w14:paraId="19E063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3.50</w:t>
            </w:r>
          </w:p>
        </w:tc>
        <w:tc>
          <w:tcPr>
            <w:tcW w:w="1559" w:type="dxa"/>
            <w:tcBorders>
              <w:top w:val="nil"/>
              <w:left w:val="nil"/>
              <w:bottom w:val="single" w:sz="4" w:space="0" w:color="1072BD"/>
              <w:right w:val="single" w:sz="4" w:space="0" w:color="1072BD"/>
            </w:tcBorders>
          </w:tcPr>
          <w:p w14:paraId="504DB1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4FA1336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46.32 m2</w:t>
            </w:r>
          </w:p>
        </w:tc>
      </w:tr>
      <w:tr w:rsidR="001F600C" w:rsidRPr="00285D58" w14:paraId="4B09EB6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DAFC79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B89AC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B9941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56" w:type="dxa"/>
            <w:tcBorders>
              <w:top w:val="nil"/>
              <w:left w:val="nil"/>
              <w:bottom w:val="single" w:sz="4" w:space="0" w:color="1072BD"/>
              <w:right w:val="single" w:sz="4" w:space="0" w:color="1072BD"/>
            </w:tcBorders>
          </w:tcPr>
          <w:p w14:paraId="717DB3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E5D37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59254F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075E63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4.70 m2</w:t>
            </w:r>
          </w:p>
        </w:tc>
      </w:tr>
      <w:tr w:rsidR="001F600C" w:rsidRPr="00285D58" w14:paraId="19902BA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698521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C9212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AD7B4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56" w:type="dxa"/>
            <w:tcBorders>
              <w:top w:val="nil"/>
              <w:left w:val="nil"/>
              <w:bottom w:val="single" w:sz="4" w:space="0" w:color="1072BD"/>
              <w:right w:val="single" w:sz="4" w:space="0" w:color="1072BD"/>
            </w:tcBorders>
          </w:tcPr>
          <w:p w14:paraId="4031CB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160C0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07C163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2110B8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4.70 m2</w:t>
            </w:r>
          </w:p>
        </w:tc>
      </w:tr>
      <w:tr w:rsidR="001F600C" w:rsidRPr="00285D58" w14:paraId="0BC4CA9E"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AE7A92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451A7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3BA69F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756" w:type="dxa"/>
            <w:tcBorders>
              <w:top w:val="nil"/>
              <w:left w:val="nil"/>
              <w:bottom w:val="single" w:sz="4" w:space="0" w:color="1072BD"/>
              <w:right w:val="single" w:sz="4" w:space="0" w:color="1072BD"/>
            </w:tcBorders>
          </w:tcPr>
          <w:p w14:paraId="023479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w:t>
            </w:r>
          </w:p>
        </w:tc>
        <w:tc>
          <w:tcPr>
            <w:tcW w:w="945" w:type="dxa"/>
            <w:tcBorders>
              <w:top w:val="nil"/>
              <w:left w:val="nil"/>
              <w:bottom w:val="single" w:sz="4" w:space="0" w:color="1072BD"/>
              <w:right w:val="nil"/>
            </w:tcBorders>
          </w:tcPr>
          <w:p w14:paraId="323476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559" w:type="dxa"/>
            <w:tcBorders>
              <w:top w:val="nil"/>
              <w:left w:val="nil"/>
              <w:bottom w:val="single" w:sz="4" w:space="0" w:color="1072BD"/>
              <w:right w:val="single" w:sz="4" w:space="0" w:color="1072BD"/>
            </w:tcBorders>
          </w:tcPr>
          <w:p w14:paraId="21C5C8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3BA388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47.89 m2</w:t>
            </w:r>
          </w:p>
        </w:tc>
      </w:tr>
      <w:tr w:rsidR="001F600C" w:rsidRPr="00285D58" w14:paraId="79909F12"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79DB9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8D70D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D3692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756" w:type="dxa"/>
            <w:tcBorders>
              <w:top w:val="nil"/>
              <w:left w:val="nil"/>
              <w:bottom w:val="single" w:sz="4" w:space="0" w:color="1072BD"/>
              <w:right w:val="single" w:sz="4" w:space="0" w:color="1072BD"/>
            </w:tcBorders>
          </w:tcPr>
          <w:p w14:paraId="01AC9F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67C00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E3E277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17C53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6.29 m2</w:t>
            </w:r>
          </w:p>
        </w:tc>
      </w:tr>
      <w:tr w:rsidR="001F600C" w:rsidRPr="00285D58" w14:paraId="44E62DD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C3363A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A840B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6A755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máquinas</w:t>
            </w:r>
          </w:p>
        </w:tc>
        <w:tc>
          <w:tcPr>
            <w:tcW w:w="756" w:type="dxa"/>
            <w:tcBorders>
              <w:top w:val="nil"/>
              <w:left w:val="nil"/>
              <w:bottom w:val="single" w:sz="4" w:space="0" w:color="1072BD"/>
              <w:right w:val="single" w:sz="4" w:space="0" w:color="1072BD"/>
            </w:tcBorders>
          </w:tcPr>
          <w:p w14:paraId="6C7A4B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AA4C1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0D98303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227D88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7.47 m2</w:t>
            </w:r>
          </w:p>
        </w:tc>
      </w:tr>
      <w:tr w:rsidR="001F600C" w:rsidRPr="00285D58" w14:paraId="589471F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D7925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B9FEF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1B2BE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Cuarto de bombas</w:t>
            </w:r>
          </w:p>
        </w:tc>
        <w:tc>
          <w:tcPr>
            <w:tcW w:w="756" w:type="dxa"/>
            <w:tcBorders>
              <w:top w:val="nil"/>
              <w:left w:val="nil"/>
              <w:bottom w:val="single" w:sz="4" w:space="0" w:color="1072BD"/>
              <w:right w:val="single" w:sz="4" w:space="0" w:color="1072BD"/>
            </w:tcBorders>
          </w:tcPr>
          <w:p w14:paraId="4138F6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1501D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397D7FC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1E9BC2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9.73 m2</w:t>
            </w:r>
          </w:p>
        </w:tc>
      </w:tr>
      <w:tr w:rsidR="001F600C" w:rsidRPr="00285D58" w14:paraId="440D4356"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1E546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C616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4156CD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Cisterna</w:t>
            </w:r>
          </w:p>
        </w:tc>
        <w:tc>
          <w:tcPr>
            <w:tcW w:w="756" w:type="dxa"/>
            <w:tcBorders>
              <w:top w:val="nil"/>
              <w:left w:val="nil"/>
              <w:bottom w:val="single" w:sz="4" w:space="0" w:color="1072BD"/>
              <w:right w:val="single" w:sz="4" w:space="0" w:color="1072BD"/>
            </w:tcBorders>
          </w:tcPr>
          <w:p w14:paraId="3A1D58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2DE49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4B83BA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5AD54D8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5.67 m2</w:t>
            </w:r>
          </w:p>
        </w:tc>
      </w:tr>
      <w:tr w:rsidR="001F600C" w:rsidRPr="00285D58" w14:paraId="2EDD275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BDD12A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B219D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3ADF6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756" w:type="dxa"/>
            <w:tcBorders>
              <w:top w:val="nil"/>
              <w:left w:val="nil"/>
              <w:bottom w:val="single" w:sz="4" w:space="0" w:color="1072BD"/>
              <w:right w:val="single" w:sz="4" w:space="0" w:color="1072BD"/>
            </w:tcBorders>
          </w:tcPr>
          <w:p w14:paraId="53D414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A1BEA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C02D50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43B26B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9.58 m2</w:t>
            </w:r>
          </w:p>
        </w:tc>
      </w:tr>
      <w:tr w:rsidR="001F600C" w:rsidRPr="00285D58" w14:paraId="56A08D0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53A954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7DEE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712835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cuarto de máquinas</w:t>
            </w:r>
          </w:p>
        </w:tc>
        <w:tc>
          <w:tcPr>
            <w:tcW w:w="756" w:type="dxa"/>
            <w:tcBorders>
              <w:top w:val="nil"/>
              <w:left w:val="nil"/>
              <w:bottom w:val="single" w:sz="4" w:space="0" w:color="1072BD"/>
              <w:right w:val="single" w:sz="4" w:space="0" w:color="1072BD"/>
            </w:tcBorders>
          </w:tcPr>
          <w:p w14:paraId="2E8FDB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FF105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3C7FC10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0C1D2E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3.82 m2</w:t>
            </w:r>
          </w:p>
        </w:tc>
      </w:tr>
      <w:tr w:rsidR="001F600C" w:rsidRPr="00285D58" w14:paraId="58B40837"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684E4B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767" w:type="dxa"/>
            <w:tcBorders>
              <w:top w:val="nil"/>
              <w:left w:val="nil"/>
              <w:bottom w:val="single" w:sz="4" w:space="0" w:color="1072BD"/>
              <w:right w:val="single" w:sz="4" w:space="0" w:color="1072BD"/>
            </w:tcBorders>
          </w:tcPr>
          <w:p w14:paraId="1EA7328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F4A20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Cajeros</w:t>
            </w:r>
          </w:p>
        </w:tc>
        <w:tc>
          <w:tcPr>
            <w:tcW w:w="756" w:type="dxa"/>
            <w:tcBorders>
              <w:top w:val="nil"/>
              <w:left w:val="nil"/>
              <w:bottom w:val="single" w:sz="4" w:space="0" w:color="1072BD"/>
              <w:right w:val="single" w:sz="4" w:space="0" w:color="1072BD"/>
            </w:tcBorders>
          </w:tcPr>
          <w:p w14:paraId="29CC2A4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187ED6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54FFD3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756903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9.47 m2</w:t>
            </w:r>
          </w:p>
        </w:tc>
      </w:tr>
      <w:tr w:rsidR="001F600C" w:rsidRPr="00285D58" w14:paraId="0B42417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DAC0D9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C92D5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8088E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Casilleros</w:t>
            </w:r>
          </w:p>
        </w:tc>
        <w:tc>
          <w:tcPr>
            <w:tcW w:w="756" w:type="dxa"/>
            <w:tcBorders>
              <w:top w:val="nil"/>
              <w:left w:val="nil"/>
              <w:bottom w:val="single" w:sz="4" w:space="0" w:color="1072BD"/>
              <w:right w:val="single" w:sz="4" w:space="0" w:color="1072BD"/>
            </w:tcBorders>
          </w:tcPr>
          <w:p w14:paraId="0B54F0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548873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1B219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787DC0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8.99 m2</w:t>
            </w:r>
          </w:p>
        </w:tc>
      </w:tr>
      <w:tr w:rsidR="001F600C" w:rsidRPr="00285D58" w14:paraId="1FEE7D9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07D7024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E7FE5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B9B871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756" w:type="dxa"/>
            <w:tcBorders>
              <w:top w:val="nil"/>
              <w:left w:val="nil"/>
              <w:bottom w:val="single" w:sz="4" w:space="0" w:color="1072BD"/>
              <w:right w:val="single" w:sz="4" w:space="0" w:color="1072BD"/>
            </w:tcBorders>
          </w:tcPr>
          <w:p w14:paraId="489AB5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7221A8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05536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300A8D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8.98 m2</w:t>
            </w:r>
          </w:p>
        </w:tc>
      </w:tr>
      <w:tr w:rsidR="001F600C" w:rsidRPr="00285D58" w14:paraId="22244FB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B55B3D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1E14E1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B7CD1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56" w:type="dxa"/>
            <w:tcBorders>
              <w:top w:val="nil"/>
              <w:left w:val="nil"/>
              <w:bottom w:val="single" w:sz="4" w:space="0" w:color="1072BD"/>
              <w:right w:val="single" w:sz="4" w:space="0" w:color="1072BD"/>
            </w:tcBorders>
          </w:tcPr>
          <w:p w14:paraId="7E8D11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4DFE8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1CDD42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6F54C5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17.79 m2</w:t>
            </w:r>
          </w:p>
        </w:tc>
      </w:tr>
      <w:tr w:rsidR="001F600C" w:rsidRPr="00285D58" w14:paraId="5D1E89F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611D0C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482505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2650AD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56" w:type="dxa"/>
            <w:tcBorders>
              <w:top w:val="nil"/>
              <w:left w:val="nil"/>
              <w:bottom w:val="single" w:sz="4" w:space="0" w:color="1072BD"/>
              <w:right w:val="single" w:sz="4" w:space="0" w:color="1072BD"/>
            </w:tcBorders>
          </w:tcPr>
          <w:p w14:paraId="000A27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0A00A2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559" w:type="dxa"/>
            <w:tcBorders>
              <w:top w:val="nil"/>
              <w:left w:val="nil"/>
              <w:bottom w:val="single" w:sz="4" w:space="0" w:color="1072BD"/>
              <w:right w:val="single" w:sz="4" w:space="0" w:color="1072BD"/>
            </w:tcBorders>
          </w:tcPr>
          <w:p w14:paraId="36B28E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7B072B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18.89 m2</w:t>
            </w:r>
          </w:p>
        </w:tc>
      </w:tr>
      <w:tr w:rsidR="001F600C" w:rsidRPr="00285D58" w14:paraId="6A9EAFC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79F254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F6664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63B62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56" w:type="dxa"/>
            <w:tcBorders>
              <w:top w:val="nil"/>
              <w:left w:val="nil"/>
              <w:bottom w:val="single" w:sz="4" w:space="0" w:color="1072BD"/>
              <w:right w:val="single" w:sz="4" w:space="0" w:color="1072BD"/>
            </w:tcBorders>
          </w:tcPr>
          <w:p w14:paraId="2F3D65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15EF8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137853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3</w:t>
            </w:r>
          </w:p>
        </w:tc>
        <w:tc>
          <w:tcPr>
            <w:tcW w:w="1276" w:type="dxa"/>
            <w:tcBorders>
              <w:top w:val="nil"/>
              <w:left w:val="nil"/>
              <w:bottom w:val="single" w:sz="4" w:space="0" w:color="1072BD"/>
              <w:right w:val="single" w:sz="4" w:space="0" w:color="1072BD"/>
            </w:tcBorders>
          </w:tcPr>
          <w:p w14:paraId="0A1534F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4.43 m2</w:t>
            </w:r>
          </w:p>
        </w:tc>
      </w:tr>
      <w:tr w:rsidR="001F600C" w:rsidRPr="00285D58" w14:paraId="58614CF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4C9D49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DED44E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27A08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Limpieza</w:t>
            </w:r>
          </w:p>
        </w:tc>
        <w:tc>
          <w:tcPr>
            <w:tcW w:w="756" w:type="dxa"/>
            <w:tcBorders>
              <w:top w:val="nil"/>
              <w:left w:val="nil"/>
              <w:bottom w:val="single" w:sz="4" w:space="0" w:color="1072BD"/>
              <w:right w:val="single" w:sz="4" w:space="0" w:color="1072BD"/>
            </w:tcBorders>
          </w:tcPr>
          <w:p w14:paraId="1E9386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CAC38C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1609D18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11B7EF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4.08 m2</w:t>
            </w:r>
          </w:p>
        </w:tc>
      </w:tr>
      <w:tr w:rsidR="001F600C" w:rsidRPr="00285D58" w14:paraId="05818DA7"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7D2E28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049D2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B1E4B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56" w:type="dxa"/>
            <w:tcBorders>
              <w:top w:val="nil"/>
              <w:left w:val="nil"/>
              <w:bottom w:val="single" w:sz="4" w:space="0" w:color="1072BD"/>
              <w:right w:val="single" w:sz="4" w:space="0" w:color="1072BD"/>
            </w:tcBorders>
          </w:tcPr>
          <w:p w14:paraId="243C97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38DF0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375DE1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27911F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18.88 m2</w:t>
            </w:r>
          </w:p>
        </w:tc>
      </w:tr>
      <w:tr w:rsidR="001F600C" w:rsidRPr="00285D58" w14:paraId="7B32862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624040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EBA670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00ED7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56" w:type="dxa"/>
            <w:tcBorders>
              <w:top w:val="nil"/>
              <w:left w:val="nil"/>
              <w:bottom w:val="single" w:sz="4" w:space="0" w:color="1072BD"/>
              <w:right w:val="single" w:sz="4" w:space="0" w:color="1072BD"/>
            </w:tcBorders>
          </w:tcPr>
          <w:p w14:paraId="246760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CFEFC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4D3A08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2</w:t>
            </w:r>
          </w:p>
        </w:tc>
        <w:tc>
          <w:tcPr>
            <w:tcW w:w="1276" w:type="dxa"/>
            <w:tcBorders>
              <w:top w:val="nil"/>
              <w:left w:val="nil"/>
              <w:bottom w:val="single" w:sz="4" w:space="0" w:color="1072BD"/>
              <w:right w:val="single" w:sz="4" w:space="0" w:color="1072BD"/>
            </w:tcBorders>
          </w:tcPr>
          <w:p w14:paraId="4659B9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16.09 m2</w:t>
            </w:r>
          </w:p>
        </w:tc>
      </w:tr>
      <w:tr w:rsidR="001F600C" w:rsidRPr="00285D58" w14:paraId="55FE64A0"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C50DF3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258FBC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6475E6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56" w:type="dxa"/>
            <w:tcBorders>
              <w:top w:val="nil"/>
              <w:left w:val="nil"/>
              <w:bottom w:val="single" w:sz="4" w:space="0" w:color="1072BD"/>
              <w:right w:val="single" w:sz="4" w:space="0" w:color="1072BD"/>
            </w:tcBorders>
          </w:tcPr>
          <w:p w14:paraId="4AFD1F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B9E53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33E40A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3</w:t>
            </w:r>
          </w:p>
        </w:tc>
        <w:tc>
          <w:tcPr>
            <w:tcW w:w="1276" w:type="dxa"/>
            <w:tcBorders>
              <w:top w:val="nil"/>
              <w:left w:val="nil"/>
              <w:bottom w:val="single" w:sz="4" w:space="0" w:color="1072BD"/>
              <w:right w:val="single" w:sz="4" w:space="0" w:color="1072BD"/>
            </w:tcBorders>
          </w:tcPr>
          <w:p w14:paraId="4E7ABF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6.63 m2</w:t>
            </w:r>
          </w:p>
        </w:tc>
      </w:tr>
      <w:tr w:rsidR="001F600C" w:rsidRPr="00285D58" w14:paraId="3EB4164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B67311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0D3B0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342BBF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Limpieza</w:t>
            </w:r>
          </w:p>
        </w:tc>
        <w:tc>
          <w:tcPr>
            <w:tcW w:w="756" w:type="dxa"/>
            <w:tcBorders>
              <w:top w:val="nil"/>
              <w:left w:val="nil"/>
              <w:bottom w:val="single" w:sz="4" w:space="0" w:color="1072BD"/>
              <w:right w:val="single" w:sz="4" w:space="0" w:color="1072BD"/>
            </w:tcBorders>
          </w:tcPr>
          <w:p w14:paraId="0D5D34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BA6F35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5ED33B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89532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2.94 m2</w:t>
            </w:r>
          </w:p>
        </w:tc>
      </w:tr>
      <w:tr w:rsidR="001F600C" w:rsidRPr="00285D58" w14:paraId="00B67171"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1DC7D2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Cafetería</w:t>
            </w:r>
          </w:p>
        </w:tc>
        <w:tc>
          <w:tcPr>
            <w:tcW w:w="767" w:type="dxa"/>
            <w:tcBorders>
              <w:top w:val="nil"/>
              <w:left w:val="nil"/>
              <w:bottom w:val="single" w:sz="4" w:space="0" w:color="1072BD"/>
              <w:right w:val="single" w:sz="4" w:space="0" w:color="1072BD"/>
            </w:tcBorders>
          </w:tcPr>
          <w:p w14:paraId="15D3F2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F028E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Cocina</w:t>
            </w:r>
          </w:p>
        </w:tc>
        <w:tc>
          <w:tcPr>
            <w:tcW w:w="756" w:type="dxa"/>
            <w:tcBorders>
              <w:top w:val="nil"/>
              <w:left w:val="nil"/>
              <w:bottom w:val="single" w:sz="4" w:space="0" w:color="1072BD"/>
              <w:right w:val="single" w:sz="4" w:space="0" w:color="1072BD"/>
            </w:tcBorders>
          </w:tcPr>
          <w:p w14:paraId="2030BF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945" w:type="dxa"/>
            <w:tcBorders>
              <w:top w:val="nil"/>
              <w:left w:val="nil"/>
              <w:bottom w:val="single" w:sz="4" w:space="0" w:color="1072BD"/>
              <w:right w:val="nil"/>
            </w:tcBorders>
          </w:tcPr>
          <w:p w14:paraId="093943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9.30</w:t>
            </w:r>
          </w:p>
        </w:tc>
        <w:tc>
          <w:tcPr>
            <w:tcW w:w="1559" w:type="dxa"/>
            <w:tcBorders>
              <w:top w:val="nil"/>
              <w:left w:val="nil"/>
              <w:bottom w:val="single" w:sz="4" w:space="0" w:color="1072BD"/>
              <w:right w:val="single" w:sz="4" w:space="0" w:color="1072BD"/>
            </w:tcBorders>
          </w:tcPr>
          <w:p w14:paraId="74EFB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4</w:t>
            </w:r>
          </w:p>
        </w:tc>
        <w:tc>
          <w:tcPr>
            <w:tcW w:w="1276" w:type="dxa"/>
            <w:tcBorders>
              <w:top w:val="nil"/>
              <w:left w:val="nil"/>
              <w:bottom w:val="single" w:sz="4" w:space="0" w:color="1072BD"/>
              <w:right w:val="single" w:sz="4" w:space="0" w:color="1072BD"/>
            </w:tcBorders>
          </w:tcPr>
          <w:p w14:paraId="2C02C1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18.18 m2</w:t>
            </w:r>
          </w:p>
        </w:tc>
      </w:tr>
      <w:tr w:rsidR="001F600C" w:rsidRPr="00285D58" w14:paraId="37BC5D2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22AA69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9468F1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52ECDB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Barra de atención</w:t>
            </w:r>
          </w:p>
        </w:tc>
        <w:tc>
          <w:tcPr>
            <w:tcW w:w="756" w:type="dxa"/>
            <w:tcBorders>
              <w:top w:val="nil"/>
              <w:left w:val="nil"/>
              <w:bottom w:val="single" w:sz="4" w:space="0" w:color="1072BD"/>
              <w:right w:val="single" w:sz="4" w:space="0" w:color="1072BD"/>
            </w:tcBorders>
          </w:tcPr>
          <w:p w14:paraId="63AD65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945" w:type="dxa"/>
            <w:tcBorders>
              <w:top w:val="nil"/>
              <w:left w:val="nil"/>
              <w:bottom w:val="single" w:sz="4" w:space="0" w:color="1072BD"/>
              <w:right w:val="nil"/>
            </w:tcBorders>
          </w:tcPr>
          <w:p w14:paraId="0E0AED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5.00</w:t>
            </w:r>
          </w:p>
        </w:tc>
        <w:tc>
          <w:tcPr>
            <w:tcW w:w="1559" w:type="dxa"/>
            <w:tcBorders>
              <w:top w:val="nil"/>
              <w:left w:val="nil"/>
              <w:bottom w:val="single" w:sz="4" w:space="0" w:color="1072BD"/>
              <w:right w:val="single" w:sz="4" w:space="0" w:color="1072BD"/>
            </w:tcBorders>
          </w:tcPr>
          <w:p w14:paraId="54350E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5</w:t>
            </w:r>
          </w:p>
        </w:tc>
        <w:tc>
          <w:tcPr>
            <w:tcW w:w="1276" w:type="dxa"/>
            <w:tcBorders>
              <w:top w:val="nil"/>
              <w:left w:val="nil"/>
              <w:bottom w:val="single" w:sz="4" w:space="0" w:color="1072BD"/>
              <w:right w:val="single" w:sz="4" w:space="0" w:color="1072BD"/>
            </w:tcBorders>
          </w:tcPr>
          <w:p w14:paraId="127BF03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10.93 m2</w:t>
            </w:r>
          </w:p>
        </w:tc>
      </w:tr>
      <w:tr w:rsidR="001F600C" w:rsidRPr="00285D58" w14:paraId="1C74514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04D965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B8CD8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754B31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cocina</w:t>
            </w:r>
          </w:p>
        </w:tc>
        <w:tc>
          <w:tcPr>
            <w:tcW w:w="756" w:type="dxa"/>
            <w:tcBorders>
              <w:top w:val="nil"/>
              <w:left w:val="nil"/>
              <w:bottom w:val="single" w:sz="4" w:space="0" w:color="1072BD"/>
              <w:right w:val="single" w:sz="4" w:space="0" w:color="1072BD"/>
            </w:tcBorders>
          </w:tcPr>
          <w:p w14:paraId="60A907C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F9CEF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528FA76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6C15D4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7.29 m2</w:t>
            </w:r>
          </w:p>
        </w:tc>
      </w:tr>
      <w:tr w:rsidR="001F600C" w:rsidRPr="00285D58" w14:paraId="2BA32BD9"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55E31B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79A5D9B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A9D85E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cocina</w:t>
            </w:r>
          </w:p>
        </w:tc>
        <w:tc>
          <w:tcPr>
            <w:tcW w:w="756" w:type="dxa"/>
            <w:tcBorders>
              <w:top w:val="nil"/>
              <w:left w:val="nil"/>
              <w:bottom w:val="single" w:sz="4" w:space="0" w:color="1072BD"/>
              <w:right w:val="single" w:sz="4" w:space="0" w:color="1072BD"/>
            </w:tcBorders>
          </w:tcPr>
          <w:p w14:paraId="38272C6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1DFA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559" w:type="dxa"/>
            <w:tcBorders>
              <w:top w:val="nil"/>
              <w:left w:val="nil"/>
              <w:bottom w:val="single" w:sz="4" w:space="0" w:color="1072BD"/>
              <w:right w:val="single" w:sz="4" w:space="0" w:color="1072BD"/>
            </w:tcBorders>
          </w:tcPr>
          <w:p w14:paraId="0B0F89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bloques de aparatos </w:t>
            </w:r>
            <w:r w:rsidRPr="00285D58">
              <w:rPr>
                <w:rFonts w:asciiTheme="minorHAnsi" w:eastAsia="Calibri" w:hAnsiTheme="minorHAnsi" w:cstheme="minorHAnsi"/>
                <w:sz w:val="18"/>
                <w:szCs w:val="18"/>
                <w:vertAlign w:val="superscript"/>
              </w:rPr>
              <w:t>1</w:t>
            </w:r>
          </w:p>
        </w:tc>
        <w:tc>
          <w:tcPr>
            <w:tcW w:w="1276" w:type="dxa"/>
            <w:tcBorders>
              <w:top w:val="nil"/>
              <w:left w:val="nil"/>
              <w:bottom w:val="single" w:sz="4" w:space="0" w:color="1072BD"/>
              <w:right w:val="single" w:sz="4" w:space="0" w:color="1072BD"/>
            </w:tcBorders>
          </w:tcPr>
          <w:p w14:paraId="6E2565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2.29 m2</w:t>
            </w:r>
          </w:p>
        </w:tc>
      </w:tr>
      <w:tr w:rsidR="001F600C" w:rsidRPr="00285D58" w14:paraId="2FF8C5A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DD5E24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15570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5C950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mesas</w:t>
            </w:r>
          </w:p>
        </w:tc>
        <w:tc>
          <w:tcPr>
            <w:tcW w:w="756" w:type="dxa"/>
            <w:tcBorders>
              <w:top w:val="nil"/>
              <w:left w:val="nil"/>
              <w:bottom w:val="single" w:sz="4" w:space="0" w:color="1072BD"/>
              <w:right w:val="single" w:sz="4" w:space="0" w:color="1072BD"/>
            </w:tcBorders>
          </w:tcPr>
          <w:p w14:paraId="5732E5B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66</w:t>
            </w:r>
          </w:p>
        </w:tc>
        <w:tc>
          <w:tcPr>
            <w:tcW w:w="945" w:type="dxa"/>
            <w:tcBorders>
              <w:top w:val="nil"/>
              <w:left w:val="nil"/>
              <w:bottom w:val="single" w:sz="4" w:space="0" w:color="1072BD"/>
              <w:right w:val="nil"/>
            </w:tcBorders>
          </w:tcPr>
          <w:p w14:paraId="56A4BE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w:t>
            </w:r>
          </w:p>
        </w:tc>
        <w:tc>
          <w:tcPr>
            <w:tcW w:w="1559" w:type="dxa"/>
            <w:tcBorders>
              <w:top w:val="nil"/>
              <w:left w:val="nil"/>
              <w:bottom w:val="single" w:sz="4" w:space="0" w:color="1072BD"/>
              <w:right w:val="single" w:sz="4" w:space="0" w:color="1072BD"/>
            </w:tcBorders>
          </w:tcPr>
          <w:p w14:paraId="092E41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6</w:t>
            </w:r>
          </w:p>
        </w:tc>
        <w:tc>
          <w:tcPr>
            <w:tcW w:w="1276" w:type="dxa"/>
            <w:tcBorders>
              <w:top w:val="nil"/>
              <w:left w:val="nil"/>
              <w:bottom w:val="single" w:sz="4" w:space="0" w:color="1072BD"/>
              <w:right w:val="single" w:sz="4" w:space="0" w:color="1072BD"/>
            </w:tcBorders>
          </w:tcPr>
          <w:p w14:paraId="4E9B1E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99.25 m2</w:t>
            </w:r>
          </w:p>
        </w:tc>
      </w:tr>
      <w:tr w:rsidR="001F600C" w:rsidRPr="00285D58" w14:paraId="028D33A0"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75C49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w:t>
            </w:r>
          </w:p>
        </w:tc>
        <w:tc>
          <w:tcPr>
            <w:tcW w:w="767" w:type="dxa"/>
            <w:tcBorders>
              <w:top w:val="nil"/>
              <w:left w:val="nil"/>
              <w:bottom w:val="single" w:sz="4" w:space="0" w:color="1072BD"/>
              <w:right w:val="single" w:sz="4" w:space="0" w:color="1072BD"/>
            </w:tcBorders>
          </w:tcPr>
          <w:p w14:paraId="127CF85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5F5031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 de interpretación</w:t>
            </w:r>
          </w:p>
        </w:tc>
        <w:tc>
          <w:tcPr>
            <w:tcW w:w="756" w:type="dxa"/>
            <w:tcBorders>
              <w:top w:val="nil"/>
              <w:left w:val="nil"/>
              <w:bottom w:val="single" w:sz="4" w:space="0" w:color="1072BD"/>
              <w:right w:val="single" w:sz="4" w:space="0" w:color="1072BD"/>
            </w:tcBorders>
          </w:tcPr>
          <w:p w14:paraId="2294F8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w:t>
            </w:r>
          </w:p>
        </w:tc>
        <w:tc>
          <w:tcPr>
            <w:tcW w:w="945" w:type="dxa"/>
            <w:tcBorders>
              <w:top w:val="nil"/>
              <w:left w:val="nil"/>
              <w:bottom w:val="single" w:sz="4" w:space="0" w:color="1072BD"/>
              <w:right w:val="nil"/>
            </w:tcBorders>
          </w:tcPr>
          <w:p w14:paraId="480270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208FA8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7</w:t>
            </w:r>
          </w:p>
        </w:tc>
        <w:tc>
          <w:tcPr>
            <w:tcW w:w="1276" w:type="dxa"/>
            <w:tcBorders>
              <w:top w:val="nil"/>
              <w:left w:val="nil"/>
              <w:bottom w:val="single" w:sz="4" w:space="0" w:color="1072BD"/>
              <w:right w:val="single" w:sz="4" w:space="0" w:color="1072BD"/>
            </w:tcBorders>
          </w:tcPr>
          <w:p w14:paraId="422E3AA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246.82 m2</w:t>
            </w:r>
          </w:p>
        </w:tc>
      </w:tr>
      <w:tr w:rsidR="001F600C" w:rsidRPr="00285D58" w14:paraId="50DF9CAE"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E02268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38C61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B95DF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embarque</w:t>
            </w:r>
          </w:p>
        </w:tc>
        <w:tc>
          <w:tcPr>
            <w:tcW w:w="756" w:type="dxa"/>
            <w:tcBorders>
              <w:top w:val="nil"/>
              <w:left w:val="nil"/>
              <w:bottom w:val="single" w:sz="4" w:space="0" w:color="1072BD"/>
              <w:right w:val="single" w:sz="4" w:space="0" w:color="1072BD"/>
            </w:tcBorders>
          </w:tcPr>
          <w:p w14:paraId="2FA904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47</w:t>
            </w:r>
          </w:p>
        </w:tc>
        <w:tc>
          <w:tcPr>
            <w:tcW w:w="945" w:type="dxa"/>
            <w:tcBorders>
              <w:top w:val="nil"/>
              <w:left w:val="nil"/>
              <w:bottom w:val="single" w:sz="4" w:space="0" w:color="1072BD"/>
              <w:right w:val="nil"/>
            </w:tcBorders>
          </w:tcPr>
          <w:p w14:paraId="022473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4B6B1B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670F4B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37.88 m2</w:t>
            </w:r>
          </w:p>
        </w:tc>
      </w:tr>
      <w:tr w:rsidR="001F600C" w:rsidRPr="00285D58" w14:paraId="796652FD"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D8AAF2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3C6E53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6F7C56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desembarque</w:t>
            </w:r>
          </w:p>
        </w:tc>
        <w:tc>
          <w:tcPr>
            <w:tcW w:w="756" w:type="dxa"/>
            <w:tcBorders>
              <w:top w:val="nil"/>
              <w:left w:val="nil"/>
              <w:bottom w:val="single" w:sz="4" w:space="0" w:color="1072BD"/>
              <w:right w:val="single" w:sz="4" w:space="0" w:color="1072BD"/>
            </w:tcBorders>
          </w:tcPr>
          <w:p w14:paraId="101BCCA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w:t>
            </w:r>
          </w:p>
        </w:tc>
        <w:tc>
          <w:tcPr>
            <w:tcW w:w="945" w:type="dxa"/>
            <w:tcBorders>
              <w:top w:val="nil"/>
              <w:left w:val="nil"/>
              <w:bottom w:val="single" w:sz="4" w:space="0" w:color="1072BD"/>
              <w:right w:val="nil"/>
            </w:tcBorders>
          </w:tcPr>
          <w:p w14:paraId="1587AB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10C12B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5DA761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30.13 m2</w:t>
            </w:r>
          </w:p>
        </w:tc>
      </w:tr>
      <w:tr w:rsidR="001F600C" w:rsidRPr="00285D58" w14:paraId="000FA85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658AA35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2A8AB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6BBE99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de espera</w:t>
            </w:r>
          </w:p>
        </w:tc>
        <w:tc>
          <w:tcPr>
            <w:tcW w:w="756" w:type="dxa"/>
            <w:tcBorders>
              <w:top w:val="nil"/>
              <w:left w:val="nil"/>
              <w:bottom w:val="single" w:sz="4" w:space="0" w:color="1072BD"/>
              <w:right w:val="single" w:sz="4" w:space="0" w:color="1072BD"/>
            </w:tcBorders>
          </w:tcPr>
          <w:p w14:paraId="0A00A4A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945" w:type="dxa"/>
            <w:tcBorders>
              <w:top w:val="nil"/>
              <w:left w:val="nil"/>
              <w:bottom w:val="single" w:sz="4" w:space="0" w:color="1072BD"/>
              <w:right w:val="nil"/>
            </w:tcBorders>
          </w:tcPr>
          <w:p w14:paraId="55B8E2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559" w:type="dxa"/>
            <w:tcBorders>
              <w:top w:val="nil"/>
              <w:left w:val="nil"/>
              <w:bottom w:val="single" w:sz="4" w:space="0" w:color="1072BD"/>
              <w:right w:val="single" w:sz="4" w:space="0" w:color="1072BD"/>
            </w:tcBorders>
          </w:tcPr>
          <w:p w14:paraId="30E92C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8</w:t>
            </w:r>
          </w:p>
        </w:tc>
        <w:tc>
          <w:tcPr>
            <w:tcW w:w="1276" w:type="dxa"/>
            <w:tcBorders>
              <w:top w:val="nil"/>
              <w:left w:val="nil"/>
              <w:bottom w:val="single" w:sz="4" w:space="0" w:color="1072BD"/>
              <w:right w:val="single" w:sz="4" w:space="0" w:color="1072BD"/>
            </w:tcBorders>
          </w:tcPr>
          <w:p w14:paraId="7C4BB9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268.04 m2</w:t>
            </w:r>
          </w:p>
        </w:tc>
      </w:tr>
      <w:tr w:rsidR="001F600C" w:rsidRPr="00285D58" w14:paraId="04DD42A4"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3BAF46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63E7C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06463E8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abordaje</w:t>
            </w:r>
          </w:p>
        </w:tc>
        <w:tc>
          <w:tcPr>
            <w:tcW w:w="756" w:type="dxa"/>
            <w:tcBorders>
              <w:top w:val="nil"/>
              <w:left w:val="nil"/>
              <w:bottom w:val="single" w:sz="4" w:space="0" w:color="1072BD"/>
              <w:right w:val="single" w:sz="4" w:space="0" w:color="1072BD"/>
            </w:tcBorders>
          </w:tcPr>
          <w:p w14:paraId="4FDA9A0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05349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6634700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04BA94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362.19 m2</w:t>
            </w:r>
          </w:p>
        </w:tc>
      </w:tr>
      <w:tr w:rsidR="001F600C" w:rsidRPr="00285D58" w14:paraId="375C8656"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375238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 comercial</w:t>
            </w:r>
          </w:p>
        </w:tc>
        <w:tc>
          <w:tcPr>
            <w:tcW w:w="767" w:type="dxa"/>
            <w:tcBorders>
              <w:top w:val="nil"/>
              <w:left w:val="nil"/>
              <w:bottom w:val="single" w:sz="4" w:space="0" w:color="1072BD"/>
              <w:right w:val="single" w:sz="4" w:space="0" w:color="1072BD"/>
            </w:tcBorders>
          </w:tcPr>
          <w:p w14:paraId="685496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1014A3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756" w:type="dxa"/>
            <w:tcBorders>
              <w:top w:val="nil"/>
              <w:left w:val="nil"/>
              <w:bottom w:val="single" w:sz="4" w:space="0" w:color="1072BD"/>
              <w:right w:val="single" w:sz="4" w:space="0" w:color="1072BD"/>
            </w:tcBorders>
          </w:tcPr>
          <w:p w14:paraId="02C25A2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w:t>
            </w:r>
          </w:p>
        </w:tc>
        <w:tc>
          <w:tcPr>
            <w:tcW w:w="945" w:type="dxa"/>
            <w:tcBorders>
              <w:top w:val="nil"/>
              <w:left w:val="nil"/>
              <w:bottom w:val="single" w:sz="4" w:space="0" w:color="1072BD"/>
              <w:right w:val="nil"/>
            </w:tcBorders>
          </w:tcPr>
          <w:p w14:paraId="7509D3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59" w:type="dxa"/>
            <w:tcBorders>
              <w:top w:val="nil"/>
              <w:left w:val="nil"/>
              <w:bottom w:val="single" w:sz="4" w:space="0" w:color="1072BD"/>
              <w:right w:val="single" w:sz="4" w:space="0" w:color="1072BD"/>
            </w:tcBorders>
          </w:tcPr>
          <w:p w14:paraId="150F31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76" w:type="dxa"/>
            <w:tcBorders>
              <w:top w:val="nil"/>
              <w:left w:val="nil"/>
              <w:bottom w:val="single" w:sz="4" w:space="0" w:color="1072BD"/>
              <w:right w:val="single" w:sz="4" w:space="0" w:color="1072BD"/>
            </w:tcBorders>
          </w:tcPr>
          <w:p w14:paraId="02E8C86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43.06 m2</w:t>
            </w:r>
          </w:p>
        </w:tc>
      </w:tr>
      <w:tr w:rsidR="001F600C" w:rsidRPr="00285D58" w14:paraId="0BBD3985"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739A5B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3A988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19EEE8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Tiendas comerciales</w:t>
            </w:r>
          </w:p>
        </w:tc>
        <w:tc>
          <w:tcPr>
            <w:tcW w:w="756" w:type="dxa"/>
            <w:tcBorders>
              <w:top w:val="nil"/>
              <w:left w:val="nil"/>
              <w:bottom w:val="single" w:sz="4" w:space="0" w:color="1072BD"/>
              <w:right w:val="single" w:sz="4" w:space="0" w:color="1072BD"/>
            </w:tcBorders>
          </w:tcPr>
          <w:p w14:paraId="7D6A2C5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w:t>
            </w:r>
          </w:p>
        </w:tc>
        <w:tc>
          <w:tcPr>
            <w:tcW w:w="945" w:type="dxa"/>
            <w:tcBorders>
              <w:top w:val="nil"/>
              <w:left w:val="nil"/>
              <w:bottom w:val="single" w:sz="4" w:space="0" w:color="1072BD"/>
              <w:right w:val="nil"/>
            </w:tcBorders>
          </w:tcPr>
          <w:p w14:paraId="6D336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2.80</w:t>
            </w:r>
          </w:p>
        </w:tc>
        <w:tc>
          <w:tcPr>
            <w:tcW w:w="1559" w:type="dxa"/>
            <w:tcBorders>
              <w:top w:val="nil"/>
              <w:left w:val="nil"/>
              <w:bottom w:val="single" w:sz="4" w:space="0" w:color="1072BD"/>
              <w:right w:val="single" w:sz="4" w:space="0" w:color="1072BD"/>
            </w:tcBorders>
          </w:tcPr>
          <w:p w14:paraId="68B9B1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9</w:t>
            </w:r>
          </w:p>
        </w:tc>
        <w:tc>
          <w:tcPr>
            <w:tcW w:w="1276" w:type="dxa"/>
            <w:tcBorders>
              <w:top w:val="nil"/>
              <w:left w:val="nil"/>
              <w:bottom w:val="single" w:sz="4" w:space="0" w:color="1072BD"/>
              <w:right w:val="single" w:sz="4" w:space="0" w:color="1072BD"/>
            </w:tcBorders>
          </w:tcPr>
          <w:p w14:paraId="36E86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18.48 m2</w:t>
            </w:r>
          </w:p>
        </w:tc>
      </w:tr>
      <w:tr w:rsidR="001F600C" w:rsidRPr="00285D58" w14:paraId="5F972885"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755461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767" w:type="dxa"/>
            <w:tcBorders>
              <w:top w:val="nil"/>
              <w:left w:val="nil"/>
              <w:bottom w:val="single" w:sz="4" w:space="0" w:color="1072BD"/>
              <w:right w:val="single" w:sz="4" w:space="0" w:color="1072BD"/>
            </w:tcBorders>
          </w:tcPr>
          <w:p w14:paraId="411F29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38AA6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756" w:type="dxa"/>
            <w:tcBorders>
              <w:top w:val="nil"/>
              <w:left w:val="nil"/>
              <w:bottom w:val="single" w:sz="4" w:space="0" w:color="1072BD"/>
              <w:right w:val="single" w:sz="4" w:space="0" w:color="1072BD"/>
            </w:tcBorders>
          </w:tcPr>
          <w:p w14:paraId="5915C18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2AEF05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C47740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5C3B07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311.68 m2</w:t>
            </w:r>
          </w:p>
        </w:tc>
      </w:tr>
      <w:tr w:rsidR="001F600C" w:rsidRPr="00285D58" w14:paraId="50D7894F"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44FA621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490E1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51FE0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espera y abordaje</w:t>
            </w:r>
          </w:p>
        </w:tc>
        <w:tc>
          <w:tcPr>
            <w:tcW w:w="756" w:type="dxa"/>
            <w:tcBorders>
              <w:top w:val="nil"/>
              <w:left w:val="nil"/>
              <w:bottom w:val="single" w:sz="4" w:space="0" w:color="1072BD"/>
              <w:right w:val="single" w:sz="4" w:space="0" w:color="1072BD"/>
            </w:tcBorders>
          </w:tcPr>
          <w:p w14:paraId="42E6ECD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018E8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69E00A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368CC1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187.11 m2</w:t>
            </w:r>
          </w:p>
        </w:tc>
      </w:tr>
      <w:tr w:rsidR="001F600C" w:rsidRPr="00285D58" w14:paraId="40C7DAB4" w14:textId="77777777" w:rsidTr="00242093">
        <w:trPr>
          <w:trHeight w:val="240"/>
        </w:trPr>
        <w:tc>
          <w:tcPr>
            <w:tcW w:w="1496" w:type="dxa"/>
            <w:tcBorders>
              <w:top w:val="nil"/>
              <w:left w:val="single" w:sz="4" w:space="0" w:color="1072BD"/>
              <w:bottom w:val="single" w:sz="4" w:space="0" w:color="1072BD"/>
              <w:right w:val="single" w:sz="4" w:space="0" w:color="1072BD"/>
            </w:tcBorders>
            <w:shd w:val="clear" w:color="auto" w:fill="E7E6E6" w:themeFill="background2"/>
          </w:tcPr>
          <w:p w14:paraId="77BB774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3555" w:type="dxa"/>
            <w:gridSpan w:val="2"/>
            <w:tcBorders>
              <w:top w:val="single" w:sz="4" w:space="0" w:color="1072BD"/>
              <w:left w:val="nil"/>
              <w:bottom w:val="single" w:sz="4" w:space="0" w:color="1072BD"/>
              <w:right w:val="single" w:sz="4" w:space="0" w:color="1072BD"/>
            </w:tcBorders>
            <w:shd w:val="clear" w:color="auto" w:fill="E7E6E6" w:themeFill="background2"/>
          </w:tcPr>
          <w:p w14:paraId="6DDB1DD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56" w:type="dxa"/>
            <w:tcBorders>
              <w:top w:val="nil"/>
              <w:left w:val="nil"/>
              <w:bottom w:val="single" w:sz="4" w:space="0" w:color="1072BD"/>
              <w:right w:val="single" w:sz="4" w:space="0" w:color="1072BD"/>
            </w:tcBorders>
            <w:shd w:val="clear" w:color="auto" w:fill="E7E6E6" w:themeFill="background2"/>
          </w:tcPr>
          <w:p w14:paraId="0A143BCA"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497</w:t>
            </w:r>
          </w:p>
        </w:tc>
        <w:tc>
          <w:tcPr>
            <w:tcW w:w="2504" w:type="dxa"/>
            <w:gridSpan w:val="2"/>
            <w:tcBorders>
              <w:top w:val="single" w:sz="4" w:space="0" w:color="1072BD"/>
              <w:left w:val="nil"/>
              <w:bottom w:val="single" w:sz="4" w:space="0" w:color="1072BD"/>
              <w:right w:val="single" w:sz="4" w:space="0" w:color="1072BD"/>
            </w:tcBorders>
            <w:shd w:val="clear" w:color="auto" w:fill="E7E6E6" w:themeFill="background2"/>
          </w:tcPr>
          <w:p w14:paraId="45466BE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76" w:type="dxa"/>
            <w:tcBorders>
              <w:top w:val="nil"/>
              <w:left w:val="nil"/>
              <w:bottom w:val="single" w:sz="4" w:space="0" w:color="1072BD"/>
              <w:right w:val="single" w:sz="4" w:space="0" w:color="1072BD"/>
            </w:tcBorders>
            <w:shd w:val="clear" w:color="auto" w:fill="E7E6E6" w:themeFill="background2"/>
          </w:tcPr>
          <w:p w14:paraId="39A66D9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4905.45 m2</w:t>
            </w:r>
          </w:p>
        </w:tc>
      </w:tr>
      <w:tr w:rsidR="001F600C" w:rsidRPr="00285D58" w14:paraId="51DACE9B"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4E1E0D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767" w:type="dxa"/>
            <w:tcBorders>
              <w:top w:val="nil"/>
              <w:left w:val="nil"/>
              <w:bottom w:val="single" w:sz="4" w:space="0" w:color="1072BD"/>
              <w:right w:val="single" w:sz="4" w:space="0" w:color="1072BD"/>
            </w:tcBorders>
          </w:tcPr>
          <w:p w14:paraId="72060B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6CE9C8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756" w:type="dxa"/>
            <w:tcBorders>
              <w:top w:val="nil"/>
              <w:left w:val="nil"/>
              <w:bottom w:val="single" w:sz="4" w:space="0" w:color="1072BD"/>
              <w:right w:val="single" w:sz="4" w:space="0" w:color="1072BD"/>
            </w:tcBorders>
          </w:tcPr>
          <w:p w14:paraId="5FC2751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497</w:t>
            </w:r>
          </w:p>
        </w:tc>
        <w:tc>
          <w:tcPr>
            <w:tcW w:w="945" w:type="dxa"/>
            <w:tcBorders>
              <w:top w:val="nil"/>
              <w:left w:val="nil"/>
              <w:bottom w:val="single" w:sz="4" w:space="0" w:color="1072BD"/>
              <w:right w:val="nil"/>
            </w:tcBorders>
          </w:tcPr>
          <w:p w14:paraId="421210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2.50</w:t>
            </w:r>
          </w:p>
        </w:tc>
        <w:tc>
          <w:tcPr>
            <w:tcW w:w="1559" w:type="dxa"/>
            <w:tcBorders>
              <w:top w:val="nil"/>
              <w:left w:val="nil"/>
              <w:bottom w:val="single" w:sz="4" w:space="0" w:color="1072BD"/>
              <w:right w:val="single" w:sz="4" w:space="0" w:color="1072BD"/>
            </w:tcBorders>
          </w:tcPr>
          <w:p w14:paraId="4A0B0E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w:t>
            </w:r>
            <w:r w:rsidRPr="00285D58">
              <w:rPr>
                <w:rFonts w:asciiTheme="minorHAnsi" w:eastAsia="Calibri" w:hAnsiTheme="minorHAnsi" w:cstheme="minorHAnsi"/>
                <w:sz w:val="18"/>
                <w:szCs w:val="18"/>
                <w:vertAlign w:val="superscript"/>
              </w:rPr>
              <w:t>2</w:t>
            </w:r>
            <w:r w:rsidRPr="00285D58">
              <w:rPr>
                <w:rFonts w:asciiTheme="minorHAnsi" w:eastAsia="Calibri" w:hAnsiTheme="minorHAnsi" w:cstheme="minorHAnsi"/>
                <w:sz w:val="18"/>
                <w:szCs w:val="18"/>
              </w:rPr>
              <w:t xml:space="preserve"> por persona </w:t>
            </w:r>
            <w:r w:rsidRPr="00285D58">
              <w:rPr>
                <w:rFonts w:asciiTheme="minorHAnsi" w:eastAsia="Calibri" w:hAnsiTheme="minorHAnsi" w:cstheme="minorHAnsi"/>
                <w:sz w:val="18"/>
                <w:szCs w:val="18"/>
                <w:vertAlign w:val="superscript"/>
              </w:rPr>
              <w:t>10</w:t>
            </w:r>
          </w:p>
        </w:tc>
        <w:tc>
          <w:tcPr>
            <w:tcW w:w="1276" w:type="dxa"/>
            <w:tcBorders>
              <w:top w:val="nil"/>
              <w:left w:val="nil"/>
              <w:bottom w:val="single" w:sz="4" w:space="0" w:color="1072BD"/>
              <w:right w:val="single" w:sz="4" w:space="0" w:color="1072BD"/>
            </w:tcBorders>
          </w:tcPr>
          <w:p w14:paraId="254136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1241.36 m2</w:t>
            </w:r>
          </w:p>
        </w:tc>
      </w:tr>
      <w:tr w:rsidR="001F600C" w:rsidRPr="00285D58" w14:paraId="385559E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5234E8A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52CE081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45182C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756" w:type="dxa"/>
            <w:tcBorders>
              <w:top w:val="nil"/>
              <w:left w:val="nil"/>
              <w:bottom w:val="single" w:sz="4" w:space="0" w:color="1072BD"/>
              <w:right w:val="single" w:sz="4" w:space="0" w:color="1072BD"/>
            </w:tcBorders>
          </w:tcPr>
          <w:p w14:paraId="4B7F3A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AEBEE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7823680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015BC3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1494.67 m2</w:t>
            </w:r>
          </w:p>
        </w:tc>
      </w:tr>
      <w:tr w:rsidR="001F600C" w:rsidRPr="00285D58" w14:paraId="358C4153"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D65D60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06D055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788" w:type="dxa"/>
            <w:tcBorders>
              <w:top w:val="nil"/>
              <w:left w:val="nil"/>
              <w:bottom w:val="single" w:sz="4" w:space="0" w:color="1072BD"/>
              <w:right w:val="single" w:sz="4" w:space="0" w:color="1072BD"/>
            </w:tcBorders>
          </w:tcPr>
          <w:p w14:paraId="016C3D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vehículos</w:t>
            </w:r>
          </w:p>
        </w:tc>
        <w:tc>
          <w:tcPr>
            <w:tcW w:w="756" w:type="dxa"/>
            <w:tcBorders>
              <w:top w:val="nil"/>
              <w:left w:val="nil"/>
              <w:bottom w:val="single" w:sz="4" w:space="0" w:color="1072BD"/>
              <w:right w:val="single" w:sz="4" w:space="0" w:color="1072BD"/>
            </w:tcBorders>
          </w:tcPr>
          <w:p w14:paraId="307E68F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C8D1C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C781CA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36F023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526.04 m2</w:t>
            </w:r>
          </w:p>
        </w:tc>
      </w:tr>
      <w:tr w:rsidR="001F600C" w:rsidRPr="00285D58" w14:paraId="77883608" w14:textId="77777777" w:rsidTr="00242093">
        <w:trPr>
          <w:trHeight w:val="227"/>
        </w:trPr>
        <w:tc>
          <w:tcPr>
            <w:tcW w:w="1496" w:type="dxa"/>
            <w:vMerge w:val="restart"/>
            <w:tcBorders>
              <w:top w:val="nil"/>
              <w:left w:val="single" w:sz="4" w:space="0" w:color="1072BD"/>
              <w:bottom w:val="single" w:sz="4" w:space="0" w:color="1072BD"/>
              <w:right w:val="single" w:sz="4" w:space="0" w:color="1072BD"/>
            </w:tcBorders>
          </w:tcPr>
          <w:p w14:paraId="60B2EB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p w14:paraId="4B00E8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 de buses 27</w:t>
            </w:r>
          </w:p>
        </w:tc>
        <w:tc>
          <w:tcPr>
            <w:tcW w:w="767" w:type="dxa"/>
            <w:tcBorders>
              <w:top w:val="nil"/>
              <w:left w:val="nil"/>
              <w:bottom w:val="single" w:sz="4" w:space="0" w:color="1072BD"/>
              <w:right w:val="single" w:sz="4" w:space="0" w:color="1072BD"/>
            </w:tcBorders>
          </w:tcPr>
          <w:p w14:paraId="7CD841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788" w:type="dxa"/>
            <w:tcBorders>
              <w:top w:val="nil"/>
              <w:left w:val="nil"/>
              <w:bottom w:val="single" w:sz="4" w:space="0" w:color="1072BD"/>
              <w:right w:val="single" w:sz="4" w:space="0" w:color="1072BD"/>
            </w:tcBorders>
          </w:tcPr>
          <w:p w14:paraId="0F5EFAB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turistas / buses</w:t>
            </w:r>
          </w:p>
        </w:tc>
        <w:tc>
          <w:tcPr>
            <w:tcW w:w="756" w:type="dxa"/>
            <w:tcBorders>
              <w:top w:val="nil"/>
              <w:left w:val="nil"/>
              <w:bottom w:val="single" w:sz="4" w:space="0" w:color="1072BD"/>
              <w:right w:val="single" w:sz="4" w:space="0" w:color="1072BD"/>
            </w:tcBorders>
          </w:tcPr>
          <w:p w14:paraId="49C5903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B3A048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9.00</w:t>
            </w:r>
          </w:p>
        </w:tc>
        <w:tc>
          <w:tcPr>
            <w:tcW w:w="1559" w:type="dxa"/>
            <w:tcBorders>
              <w:top w:val="nil"/>
              <w:left w:val="nil"/>
              <w:bottom w:val="single" w:sz="4" w:space="0" w:color="1072BD"/>
              <w:right w:val="single" w:sz="4" w:space="0" w:color="1072BD"/>
            </w:tcBorders>
          </w:tcPr>
          <w:p w14:paraId="3BCD00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429209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220.50 m2</w:t>
            </w:r>
          </w:p>
        </w:tc>
      </w:tr>
      <w:tr w:rsidR="001F600C" w:rsidRPr="00285D58" w14:paraId="6987A9A1"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3F8DDB3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401FFF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69AFE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Estacionamiento de abordaje</w:t>
            </w:r>
          </w:p>
        </w:tc>
        <w:tc>
          <w:tcPr>
            <w:tcW w:w="756" w:type="dxa"/>
            <w:tcBorders>
              <w:top w:val="nil"/>
              <w:left w:val="nil"/>
              <w:bottom w:val="single" w:sz="4" w:space="0" w:color="1072BD"/>
              <w:right w:val="single" w:sz="4" w:space="0" w:color="1072BD"/>
            </w:tcBorders>
          </w:tcPr>
          <w:p w14:paraId="232F504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9287D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559" w:type="dxa"/>
            <w:tcBorders>
              <w:top w:val="nil"/>
              <w:left w:val="nil"/>
              <w:bottom w:val="single" w:sz="4" w:space="0" w:color="1072BD"/>
              <w:right w:val="single" w:sz="4" w:space="0" w:color="1072BD"/>
            </w:tcBorders>
          </w:tcPr>
          <w:p w14:paraId="516E13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06DD0E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120.99 m2</w:t>
            </w:r>
          </w:p>
        </w:tc>
      </w:tr>
      <w:tr w:rsidR="001F600C" w:rsidRPr="00285D58" w14:paraId="516B7F9C"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14836F9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115CAF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2BB72C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estacionamiento de buses</w:t>
            </w:r>
          </w:p>
        </w:tc>
        <w:tc>
          <w:tcPr>
            <w:tcW w:w="756" w:type="dxa"/>
            <w:tcBorders>
              <w:top w:val="nil"/>
              <w:left w:val="nil"/>
              <w:bottom w:val="single" w:sz="4" w:space="0" w:color="1072BD"/>
              <w:right w:val="single" w:sz="4" w:space="0" w:color="1072BD"/>
            </w:tcBorders>
          </w:tcPr>
          <w:p w14:paraId="2D23B43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DC67D5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15.00</w:t>
            </w:r>
          </w:p>
        </w:tc>
        <w:tc>
          <w:tcPr>
            <w:tcW w:w="1559" w:type="dxa"/>
            <w:tcBorders>
              <w:top w:val="nil"/>
              <w:left w:val="nil"/>
              <w:bottom w:val="single" w:sz="4" w:space="0" w:color="1072BD"/>
              <w:right w:val="single" w:sz="4" w:space="0" w:color="1072BD"/>
            </w:tcBorders>
          </w:tcPr>
          <w:p w14:paraId="52C39C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276" w:type="dxa"/>
            <w:tcBorders>
              <w:top w:val="nil"/>
              <w:left w:val="nil"/>
              <w:bottom w:val="single" w:sz="4" w:space="0" w:color="1072BD"/>
              <w:right w:val="single" w:sz="4" w:space="0" w:color="1072BD"/>
            </w:tcBorders>
          </w:tcPr>
          <w:p w14:paraId="355678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505.86 m2</w:t>
            </w:r>
          </w:p>
        </w:tc>
      </w:tr>
      <w:tr w:rsidR="001F600C" w:rsidRPr="00285D58" w14:paraId="1C352E28" w14:textId="77777777" w:rsidTr="00242093">
        <w:trPr>
          <w:trHeight w:val="227"/>
        </w:trPr>
        <w:tc>
          <w:tcPr>
            <w:tcW w:w="1496" w:type="dxa"/>
            <w:vMerge/>
            <w:tcBorders>
              <w:top w:val="nil"/>
              <w:left w:val="single" w:sz="4" w:space="0" w:color="1072BD"/>
              <w:bottom w:val="single" w:sz="4" w:space="0" w:color="1072BD"/>
              <w:right w:val="single" w:sz="4" w:space="0" w:color="1072BD"/>
            </w:tcBorders>
          </w:tcPr>
          <w:p w14:paraId="240B626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67" w:type="dxa"/>
            <w:tcBorders>
              <w:top w:val="nil"/>
              <w:left w:val="nil"/>
              <w:bottom w:val="single" w:sz="4" w:space="0" w:color="1072BD"/>
              <w:right w:val="single" w:sz="4" w:space="0" w:color="1072BD"/>
            </w:tcBorders>
          </w:tcPr>
          <w:p w14:paraId="63CA13D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788" w:type="dxa"/>
            <w:tcBorders>
              <w:top w:val="nil"/>
              <w:left w:val="nil"/>
              <w:bottom w:val="single" w:sz="4" w:space="0" w:color="1072BD"/>
              <w:right w:val="single" w:sz="4" w:space="0" w:color="1072BD"/>
            </w:tcBorders>
          </w:tcPr>
          <w:p w14:paraId="5A68929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de buses</w:t>
            </w:r>
          </w:p>
        </w:tc>
        <w:tc>
          <w:tcPr>
            <w:tcW w:w="756" w:type="dxa"/>
            <w:tcBorders>
              <w:top w:val="nil"/>
              <w:left w:val="nil"/>
              <w:bottom w:val="single" w:sz="4" w:space="0" w:color="1072BD"/>
              <w:right w:val="single" w:sz="4" w:space="0" w:color="1072BD"/>
            </w:tcBorders>
          </w:tcPr>
          <w:p w14:paraId="78CDC45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8F20A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559" w:type="dxa"/>
            <w:tcBorders>
              <w:top w:val="nil"/>
              <w:left w:val="nil"/>
              <w:bottom w:val="single" w:sz="4" w:space="0" w:color="1072BD"/>
              <w:right w:val="single" w:sz="4" w:space="0" w:color="1072BD"/>
            </w:tcBorders>
          </w:tcPr>
          <w:p w14:paraId="488EB83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76" w:type="dxa"/>
            <w:tcBorders>
              <w:top w:val="nil"/>
              <w:left w:val="nil"/>
              <w:bottom w:val="single" w:sz="4" w:space="0" w:color="1072BD"/>
              <w:right w:val="single" w:sz="4" w:space="0" w:color="1072BD"/>
            </w:tcBorders>
          </w:tcPr>
          <w:p w14:paraId="263D64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796.03 m2</w:t>
            </w:r>
          </w:p>
        </w:tc>
      </w:tr>
      <w:tr w:rsidR="001F600C" w:rsidRPr="00285D58" w14:paraId="73E0B08A" w14:textId="77777777" w:rsidTr="00242093">
        <w:trPr>
          <w:trHeight w:val="170"/>
        </w:trPr>
        <w:tc>
          <w:tcPr>
            <w:tcW w:w="9587" w:type="dxa"/>
            <w:gridSpan w:val="7"/>
            <w:tcBorders>
              <w:top w:val="single" w:sz="4" w:space="0" w:color="1072BD"/>
              <w:left w:val="single" w:sz="4" w:space="0" w:color="1072BD"/>
              <w:bottom w:val="nil"/>
              <w:right w:val="single" w:sz="4" w:space="0" w:color="1072BD"/>
            </w:tcBorders>
            <w:shd w:val="clear" w:color="auto" w:fill="E7E6E6" w:themeFill="background2"/>
          </w:tcPr>
          <w:p w14:paraId="3F3874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228FC60F"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0DE197F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cuatro (4) sistemas de aparatos completos correspondientes el aforo máximo estimado. Sin embargo, debido a que existen dos niveles con alta confluencia de gente, se utilizarán bloques de baños de tres (3) aparatos en cada nivel.</w:t>
            </w:r>
          </w:p>
        </w:tc>
      </w:tr>
      <w:tr w:rsidR="001F600C" w:rsidRPr="00285D58" w14:paraId="2C60B5D4"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00ADF37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5F4435D0"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52C4AF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Se usa el índice de Restaurante – Cocina de la categoría Comercio del Cálculo de aforo de CENEPRED</w:t>
            </w:r>
          </w:p>
        </w:tc>
      </w:tr>
      <w:tr w:rsidR="001F600C" w:rsidRPr="00285D58" w14:paraId="377C487C"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56D1537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usa el índice de Comida rápida al paso – Cocina de la categoría Comercio del Cálculo de aforo de CENEPRED</w:t>
            </w:r>
          </w:p>
        </w:tc>
      </w:tr>
      <w:tr w:rsidR="001F600C" w:rsidRPr="00285D58" w14:paraId="2A8A8A0D"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35F59CB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 Se usa el índice de Restaurante – Área de Mesas de la categoría Comercio del Cálculo de aforo de CENEPRED</w:t>
            </w:r>
          </w:p>
        </w:tc>
      </w:tr>
      <w:tr w:rsidR="001F600C" w:rsidRPr="00285D58" w14:paraId="4433F5D9"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FDEDF9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 Se usa el índice de Salas de exposición de la categoría Servicios Comunales del Cálculo de aforo de CENEPRED</w:t>
            </w:r>
          </w:p>
        </w:tc>
      </w:tr>
      <w:tr w:rsidR="001F600C" w:rsidRPr="00285D58" w14:paraId="6CF9BBDB"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186B71C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 Se usa el índice de Salas de espera de la categoría Salud del Cálculo de aforo de CENEPRED</w:t>
            </w:r>
          </w:p>
        </w:tc>
      </w:tr>
      <w:tr w:rsidR="001F600C" w:rsidRPr="00285D58" w14:paraId="3BEC4B1B"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43A8C07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 Se usa el índice de Tienda independiente en 1er piso de la categoría Comercio del Cálculo de aforo de CENEPRED</w:t>
            </w:r>
          </w:p>
        </w:tc>
      </w:tr>
      <w:tr w:rsidR="001F600C" w:rsidRPr="00285D58" w14:paraId="64DF807D"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730A154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 Se ha tomado un estimado de 2.5 m2 por persona para el cálculo de aforo de las plazas exteriores al edificio.</w:t>
            </w:r>
          </w:p>
        </w:tc>
      </w:tr>
      <w:tr w:rsidR="001F600C" w:rsidRPr="00285D58" w14:paraId="5ABA4925" w14:textId="77777777" w:rsidTr="00242093">
        <w:trPr>
          <w:trHeight w:val="170"/>
        </w:trPr>
        <w:tc>
          <w:tcPr>
            <w:tcW w:w="9587" w:type="dxa"/>
            <w:gridSpan w:val="7"/>
            <w:tcBorders>
              <w:top w:val="nil"/>
              <w:left w:val="single" w:sz="4" w:space="0" w:color="1072BD"/>
              <w:bottom w:val="nil"/>
              <w:right w:val="single" w:sz="4" w:space="0" w:color="1072BD"/>
            </w:tcBorders>
            <w:shd w:val="clear" w:color="auto" w:fill="E7E6E6" w:themeFill="background2"/>
          </w:tcPr>
          <w:p w14:paraId="6D5115B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68E68711" w14:textId="77777777" w:rsidTr="00242093">
        <w:trPr>
          <w:trHeight w:val="170"/>
        </w:trPr>
        <w:tc>
          <w:tcPr>
            <w:tcW w:w="9587" w:type="dxa"/>
            <w:gridSpan w:val="7"/>
            <w:tcBorders>
              <w:top w:val="nil"/>
              <w:left w:val="single" w:sz="4" w:space="0" w:color="1072BD"/>
              <w:bottom w:val="single" w:sz="4" w:space="0" w:color="1072BD"/>
              <w:right w:val="single" w:sz="4" w:space="0" w:color="1072BD"/>
            </w:tcBorders>
          </w:tcPr>
          <w:p w14:paraId="3794F7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lastRenderedPageBreak/>
              <w:t>** Áreas de transición y circulación que se dimensionan a partir de la propuesta de arquitectura</w:t>
            </w:r>
          </w:p>
        </w:tc>
      </w:tr>
    </w:tbl>
    <w:p w14:paraId="6ED87429" w14:textId="77777777" w:rsidR="001F600C" w:rsidRPr="00285D58" w:rsidRDefault="001F600C" w:rsidP="008D1FFF">
      <w:pPr>
        <w:pBdr>
          <w:top w:val="nil"/>
          <w:left w:val="nil"/>
          <w:bottom w:val="nil"/>
          <w:right w:val="nil"/>
          <w:between w:val="nil"/>
        </w:pBdr>
        <w:spacing w:line="276" w:lineRule="auto"/>
        <w:ind w:left="170"/>
        <w:jc w:val="both"/>
        <w:rPr>
          <w:rFonts w:asciiTheme="minorHAnsi" w:eastAsia="Calibri" w:hAnsiTheme="minorHAnsi" w:cstheme="minorHAnsi"/>
          <w:color w:val="000000"/>
        </w:rPr>
      </w:pPr>
    </w:p>
    <w:p w14:paraId="00ED32B3" w14:textId="26EFC0A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N°34: Propuesta de arquitectura de la Estación Central Huanipaca</w:t>
      </w:r>
    </w:p>
    <w:p w14:paraId="26BE9C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i/>
          <w:color w:val="000000"/>
        </w:rPr>
      </w:pPr>
    </w:p>
    <w:p w14:paraId="7983B931" w14:textId="77777777" w:rsidR="001F600C" w:rsidRPr="00285D58" w:rsidRDefault="001F600C" w:rsidP="008D1FFF">
      <w:pPr>
        <w:pBdr>
          <w:top w:val="nil"/>
          <w:left w:val="nil"/>
          <w:bottom w:val="nil"/>
          <w:right w:val="nil"/>
          <w:between w:val="nil"/>
        </w:pBdr>
        <w:spacing w:after="120" w:line="276" w:lineRule="auto"/>
        <w:jc w:val="both"/>
        <w:rPr>
          <w:rFonts w:asciiTheme="minorHAnsi" w:eastAsia="Calibri" w:hAnsiTheme="minorHAnsi" w:cstheme="minorHAnsi"/>
          <w:i/>
          <w:color w:val="000000"/>
        </w:rPr>
      </w:pPr>
      <w:r w:rsidRPr="00285D58">
        <w:rPr>
          <w:rFonts w:asciiTheme="minorHAnsi" w:eastAsia="Calibri" w:hAnsiTheme="minorHAnsi" w:cstheme="minorHAnsi"/>
          <w:i/>
          <w:noProof/>
          <w:color w:val="000000"/>
          <w:lang w:val="es-PE"/>
        </w:rPr>
        <w:drawing>
          <wp:inline distT="0" distB="0" distL="0" distR="0" wp14:anchorId="2EC80D7E" wp14:editId="4BBA62B4">
            <wp:extent cx="5734050" cy="1876425"/>
            <wp:effectExtent l="0" t="0" r="0" b="0"/>
            <wp:docPr id="2133617430" name="image70.jpg" descr="../../../../Desktop/ES_%20ESTACIONES%20TELEFÉRICO/EC%20Huanipaca-5.j"/>
            <wp:cNvGraphicFramePr/>
            <a:graphic xmlns:a="http://schemas.openxmlformats.org/drawingml/2006/main">
              <a:graphicData uri="http://schemas.openxmlformats.org/drawingml/2006/picture">
                <pic:pic xmlns:pic="http://schemas.openxmlformats.org/drawingml/2006/picture">
                  <pic:nvPicPr>
                    <pic:cNvPr id="0" name="image70.jpg" descr="../../../../Desktop/ES_%20ESTACIONES%20TELEFÉRICO/EC%20Huanipaca-5.j"/>
                    <pic:cNvPicPr preferRelativeResize="0"/>
                  </pic:nvPicPr>
                  <pic:blipFill>
                    <a:blip r:embed="rId102"/>
                    <a:srcRect/>
                    <a:stretch>
                      <a:fillRect/>
                    </a:stretch>
                  </pic:blipFill>
                  <pic:spPr>
                    <a:xfrm>
                      <a:off x="0" y="0"/>
                      <a:ext cx="5734050" cy="1876425"/>
                    </a:xfrm>
                    <a:prstGeom prst="rect">
                      <a:avLst/>
                    </a:prstGeom>
                    <a:ln/>
                  </pic:spPr>
                </pic:pic>
              </a:graphicData>
            </a:graphic>
          </wp:inline>
        </w:drawing>
      </w:r>
    </w:p>
    <w:p w14:paraId="4D648FF6" w14:textId="56BE8169" w:rsidR="001F600C" w:rsidRPr="00285D58" w:rsidRDefault="001F600C" w:rsidP="008D1FFF">
      <w:pPr>
        <w:pBdr>
          <w:top w:val="nil"/>
          <w:left w:val="nil"/>
          <w:bottom w:val="nil"/>
          <w:right w:val="nil"/>
          <w:between w:val="nil"/>
        </w:pBdr>
        <w:spacing w:after="240" w:line="276" w:lineRule="auto"/>
        <w:ind w:left="709" w:firstLine="284"/>
        <w:jc w:val="center"/>
        <w:rPr>
          <w:rFonts w:asciiTheme="minorHAnsi" w:eastAsia="Calibri" w:hAnsiTheme="minorHAnsi" w:cstheme="minorHAnsi"/>
          <w:color w:val="000000"/>
        </w:rPr>
      </w:pPr>
      <w:r w:rsidRPr="00285D58">
        <w:rPr>
          <w:rFonts w:asciiTheme="minorHAnsi" w:eastAsia="Calibri" w:hAnsiTheme="minorHAnsi" w:cstheme="minorHAnsi"/>
          <w:color w:val="000000"/>
        </w:rPr>
        <w:t>Elaboración: Consorcio Choquequirao</w:t>
      </w:r>
      <w:r w:rsidR="00764D55" w:rsidRPr="00285D58">
        <w:rPr>
          <w:rFonts w:asciiTheme="minorHAnsi" w:eastAsia="Calibri" w:hAnsiTheme="minorHAnsi" w:cstheme="minorHAnsi"/>
          <w:color w:val="000000"/>
        </w:rPr>
        <w:t>.</w:t>
      </w:r>
    </w:p>
    <w:p w14:paraId="25F3BC0B"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TECNOLOGÍA</w:t>
      </w:r>
    </w:p>
    <w:p w14:paraId="1281A6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estaciones centrales se han diseñado a partir de un sistema constructivo mixto, detallado en la siguiente tabla:</w:t>
      </w:r>
    </w:p>
    <w:p w14:paraId="12CFC37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478A86E5" w14:textId="47F966AB" w:rsidR="001F600C" w:rsidRPr="00285D58" w:rsidRDefault="001F600C" w:rsidP="008D1FFF">
      <w:pPr>
        <w:pStyle w:val="Descripcin"/>
        <w:spacing w:line="276" w:lineRule="auto"/>
        <w:jc w:val="center"/>
        <w:rPr>
          <w:rFonts w:asciiTheme="minorHAnsi" w:eastAsia="Calibri" w:hAnsiTheme="minorHAnsi" w:cstheme="minorHAnsi"/>
          <w:sz w:val="32"/>
          <w:szCs w:val="32"/>
          <w:lang w:val="es-PE"/>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32</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CENTRALES</w:t>
      </w:r>
    </w:p>
    <w:tbl>
      <w:tblPr>
        <w:tblW w:w="9781" w:type="dxa"/>
        <w:tblInd w:w="-5" w:type="dxa"/>
        <w:tblLayout w:type="fixed"/>
        <w:tblLook w:val="0400" w:firstRow="0" w:lastRow="0" w:firstColumn="0" w:lastColumn="0" w:noHBand="0" w:noVBand="1"/>
      </w:tblPr>
      <w:tblGrid>
        <w:gridCol w:w="3119"/>
        <w:gridCol w:w="6662"/>
      </w:tblGrid>
      <w:tr w:rsidR="001F600C" w:rsidRPr="00285D58" w14:paraId="6507A7CD" w14:textId="77777777" w:rsidTr="00242093">
        <w:trPr>
          <w:trHeight w:val="268"/>
        </w:trPr>
        <w:tc>
          <w:tcPr>
            <w:tcW w:w="9781"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2865D0C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Centrales – Tecnología</w:t>
            </w:r>
          </w:p>
        </w:tc>
      </w:tr>
      <w:tr w:rsidR="001F600C" w:rsidRPr="00285D58" w14:paraId="21B02BCB" w14:textId="77777777" w:rsidTr="00242093">
        <w:trPr>
          <w:trHeight w:val="288"/>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71BD5C2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6662" w:type="dxa"/>
            <w:tcBorders>
              <w:top w:val="nil"/>
              <w:left w:val="nil"/>
              <w:bottom w:val="single" w:sz="4" w:space="0" w:color="1072BD"/>
              <w:right w:val="single" w:sz="4" w:space="0" w:color="1072BD"/>
            </w:tcBorders>
            <w:shd w:val="clear" w:color="auto" w:fill="E7E6E6" w:themeFill="background2"/>
          </w:tcPr>
          <w:p w14:paraId="0886427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Tipo</w:t>
            </w:r>
          </w:p>
        </w:tc>
      </w:tr>
      <w:tr w:rsidR="001F600C" w:rsidRPr="00285D58" w14:paraId="2A20C601"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7E8CC17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6662" w:type="dxa"/>
            <w:tcBorders>
              <w:top w:val="nil"/>
              <w:left w:val="nil"/>
              <w:bottom w:val="single" w:sz="4" w:space="0" w:color="1072BD"/>
              <w:right w:val="single" w:sz="4" w:space="0" w:color="1072BD"/>
            </w:tcBorders>
          </w:tcPr>
          <w:p w14:paraId="78E5FCD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3FD7E2D8"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4658D36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6662" w:type="dxa"/>
            <w:tcBorders>
              <w:top w:val="nil"/>
              <w:left w:val="nil"/>
              <w:bottom w:val="single" w:sz="4" w:space="0" w:color="1072BD"/>
              <w:right w:val="single" w:sz="4" w:space="0" w:color="1072BD"/>
            </w:tcBorders>
          </w:tcPr>
          <w:p w14:paraId="58B200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28F51AA4"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8265A0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6662" w:type="dxa"/>
            <w:tcBorders>
              <w:top w:val="nil"/>
              <w:left w:val="nil"/>
              <w:bottom w:val="single" w:sz="4" w:space="0" w:color="1072BD"/>
              <w:right w:val="single" w:sz="4" w:space="0" w:color="1072BD"/>
            </w:tcBorders>
          </w:tcPr>
          <w:p w14:paraId="5258850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3F1F1781"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E0BD4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6662" w:type="dxa"/>
            <w:tcBorders>
              <w:top w:val="nil"/>
              <w:left w:val="nil"/>
              <w:bottom w:val="single" w:sz="4" w:space="0" w:color="1072BD"/>
              <w:right w:val="single" w:sz="4" w:space="0" w:color="1072BD"/>
            </w:tcBorders>
          </w:tcPr>
          <w:p w14:paraId="06D1F1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2F6EA549"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26D591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6662" w:type="dxa"/>
            <w:tcBorders>
              <w:top w:val="nil"/>
              <w:left w:val="nil"/>
              <w:bottom w:val="single" w:sz="4" w:space="0" w:color="1072BD"/>
              <w:right w:val="single" w:sz="4" w:space="0" w:color="1072BD"/>
            </w:tcBorders>
          </w:tcPr>
          <w:p w14:paraId="6A49E1F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420F1D73"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42C7B2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6662" w:type="dxa"/>
            <w:tcBorders>
              <w:top w:val="nil"/>
              <w:left w:val="nil"/>
              <w:bottom w:val="single" w:sz="4" w:space="0" w:color="1072BD"/>
              <w:right w:val="single" w:sz="4" w:space="0" w:color="1072BD"/>
            </w:tcBorders>
          </w:tcPr>
          <w:p w14:paraId="020CD9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151A8EE4" w14:textId="77777777" w:rsidTr="00242093">
        <w:trPr>
          <w:trHeight w:val="268"/>
        </w:trPr>
        <w:tc>
          <w:tcPr>
            <w:tcW w:w="3119" w:type="dxa"/>
            <w:tcBorders>
              <w:top w:val="nil"/>
              <w:left w:val="single" w:sz="4" w:space="0" w:color="1072BD"/>
              <w:bottom w:val="single" w:sz="4" w:space="0" w:color="1072BD"/>
              <w:right w:val="single" w:sz="4" w:space="0" w:color="1072BD"/>
            </w:tcBorders>
          </w:tcPr>
          <w:p w14:paraId="58E98BA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6662" w:type="dxa"/>
            <w:tcBorders>
              <w:top w:val="nil"/>
              <w:left w:val="nil"/>
              <w:bottom w:val="single" w:sz="4" w:space="0" w:color="1072BD"/>
              <w:right w:val="single" w:sz="4" w:space="0" w:color="1072BD"/>
            </w:tcBorders>
          </w:tcPr>
          <w:p w14:paraId="129FBC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Contención de taludes con Geo celdas </w:t>
            </w:r>
          </w:p>
        </w:tc>
      </w:tr>
    </w:tbl>
    <w:p w14:paraId="36E87DD2" w14:textId="143E5C9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102FB596" w14:textId="77777777" w:rsidR="001F600C" w:rsidRPr="00285D58" w:rsidRDefault="001F600C" w:rsidP="008D1FFF">
      <w:pPr>
        <w:spacing w:line="276" w:lineRule="auto"/>
        <w:jc w:val="both"/>
        <w:rPr>
          <w:rFonts w:asciiTheme="minorHAnsi" w:eastAsia="Calibri" w:hAnsiTheme="minorHAnsi" w:cstheme="minorHAnsi"/>
        </w:rPr>
      </w:pPr>
    </w:p>
    <w:p w14:paraId="1155FC3C"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N°35: Vista 3D de espacio de espera en la Estación Central Yanama.</w:t>
      </w:r>
    </w:p>
    <w:p w14:paraId="2ABA3AE0" w14:textId="77777777" w:rsidR="001F600C" w:rsidRPr="00285D58" w:rsidRDefault="001F600C" w:rsidP="008D1FFF">
      <w:pPr>
        <w:spacing w:line="276" w:lineRule="auto"/>
        <w:ind w:firstLine="567"/>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48697B9E" wp14:editId="11B82947">
            <wp:extent cx="5286375" cy="2495550"/>
            <wp:effectExtent l="0" t="0" r="0" b="0"/>
            <wp:docPr id="213361743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03"/>
                    <a:srcRect/>
                    <a:stretch>
                      <a:fillRect/>
                    </a:stretch>
                  </pic:blipFill>
                  <pic:spPr>
                    <a:xfrm>
                      <a:off x="0" y="0"/>
                      <a:ext cx="5286375" cy="2495550"/>
                    </a:xfrm>
                    <a:prstGeom prst="rect">
                      <a:avLst/>
                    </a:prstGeom>
                    <a:ln/>
                  </pic:spPr>
                </pic:pic>
              </a:graphicData>
            </a:graphic>
          </wp:inline>
        </w:drawing>
      </w:r>
    </w:p>
    <w:p w14:paraId="45717C3D" w14:textId="77777777" w:rsidR="001F600C" w:rsidRPr="00285D58" w:rsidRDefault="001F600C" w:rsidP="008D1FFF">
      <w:pPr>
        <w:widowControl/>
        <w:spacing w:after="160" w:line="276" w:lineRule="auto"/>
        <w:jc w:val="center"/>
        <w:rPr>
          <w:rFonts w:asciiTheme="minorHAnsi" w:eastAsia="Calibri" w:hAnsiTheme="minorHAnsi" w:cstheme="minorHAnsi"/>
        </w:rPr>
      </w:pPr>
      <w:r w:rsidRPr="00285D58">
        <w:rPr>
          <w:rFonts w:asciiTheme="minorHAnsi" w:eastAsia="Calibri" w:hAnsiTheme="minorHAnsi" w:cstheme="minorHAnsi"/>
        </w:rPr>
        <w:br w:type="page"/>
      </w:r>
    </w:p>
    <w:p w14:paraId="2DB81A56" w14:textId="77777777" w:rsidR="001F600C" w:rsidRPr="00285D58" w:rsidRDefault="001F600C" w:rsidP="008D1FFF">
      <w:pPr>
        <w:spacing w:line="276" w:lineRule="auto"/>
        <w:rPr>
          <w:rFonts w:asciiTheme="minorHAnsi" w:hAnsiTheme="minorHAnsi" w:cstheme="minorHAnsi"/>
          <w:b/>
          <w:bCs/>
          <w:color w:val="1F3864" w:themeColor="accent1" w:themeShade="80"/>
        </w:rPr>
      </w:pPr>
      <w:r w:rsidRPr="00285D58">
        <w:rPr>
          <w:rFonts w:asciiTheme="minorHAnsi" w:hAnsiTheme="minorHAnsi" w:cstheme="minorHAnsi"/>
          <w:b/>
          <w:bCs/>
          <w:color w:val="1F3864" w:themeColor="accent1" w:themeShade="80"/>
        </w:rPr>
        <w:lastRenderedPageBreak/>
        <w:t>SECCIÓN 4: PARA LAS ESTACIONES DE TRANSPORTE POR CABLE</w:t>
      </w:r>
    </w:p>
    <w:p w14:paraId="60E648CF" w14:textId="77777777" w:rsidR="00A24E4B" w:rsidRPr="00285D58" w:rsidRDefault="00A24E4B" w:rsidP="008D1FFF">
      <w:pPr>
        <w:spacing w:line="276" w:lineRule="auto"/>
        <w:rPr>
          <w:rFonts w:asciiTheme="minorHAnsi" w:hAnsiTheme="minorHAnsi" w:cstheme="minorHAnsi"/>
          <w:b/>
          <w:bCs/>
        </w:rPr>
      </w:pPr>
    </w:p>
    <w:p w14:paraId="0AD7177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del Transporte por Cable son aquellas instalaciones donde se realizará el embarque y desembarque de pasajeros que harán uso de los teleféricos. El tamaño de las estaciones de salida y llegada está definido por la tecnología de transporte (teleféricos)</w:t>
      </w:r>
      <w:r w:rsidRPr="00285D58">
        <w:rPr>
          <w:rFonts w:asciiTheme="minorHAnsi" w:eastAsia="Calibri" w:hAnsiTheme="minorHAnsi" w:cstheme="minorHAnsi"/>
          <w:vertAlign w:val="superscript"/>
        </w:rPr>
        <w:footnoteReference w:id="5"/>
      </w:r>
      <w:r w:rsidRPr="00285D58">
        <w:rPr>
          <w:rFonts w:asciiTheme="minorHAnsi" w:eastAsia="Calibri" w:hAnsiTheme="minorHAnsi" w:cstheme="minorHAnsi"/>
        </w:rPr>
        <w:t xml:space="preserve"> y la capacidad de las cabinas (100 pasajeros)</w:t>
      </w:r>
      <w:r w:rsidRPr="00285D58">
        <w:rPr>
          <w:rFonts w:asciiTheme="minorHAnsi" w:eastAsia="Calibri" w:hAnsiTheme="minorHAnsi" w:cstheme="minorHAnsi"/>
          <w:vertAlign w:val="superscript"/>
        </w:rPr>
        <w:footnoteReference w:id="6"/>
      </w:r>
      <w:r w:rsidRPr="00285D58">
        <w:rPr>
          <w:rFonts w:asciiTheme="minorHAnsi" w:eastAsia="Calibri" w:hAnsiTheme="minorHAnsi" w:cstheme="minorHAnsi"/>
        </w:rPr>
        <w:t xml:space="preserve">. Por ello se requiere un área suficiente para el embarque y desembarque adecuado en las estaciones. </w:t>
      </w:r>
    </w:p>
    <w:p w14:paraId="78AC9309" w14:textId="77777777" w:rsidR="001F600C" w:rsidRPr="00285D58" w:rsidRDefault="001F600C" w:rsidP="008D1FFF">
      <w:pPr>
        <w:spacing w:line="276" w:lineRule="auto"/>
        <w:ind w:firstLine="566"/>
        <w:jc w:val="both"/>
        <w:rPr>
          <w:rFonts w:asciiTheme="minorHAnsi" w:eastAsia="Calibri" w:hAnsiTheme="minorHAnsi" w:cstheme="minorHAnsi"/>
        </w:rPr>
      </w:pPr>
    </w:p>
    <w:p w14:paraId="0F91B9CE" w14:textId="77777777" w:rsidR="001F600C" w:rsidRPr="00285D58" w:rsidRDefault="001F600C" w:rsidP="00A3732C">
      <w:pPr>
        <w:pStyle w:val="Prrafodelista"/>
        <w:keepNext/>
        <w:keepLines/>
        <w:widowControl/>
        <w:numPr>
          <w:ilvl w:val="0"/>
          <w:numId w:val="228"/>
        </w:numPr>
        <w:spacing w:after="120" w:line="276" w:lineRule="auto"/>
        <w:contextualSpacing w:val="0"/>
        <w:jc w:val="both"/>
        <w:outlineLvl w:val="0"/>
        <w:rPr>
          <w:rFonts w:asciiTheme="minorHAnsi" w:eastAsia="Times New Roman" w:hAnsiTheme="minorHAnsi" w:cstheme="minorHAnsi"/>
          <w:b/>
          <w:vanish/>
          <w:color w:val="000000"/>
          <w:sz w:val="24"/>
          <w:szCs w:val="24"/>
          <w:lang w:val="es-PE" w:eastAsia="en-US"/>
        </w:rPr>
      </w:pPr>
      <w:bookmarkStart w:id="115" w:name="_Toc180162478"/>
      <w:bookmarkStart w:id="116" w:name="_Toc180162540"/>
      <w:bookmarkStart w:id="117" w:name="_Toc180162652"/>
      <w:bookmarkStart w:id="118" w:name="_Toc182581472"/>
      <w:bookmarkStart w:id="119" w:name="_Toc182582255"/>
      <w:bookmarkStart w:id="120" w:name="_Toc188634222"/>
      <w:bookmarkStart w:id="121" w:name="_Toc188634601"/>
      <w:bookmarkStart w:id="122" w:name="_Toc188634658"/>
      <w:bookmarkStart w:id="123" w:name="_Toc188634716"/>
      <w:bookmarkStart w:id="124" w:name="_Toc188634772"/>
      <w:bookmarkStart w:id="125" w:name="_Toc188984863"/>
      <w:bookmarkStart w:id="126" w:name="_Toc188986644"/>
      <w:bookmarkStart w:id="127" w:name="_Toc188987051"/>
      <w:bookmarkStart w:id="128" w:name="_Toc188987154"/>
      <w:bookmarkStart w:id="129" w:name="_Toc190193974"/>
      <w:bookmarkStart w:id="130" w:name="_Toc190194021"/>
      <w:bookmarkStart w:id="131" w:name="_Toc193979277"/>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491DF49" w14:textId="390E592B"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MARCO NORMATIVO APLICABLE</w:t>
      </w:r>
    </w:p>
    <w:p w14:paraId="4B2FF05A"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A.010 DEL RNE Condiciones Generales de Diseño, que establece los criterios y requisitos mínimos que deberán cumplir las edificaciones en general, para garantizar la seguridad, funcionalidad, habitabilidad y adecuación al entorno y protección del medio ambiente.</w:t>
      </w:r>
    </w:p>
    <w:p w14:paraId="092477B4"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A.070 DEL RNE Comercio, que define y regula las características y requisitos que deben reunir las edificaciones destinadas a desarrollar actividades cuya finalidad es la comercialización de bienes y servicios, con el fin de asegurar su seguridad, atender sus necesidades de servicios y facilita su desarrollo.</w:t>
      </w:r>
    </w:p>
    <w:p w14:paraId="5710E10C"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A.080 DEL RNE Oficinas, que define y regula las características y requisitos que deben reunir las edificaciones destinadas a la prestación de servicios administrativos, técnicos, financieros, de gestión, de asesoramiento y afines de carácter público o privado.</w:t>
      </w:r>
    </w:p>
    <w:p w14:paraId="3D966D17" w14:textId="77777777" w:rsidR="001F600C" w:rsidRPr="00285D58" w:rsidRDefault="001F600C" w:rsidP="00A3732C">
      <w:pPr>
        <w:pStyle w:val="Prrafodelista"/>
        <w:numPr>
          <w:ilvl w:val="1"/>
          <w:numId w:val="228"/>
        </w:numPr>
        <w:spacing w:line="276" w:lineRule="auto"/>
        <w:rPr>
          <w:rFonts w:asciiTheme="minorHAnsi" w:eastAsia="Calibri" w:hAnsiTheme="minorHAnsi" w:cstheme="minorHAnsi"/>
          <w:color w:val="000000"/>
        </w:rPr>
      </w:pPr>
      <w:r w:rsidRPr="00285D58">
        <w:rPr>
          <w:rFonts w:asciiTheme="minorHAnsi" w:eastAsia="Calibri" w:hAnsiTheme="minorHAnsi" w:cstheme="minorHAnsi"/>
          <w:color w:val="000000"/>
        </w:rPr>
        <w:t xml:space="preserve"> A.120 Accesibilidad para personas con discapacidad, que define y regula las características y requisitos que deben tener las edificaciones en general para permitir que las personas con discapacidad puedan usar sus servicios.</w:t>
      </w:r>
    </w:p>
    <w:p w14:paraId="4EE3DC21"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A.130 Requisitos de Seguridad, que define, de acuerdo con su uso y número de ocupantes, los requisitos de seguridad y prevención de siniestros que tienen por objetivo salvaguardar las vidas humanas y preservar el patrimonio y la continuidad de la edificación.</w:t>
      </w:r>
    </w:p>
    <w:p w14:paraId="1680B07D" w14:textId="77777777" w:rsidR="001F600C" w:rsidRPr="00285D58" w:rsidRDefault="001F600C" w:rsidP="008D1FFF">
      <w:pPr>
        <w:widowControl/>
        <w:numPr>
          <w:ilvl w:val="0"/>
          <w:numId w:val="3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según corresponda.</w:t>
      </w:r>
    </w:p>
    <w:p w14:paraId="61FF5E5C" w14:textId="77777777" w:rsidR="001F600C" w:rsidRPr="00285D58" w:rsidRDefault="001F600C" w:rsidP="008D1FFF">
      <w:pPr>
        <w:widowControl/>
        <w:spacing w:line="276" w:lineRule="auto"/>
        <w:ind w:left="1134" w:hanging="360"/>
        <w:jc w:val="both"/>
        <w:rPr>
          <w:rFonts w:asciiTheme="minorHAnsi" w:eastAsia="Calibri" w:hAnsiTheme="minorHAnsi" w:cstheme="minorHAnsi"/>
        </w:rPr>
      </w:pPr>
    </w:p>
    <w:p w14:paraId="1CD3DD0B" w14:textId="77777777" w:rsidR="001F600C" w:rsidRPr="00285D58" w:rsidRDefault="001F600C" w:rsidP="008D1FFF">
      <w:pPr>
        <w:widowControl/>
        <w:spacing w:line="276" w:lineRule="auto"/>
        <w:ind w:left="1134" w:hanging="360"/>
        <w:jc w:val="both"/>
        <w:rPr>
          <w:rFonts w:asciiTheme="minorHAnsi" w:eastAsia="Calibri" w:hAnsiTheme="minorHAnsi" w:cstheme="minorHAnsi"/>
        </w:rPr>
      </w:pPr>
    </w:p>
    <w:p w14:paraId="06D3BEE0" w14:textId="77777777"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PLANTEAMIENTO TÉCNICO</w:t>
      </w:r>
    </w:p>
    <w:p w14:paraId="044E3C9E"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ESTACIONES DE SALIDA</w:t>
      </w:r>
    </w:p>
    <w:p w14:paraId="48783770"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46F3ACD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de Salida define el inicio de la ruta de teleférico y recibe a los visitantes que llegan desde estación Central a través de los buses lanzadera. A diferencia de las estaciones Centrales, la estación de salida no contará con servicios complementarios ya que servirá sólo para el abordaje de las cabinas. Ésta contendrá todos los componentes mecánicos para el óptimo funcionamiento del sistema de transporte por cable. La ubicación se planteará según los estudios de ingeniería mecánica que sustentarán la efectividad del trazado del sistema. Las estaciones de salida se encontrarán en </w:t>
      </w:r>
      <w:r w:rsidRPr="00285D58">
        <w:rPr>
          <w:rFonts w:asciiTheme="minorHAnsi" w:eastAsia="Calibri" w:hAnsiTheme="minorHAnsi" w:cstheme="minorHAnsi"/>
        </w:rPr>
        <w:lastRenderedPageBreak/>
        <w:t>los siguientes puntos según la alternativa propuesta, Abra San Juan (Ruta norte) y Kiuñalla (Ruta sur).</w:t>
      </w:r>
    </w:p>
    <w:p w14:paraId="0D397B56" w14:textId="77777777" w:rsidR="001F600C" w:rsidRPr="00285D58" w:rsidRDefault="001F600C" w:rsidP="008D1FFF">
      <w:pPr>
        <w:spacing w:line="276" w:lineRule="auto"/>
        <w:jc w:val="both"/>
        <w:rPr>
          <w:rFonts w:asciiTheme="minorHAnsi" w:eastAsia="Calibri" w:hAnsiTheme="minorHAnsi" w:cstheme="minorHAnsi"/>
        </w:rPr>
      </w:pPr>
    </w:p>
    <w:p w14:paraId="713D489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para los visitantes son protegidos con cubiertas, alineadas a cada una de las líneas de cable. Debido a la distancia entre ambas plataformas de embarque y desembarque, las coberturas se separan para fragmentar las superficies y disminuir la escala de la intervención en lo posible. La parte posterior de la estación requiere una plaza de llegada y vía vehicular de acceso para la circulación de los buses lanzadera. De esta manera la estación de salida se compone en un edificio casi simétrico, que responde a las líneas de teleférico y al flujo de los usuarios</w:t>
      </w:r>
    </w:p>
    <w:p w14:paraId="5715B09A" w14:textId="77777777" w:rsidR="001F600C" w:rsidRPr="00285D58" w:rsidRDefault="001F600C" w:rsidP="008D1FFF">
      <w:pPr>
        <w:spacing w:line="276" w:lineRule="auto"/>
        <w:jc w:val="both"/>
        <w:rPr>
          <w:rFonts w:asciiTheme="minorHAnsi" w:eastAsia="Calibri" w:hAnsiTheme="minorHAnsi" w:cstheme="minorHAnsi"/>
        </w:rPr>
      </w:pPr>
    </w:p>
    <w:p w14:paraId="7624DA2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Localización</w:t>
      </w:r>
    </w:p>
    <w:p w14:paraId="7ED33FE5" w14:textId="77777777" w:rsidR="001F600C" w:rsidRPr="00285D58" w:rsidRDefault="001F600C" w:rsidP="008D1FFF">
      <w:pPr>
        <w:spacing w:line="276" w:lineRule="auto"/>
        <w:jc w:val="both"/>
        <w:rPr>
          <w:rFonts w:asciiTheme="minorHAnsi" w:eastAsia="Calibri" w:hAnsiTheme="minorHAnsi" w:cstheme="minorHAnsi"/>
        </w:rPr>
      </w:pPr>
    </w:p>
    <w:p w14:paraId="09473A1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 igual que el resto de las instalaciones turísticas propuestas, el emplazamiento no sólo se ha definido mediante el estudio técnico, sino con la validación de los polígonos de emplazamiento por parte de la Dirección Desconcentrada de Cultura Cusco (DDC). Esta decisión parte de la evaluación de alternativas técnicas donde se determinó la ubicación de la estación de salida Abra San Juan (Ruta norte) y Huanipaca (Ruta sur).</w:t>
      </w:r>
    </w:p>
    <w:p w14:paraId="0C8C4E9D" w14:textId="77777777" w:rsidR="001F600C" w:rsidRPr="00285D58" w:rsidRDefault="001F600C" w:rsidP="008D1FFF">
      <w:pPr>
        <w:spacing w:line="276" w:lineRule="auto"/>
        <w:jc w:val="both"/>
        <w:rPr>
          <w:rFonts w:asciiTheme="minorHAnsi" w:eastAsia="Calibri" w:hAnsiTheme="minorHAnsi" w:cstheme="minorHAnsi"/>
        </w:rPr>
      </w:pPr>
    </w:p>
    <w:p w14:paraId="7DB090B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salida se emplazan en terrenos que no presenten compromiso arqueológico evidente (superficialmente), especialmente porque la tecnología de teleférico requiere implementar un espacio soterrado para la maquinaria que esté correctamente anclada al suelo.</w:t>
      </w:r>
    </w:p>
    <w:p w14:paraId="79AD62D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DIMENSIONAMIENTO</w:t>
      </w:r>
    </w:p>
    <w:p w14:paraId="0BB6F87B" w14:textId="77777777" w:rsidR="001F600C" w:rsidRPr="00285D58" w:rsidRDefault="001F600C" w:rsidP="008D1FFF">
      <w:pPr>
        <w:spacing w:line="276" w:lineRule="auto"/>
        <w:jc w:val="both"/>
        <w:rPr>
          <w:rFonts w:asciiTheme="minorHAnsi" w:eastAsia="Calibri" w:hAnsiTheme="minorHAnsi" w:cstheme="minorHAnsi"/>
        </w:rPr>
      </w:pPr>
    </w:p>
    <w:p w14:paraId="056736B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salida contienen espacios tanto para los usuarios como para la maquinaria. El segundo aspecto es el que determina la magnitud de la edificación debido a sus dimensiones. La mayor parte de la maquinaria se encuentra en un espacio soterrado diseñado especialmente para su funcionamiento.</w:t>
      </w:r>
    </w:p>
    <w:p w14:paraId="63AACE83" w14:textId="77777777" w:rsidR="001F600C" w:rsidRPr="00285D58" w:rsidRDefault="001F600C" w:rsidP="008D1FFF">
      <w:pPr>
        <w:spacing w:line="276" w:lineRule="auto"/>
        <w:jc w:val="both"/>
        <w:rPr>
          <w:rFonts w:asciiTheme="minorHAnsi" w:eastAsia="Calibri" w:hAnsiTheme="minorHAnsi" w:cstheme="minorHAnsi"/>
        </w:rPr>
      </w:pPr>
    </w:p>
    <w:p w14:paraId="2AC1751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destinados para el uso de los usuarios comprenden las bahías de estacionamiento de buses, la plaza de llegada, las zonas de espera, las plataformas de embarque y plataformas de desembarque. Los buses considerados para el diseño del sistema de lanzadera tienen una capacidad máxima de 25 a 31 pasajeros.</w:t>
      </w:r>
    </w:p>
    <w:p w14:paraId="5AB5FD13" w14:textId="77777777" w:rsidR="001F600C" w:rsidRPr="00285D58" w:rsidRDefault="001F600C" w:rsidP="008D1FFF">
      <w:pPr>
        <w:spacing w:line="276" w:lineRule="auto"/>
        <w:jc w:val="both"/>
        <w:rPr>
          <w:rFonts w:asciiTheme="minorHAnsi" w:eastAsia="Calibri" w:hAnsiTheme="minorHAnsi" w:cstheme="minorHAnsi"/>
        </w:rPr>
      </w:pPr>
    </w:p>
    <w:p w14:paraId="12BA963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1B20E345" w14:textId="77777777" w:rsidR="001F600C" w:rsidRPr="00285D58" w:rsidRDefault="001F600C" w:rsidP="008D1FFF">
      <w:pPr>
        <w:spacing w:line="276" w:lineRule="auto"/>
        <w:jc w:val="both"/>
        <w:rPr>
          <w:rFonts w:asciiTheme="minorHAnsi" w:eastAsia="Calibri" w:hAnsiTheme="minorHAnsi" w:cstheme="minorHAnsi"/>
        </w:rPr>
      </w:pPr>
    </w:p>
    <w:p w14:paraId="57BB7F2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dimensionamiento de las Estaciones de Salida se ha realizado considerando el aforo estimado proveniente del embarque y desembarque de las cabinas, las cuales tienen capacidad para 100 personas. Además del personal técnico que operara durante todo momento en las estaciones, por lo que, el aforo de las áreas interiores de ambas estaciones es de 208 personas. Adicionalmente, se proponen áreas exteriores que varían según el entorno y la topografía donde se emplaza cada </w:t>
      </w:r>
      <w:r w:rsidRPr="00285D58">
        <w:rPr>
          <w:rFonts w:asciiTheme="minorHAnsi" w:eastAsia="Calibri" w:hAnsiTheme="minorHAnsi" w:cstheme="minorHAnsi"/>
        </w:rPr>
        <w:lastRenderedPageBreak/>
        <w:t>estación. Finalmente, el aforo calculado para la Estación de Salida Abra San Juan es de 510 turistas y para la Estación de Salida Kiuñalla de 532 personas.</w:t>
      </w:r>
    </w:p>
    <w:p w14:paraId="4F09874E" w14:textId="77777777" w:rsidR="001F600C" w:rsidRPr="00285D58" w:rsidRDefault="001F600C" w:rsidP="008D1FFF">
      <w:pPr>
        <w:spacing w:line="276" w:lineRule="auto"/>
        <w:jc w:val="both"/>
        <w:rPr>
          <w:rFonts w:asciiTheme="minorHAnsi" w:eastAsia="Calibri" w:hAnsiTheme="minorHAnsi" w:cstheme="minorHAnsi"/>
        </w:rPr>
      </w:pPr>
    </w:p>
    <w:p w14:paraId="3B98A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Por lo tanto, las Estaciones de Salida de Abra San Juan y de Kiuñalla cuentan con distintas áreas según el aforo requerido y el diseño específico del sistema de transporte por cable para cada línea. </w:t>
      </w:r>
    </w:p>
    <w:p w14:paraId="6A1254D3" w14:textId="77777777" w:rsidR="001F600C" w:rsidRPr="00285D58" w:rsidRDefault="001F600C" w:rsidP="008D1FFF">
      <w:pPr>
        <w:spacing w:line="276" w:lineRule="auto"/>
        <w:jc w:val="both"/>
        <w:rPr>
          <w:rFonts w:asciiTheme="minorHAnsi" w:eastAsia="Calibri" w:hAnsiTheme="minorHAnsi" w:cstheme="minorHAnsi"/>
        </w:rPr>
      </w:pPr>
    </w:p>
    <w:p w14:paraId="5C4D125E" w14:textId="356E61F3"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33</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DE SALIDA SAN JUAN</w:t>
      </w:r>
    </w:p>
    <w:tbl>
      <w:tblPr>
        <w:tblW w:w="9033" w:type="dxa"/>
        <w:tblLayout w:type="fixed"/>
        <w:tblLook w:val="0400" w:firstRow="0" w:lastRow="0" w:firstColumn="0" w:lastColumn="0" w:noHBand="0" w:noVBand="1"/>
      </w:tblPr>
      <w:tblGrid>
        <w:gridCol w:w="1171"/>
        <w:gridCol w:w="667"/>
        <w:gridCol w:w="1780"/>
        <w:gridCol w:w="903"/>
        <w:gridCol w:w="945"/>
        <w:gridCol w:w="2124"/>
        <w:gridCol w:w="1443"/>
      </w:tblGrid>
      <w:tr w:rsidR="001F600C" w:rsidRPr="00285D58" w14:paraId="450299E1" w14:textId="77777777" w:rsidTr="00242093">
        <w:trPr>
          <w:trHeight w:val="399"/>
        </w:trPr>
        <w:tc>
          <w:tcPr>
            <w:tcW w:w="9033"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13C699A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ES01 – ESTACIÓN DE SALIDA ABRA SAN JUAN</w:t>
            </w:r>
          </w:p>
        </w:tc>
      </w:tr>
      <w:tr w:rsidR="001F600C" w:rsidRPr="00285D58" w14:paraId="223FA905" w14:textId="77777777" w:rsidTr="00242093">
        <w:trPr>
          <w:trHeight w:val="399"/>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0FD6154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7" w:type="dxa"/>
            <w:tcBorders>
              <w:top w:val="nil"/>
              <w:left w:val="nil"/>
              <w:bottom w:val="single" w:sz="4" w:space="0" w:color="1072BD"/>
              <w:right w:val="single" w:sz="4" w:space="0" w:color="1072BD"/>
            </w:tcBorders>
            <w:shd w:val="clear" w:color="auto" w:fill="E7E6E6" w:themeFill="background2"/>
          </w:tcPr>
          <w:p w14:paraId="22FACB5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1780" w:type="dxa"/>
            <w:tcBorders>
              <w:top w:val="nil"/>
              <w:left w:val="nil"/>
              <w:bottom w:val="single" w:sz="4" w:space="0" w:color="1072BD"/>
              <w:right w:val="single" w:sz="4" w:space="0" w:color="1072BD"/>
            </w:tcBorders>
            <w:shd w:val="clear" w:color="auto" w:fill="E7E6E6" w:themeFill="background2"/>
          </w:tcPr>
          <w:p w14:paraId="0A568E56" w14:textId="77777777" w:rsidR="001F600C" w:rsidRPr="00285D58" w:rsidRDefault="001F600C" w:rsidP="008D1FFF">
            <w:pPr>
              <w:spacing w:line="276" w:lineRule="auto"/>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903" w:type="dxa"/>
            <w:tcBorders>
              <w:top w:val="nil"/>
              <w:left w:val="nil"/>
              <w:bottom w:val="single" w:sz="4" w:space="0" w:color="1072BD"/>
              <w:right w:val="single" w:sz="4" w:space="0" w:color="1072BD"/>
            </w:tcBorders>
            <w:shd w:val="clear" w:color="auto" w:fill="E7E6E6" w:themeFill="background2"/>
          </w:tcPr>
          <w:p w14:paraId="359F3DA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3069" w:type="dxa"/>
            <w:gridSpan w:val="2"/>
            <w:tcBorders>
              <w:top w:val="single" w:sz="4" w:space="0" w:color="1072BD"/>
              <w:left w:val="nil"/>
              <w:bottom w:val="single" w:sz="4" w:space="0" w:color="1072BD"/>
              <w:right w:val="single" w:sz="4" w:space="0" w:color="1072BD"/>
            </w:tcBorders>
            <w:shd w:val="clear" w:color="auto" w:fill="E7E6E6" w:themeFill="background2"/>
          </w:tcPr>
          <w:p w14:paraId="390D034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443" w:type="dxa"/>
            <w:tcBorders>
              <w:top w:val="nil"/>
              <w:left w:val="nil"/>
              <w:bottom w:val="single" w:sz="4" w:space="0" w:color="1072BD"/>
              <w:right w:val="single" w:sz="4" w:space="0" w:color="1072BD"/>
            </w:tcBorders>
            <w:shd w:val="clear" w:color="auto" w:fill="E7E6E6" w:themeFill="background2"/>
          </w:tcPr>
          <w:p w14:paraId="4343FCA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639D5800" w14:textId="77777777" w:rsidTr="00242093">
        <w:trPr>
          <w:trHeight w:val="240"/>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7F43FA4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447" w:type="dxa"/>
            <w:gridSpan w:val="2"/>
            <w:tcBorders>
              <w:top w:val="single" w:sz="4" w:space="0" w:color="1072BD"/>
              <w:left w:val="nil"/>
              <w:bottom w:val="single" w:sz="4" w:space="0" w:color="1072BD"/>
              <w:right w:val="single" w:sz="4" w:space="0" w:color="1072BD"/>
            </w:tcBorders>
            <w:shd w:val="clear" w:color="auto" w:fill="E7E6E6" w:themeFill="background2"/>
          </w:tcPr>
          <w:p w14:paraId="6DE68C3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single" w:sz="4" w:space="0" w:color="1072BD"/>
              <w:right w:val="single" w:sz="4" w:space="0" w:color="1072BD"/>
            </w:tcBorders>
            <w:shd w:val="clear" w:color="auto" w:fill="E7E6E6" w:themeFill="background2"/>
          </w:tcPr>
          <w:p w14:paraId="409D89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208</w:t>
            </w:r>
          </w:p>
        </w:tc>
        <w:tc>
          <w:tcPr>
            <w:tcW w:w="3069" w:type="dxa"/>
            <w:gridSpan w:val="2"/>
            <w:tcBorders>
              <w:top w:val="single" w:sz="4" w:space="0" w:color="1072BD"/>
              <w:left w:val="nil"/>
              <w:bottom w:val="single" w:sz="4" w:space="0" w:color="1072BD"/>
              <w:right w:val="single" w:sz="4" w:space="0" w:color="1072BD"/>
            </w:tcBorders>
            <w:shd w:val="clear" w:color="auto" w:fill="E7E6E6" w:themeFill="background2"/>
          </w:tcPr>
          <w:p w14:paraId="76A24931" w14:textId="77777777" w:rsidR="001F600C" w:rsidRPr="00285D58" w:rsidRDefault="001F600C" w:rsidP="008D1FFF">
            <w:pPr>
              <w:spacing w:line="276" w:lineRule="auto"/>
              <w:jc w:val="both"/>
              <w:rPr>
                <w:rFonts w:asciiTheme="minorHAnsi" w:eastAsia="Calibri" w:hAnsiTheme="minorHAnsi" w:cstheme="minorHAnsi"/>
                <w:b/>
                <w:bCs/>
                <w:sz w:val="18"/>
                <w:szCs w:val="18"/>
              </w:rPr>
            </w:pPr>
          </w:p>
        </w:tc>
        <w:tc>
          <w:tcPr>
            <w:tcW w:w="1443" w:type="dxa"/>
            <w:tcBorders>
              <w:top w:val="nil"/>
              <w:left w:val="nil"/>
              <w:bottom w:val="single" w:sz="4" w:space="0" w:color="1072BD"/>
              <w:right w:val="single" w:sz="4" w:space="0" w:color="1072BD"/>
            </w:tcBorders>
            <w:shd w:val="clear" w:color="auto" w:fill="E7E6E6" w:themeFill="background2"/>
          </w:tcPr>
          <w:p w14:paraId="4ADEE253"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2194.53 m2</w:t>
            </w:r>
          </w:p>
        </w:tc>
      </w:tr>
      <w:tr w:rsidR="001F600C" w:rsidRPr="00285D58" w14:paraId="01FF0AAE"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2645EDA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7" w:type="dxa"/>
            <w:tcBorders>
              <w:top w:val="nil"/>
              <w:left w:val="nil"/>
              <w:bottom w:val="single" w:sz="4" w:space="0" w:color="1072BD"/>
              <w:right w:val="single" w:sz="4" w:space="0" w:color="1072BD"/>
            </w:tcBorders>
          </w:tcPr>
          <w:p w14:paraId="63BA66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01067F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903" w:type="dxa"/>
            <w:tcBorders>
              <w:top w:val="nil"/>
              <w:left w:val="nil"/>
              <w:bottom w:val="single" w:sz="4" w:space="0" w:color="1072BD"/>
              <w:right w:val="single" w:sz="4" w:space="0" w:color="1072BD"/>
            </w:tcBorders>
          </w:tcPr>
          <w:p w14:paraId="714788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945" w:type="dxa"/>
            <w:tcBorders>
              <w:top w:val="nil"/>
              <w:left w:val="nil"/>
              <w:bottom w:val="single" w:sz="4" w:space="0" w:color="1072BD"/>
              <w:right w:val="nil"/>
            </w:tcBorders>
          </w:tcPr>
          <w:p w14:paraId="603A3E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124" w:type="dxa"/>
            <w:tcBorders>
              <w:top w:val="nil"/>
              <w:left w:val="nil"/>
              <w:bottom w:val="single" w:sz="4" w:space="0" w:color="1072BD"/>
              <w:right w:val="single" w:sz="4" w:space="0" w:color="1072BD"/>
            </w:tcBorders>
          </w:tcPr>
          <w:p w14:paraId="356E1E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5CA35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17.26 m2</w:t>
            </w:r>
          </w:p>
        </w:tc>
      </w:tr>
      <w:tr w:rsidR="001F600C" w:rsidRPr="00285D58" w14:paraId="52ACFDE5"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30496AD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B9555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7B0BC4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903" w:type="dxa"/>
            <w:tcBorders>
              <w:top w:val="nil"/>
              <w:left w:val="nil"/>
              <w:bottom w:val="single" w:sz="4" w:space="0" w:color="1072BD"/>
              <w:right w:val="single" w:sz="4" w:space="0" w:color="1072BD"/>
            </w:tcBorders>
          </w:tcPr>
          <w:p w14:paraId="0D8D55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945" w:type="dxa"/>
            <w:tcBorders>
              <w:top w:val="nil"/>
              <w:left w:val="nil"/>
              <w:bottom w:val="single" w:sz="4" w:space="0" w:color="1072BD"/>
              <w:right w:val="nil"/>
            </w:tcBorders>
          </w:tcPr>
          <w:p w14:paraId="020AF88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79ECE2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0FB94C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11.32 m2</w:t>
            </w:r>
          </w:p>
        </w:tc>
      </w:tr>
      <w:tr w:rsidR="001F600C" w:rsidRPr="00285D58" w14:paraId="613CDE91"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1950AF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DD278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6E5B226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903" w:type="dxa"/>
            <w:tcBorders>
              <w:top w:val="nil"/>
              <w:left w:val="nil"/>
              <w:bottom w:val="single" w:sz="4" w:space="0" w:color="1072BD"/>
              <w:right w:val="single" w:sz="4" w:space="0" w:color="1072BD"/>
            </w:tcBorders>
          </w:tcPr>
          <w:p w14:paraId="3942F7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91315A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124" w:type="dxa"/>
            <w:tcBorders>
              <w:top w:val="nil"/>
              <w:left w:val="nil"/>
              <w:bottom w:val="single" w:sz="4" w:space="0" w:color="1072BD"/>
              <w:right w:val="single" w:sz="4" w:space="0" w:color="1072BD"/>
            </w:tcBorders>
          </w:tcPr>
          <w:p w14:paraId="4C32A0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443" w:type="dxa"/>
            <w:tcBorders>
              <w:top w:val="nil"/>
              <w:left w:val="nil"/>
              <w:bottom w:val="single" w:sz="4" w:space="0" w:color="1072BD"/>
              <w:right w:val="single" w:sz="4" w:space="0" w:color="1072BD"/>
            </w:tcBorders>
          </w:tcPr>
          <w:p w14:paraId="4D4814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6.99 m2</w:t>
            </w:r>
          </w:p>
        </w:tc>
      </w:tr>
      <w:tr w:rsidR="001F600C" w:rsidRPr="00285D58" w14:paraId="7E829E84"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733574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7A879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655BC8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903" w:type="dxa"/>
            <w:tcBorders>
              <w:top w:val="nil"/>
              <w:left w:val="nil"/>
              <w:bottom w:val="single" w:sz="4" w:space="0" w:color="1072BD"/>
              <w:right w:val="single" w:sz="4" w:space="0" w:color="1072BD"/>
            </w:tcBorders>
          </w:tcPr>
          <w:p w14:paraId="0D2E8D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4E0211F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40770DB0" w14:textId="77777777" w:rsidR="001F600C" w:rsidRPr="00285D58" w:rsidRDefault="001F600C" w:rsidP="008D1FFF">
            <w:pPr>
              <w:spacing w:line="276" w:lineRule="auto"/>
              <w:jc w:val="center"/>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3254E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10.07 m2</w:t>
            </w:r>
          </w:p>
        </w:tc>
      </w:tr>
      <w:tr w:rsidR="001F600C" w:rsidRPr="00285D58" w14:paraId="640DF59F"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40824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7" w:type="dxa"/>
            <w:tcBorders>
              <w:top w:val="nil"/>
              <w:left w:val="nil"/>
              <w:bottom w:val="single" w:sz="4" w:space="0" w:color="1072BD"/>
              <w:right w:val="single" w:sz="4" w:space="0" w:color="1072BD"/>
            </w:tcBorders>
          </w:tcPr>
          <w:p w14:paraId="775E57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7953C4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903" w:type="dxa"/>
            <w:tcBorders>
              <w:top w:val="nil"/>
              <w:left w:val="nil"/>
              <w:bottom w:val="single" w:sz="4" w:space="0" w:color="1072BD"/>
              <w:right w:val="single" w:sz="4" w:space="0" w:color="1072BD"/>
            </w:tcBorders>
          </w:tcPr>
          <w:p w14:paraId="1DB4B1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945" w:type="dxa"/>
            <w:tcBorders>
              <w:top w:val="nil"/>
              <w:left w:val="nil"/>
              <w:bottom w:val="single" w:sz="4" w:space="0" w:color="1072BD"/>
              <w:right w:val="nil"/>
            </w:tcBorders>
          </w:tcPr>
          <w:p w14:paraId="37F8F3F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4B37B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443" w:type="dxa"/>
            <w:tcBorders>
              <w:top w:val="nil"/>
              <w:left w:val="nil"/>
              <w:bottom w:val="single" w:sz="4" w:space="0" w:color="1072BD"/>
              <w:right w:val="single" w:sz="4" w:space="0" w:color="1072BD"/>
            </w:tcBorders>
          </w:tcPr>
          <w:p w14:paraId="54A549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 m2</w:t>
            </w:r>
          </w:p>
        </w:tc>
      </w:tr>
      <w:tr w:rsidR="001F600C" w:rsidRPr="00285D58" w14:paraId="7BB3A9C8"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694CA0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5172C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50AB9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903" w:type="dxa"/>
            <w:tcBorders>
              <w:top w:val="nil"/>
              <w:left w:val="nil"/>
              <w:bottom w:val="single" w:sz="4" w:space="0" w:color="1072BD"/>
              <w:right w:val="single" w:sz="4" w:space="0" w:color="1072BD"/>
            </w:tcBorders>
          </w:tcPr>
          <w:p w14:paraId="77859E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C2AB9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E1A59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443" w:type="dxa"/>
            <w:tcBorders>
              <w:top w:val="nil"/>
              <w:left w:val="nil"/>
              <w:bottom w:val="single" w:sz="4" w:space="0" w:color="1072BD"/>
              <w:right w:val="single" w:sz="4" w:space="0" w:color="1072BD"/>
            </w:tcBorders>
          </w:tcPr>
          <w:p w14:paraId="03E4CD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19.04 m2</w:t>
            </w:r>
          </w:p>
        </w:tc>
      </w:tr>
      <w:tr w:rsidR="001F600C" w:rsidRPr="00285D58" w14:paraId="23B5C405"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36855D7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56033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46A058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903" w:type="dxa"/>
            <w:tcBorders>
              <w:top w:val="nil"/>
              <w:left w:val="nil"/>
              <w:bottom w:val="single" w:sz="4" w:space="0" w:color="1072BD"/>
              <w:right w:val="single" w:sz="4" w:space="0" w:color="1072BD"/>
            </w:tcBorders>
          </w:tcPr>
          <w:p w14:paraId="107F33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AEDDED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128BC9E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443" w:type="dxa"/>
            <w:tcBorders>
              <w:top w:val="nil"/>
              <w:left w:val="nil"/>
              <w:bottom w:val="single" w:sz="4" w:space="0" w:color="1072BD"/>
              <w:right w:val="single" w:sz="4" w:space="0" w:color="1072BD"/>
            </w:tcBorders>
          </w:tcPr>
          <w:p w14:paraId="17CCB7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14.63 m2</w:t>
            </w:r>
          </w:p>
        </w:tc>
      </w:tr>
      <w:tr w:rsidR="001F600C" w:rsidRPr="00285D58" w14:paraId="52FE5E06"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F2DB28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6726E6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A6651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903" w:type="dxa"/>
            <w:tcBorders>
              <w:top w:val="nil"/>
              <w:left w:val="nil"/>
              <w:bottom w:val="single" w:sz="4" w:space="0" w:color="1072BD"/>
              <w:right w:val="single" w:sz="4" w:space="0" w:color="1072BD"/>
            </w:tcBorders>
          </w:tcPr>
          <w:p w14:paraId="224C16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C0741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1D601D6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0B54E5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 m2</w:t>
            </w:r>
          </w:p>
        </w:tc>
      </w:tr>
      <w:tr w:rsidR="001F600C" w:rsidRPr="00285D58" w14:paraId="6AF1DA82"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369E84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1005B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5C740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903" w:type="dxa"/>
            <w:tcBorders>
              <w:top w:val="nil"/>
              <w:left w:val="nil"/>
              <w:bottom w:val="single" w:sz="4" w:space="0" w:color="1072BD"/>
              <w:right w:val="single" w:sz="4" w:space="0" w:color="1072BD"/>
            </w:tcBorders>
          </w:tcPr>
          <w:p w14:paraId="580307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74E58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124" w:type="dxa"/>
            <w:tcBorders>
              <w:top w:val="nil"/>
              <w:left w:val="nil"/>
              <w:bottom w:val="single" w:sz="4" w:space="0" w:color="1072BD"/>
              <w:right w:val="single" w:sz="4" w:space="0" w:color="1072BD"/>
            </w:tcBorders>
          </w:tcPr>
          <w:p w14:paraId="63B36AD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443" w:type="dxa"/>
            <w:tcBorders>
              <w:top w:val="nil"/>
              <w:left w:val="nil"/>
              <w:bottom w:val="single" w:sz="4" w:space="0" w:color="1072BD"/>
              <w:right w:val="single" w:sz="4" w:space="0" w:color="1072BD"/>
            </w:tcBorders>
          </w:tcPr>
          <w:p w14:paraId="7516135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4.80 m2</w:t>
            </w:r>
          </w:p>
        </w:tc>
      </w:tr>
      <w:tr w:rsidR="001F600C" w:rsidRPr="00285D58" w14:paraId="128E3EB5"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5B5893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667" w:type="dxa"/>
            <w:tcBorders>
              <w:top w:val="nil"/>
              <w:left w:val="nil"/>
              <w:bottom w:val="single" w:sz="4" w:space="0" w:color="1072BD"/>
              <w:right w:val="single" w:sz="4" w:space="0" w:color="1072BD"/>
            </w:tcBorders>
          </w:tcPr>
          <w:p w14:paraId="702553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62F583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Mantenimiento </w:t>
            </w:r>
          </w:p>
        </w:tc>
        <w:tc>
          <w:tcPr>
            <w:tcW w:w="903" w:type="dxa"/>
            <w:tcBorders>
              <w:top w:val="nil"/>
              <w:left w:val="nil"/>
              <w:bottom w:val="single" w:sz="4" w:space="0" w:color="1072BD"/>
              <w:right w:val="single" w:sz="4" w:space="0" w:color="1072BD"/>
            </w:tcBorders>
          </w:tcPr>
          <w:p w14:paraId="7FCB33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171D0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76590F5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51ADC5E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169.85 m2</w:t>
            </w:r>
          </w:p>
        </w:tc>
      </w:tr>
      <w:tr w:rsidR="001F600C" w:rsidRPr="00285D58" w14:paraId="47E087C6"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6086F0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C9878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405289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Paso de Cable</w:t>
            </w:r>
          </w:p>
        </w:tc>
        <w:tc>
          <w:tcPr>
            <w:tcW w:w="903" w:type="dxa"/>
            <w:tcBorders>
              <w:top w:val="nil"/>
              <w:left w:val="nil"/>
              <w:bottom w:val="single" w:sz="4" w:space="0" w:color="1072BD"/>
              <w:right w:val="single" w:sz="4" w:space="0" w:color="1072BD"/>
            </w:tcBorders>
          </w:tcPr>
          <w:p w14:paraId="39701C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D071F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542429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A01F35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52.33 m2</w:t>
            </w:r>
          </w:p>
        </w:tc>
      </w:tr>
      <w:tr w:rsidR="001F600C" w:rsidRPr="00285D58" w14:paraId="50B8D77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BC5A1D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37DF09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0285F7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Pasillo de Conexión</w:t>
            </w:r>
          </w:p>
        </w:tc>
        <w:tc>
          <w:tcPr>
            <w:tcW w:w="903" w:type="dxa"/>
            <w:tcBorders>
              <w:top w:val="nil"/>
              <w:left w:val="nil"/>
              <w:bottom w:val="single" w:sz="4" w:space="0" w:color="1072BD"/>
              <w:right w:val="single" w:sz="4" w:space="0" w:color="1072BD"/>
            </w:tcBorders>
          </w:tcPr>
          <w:p w14:paraId="687965A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43E92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F8D550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2C04D7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145.88 m2</w:t>
            </w:r>
          </w:p>
        </w:tc>
      </w:tr>
      <w:tr w:rsidR="001F600C" w:rsidRPr="00285D58" w14:paraId="76FE1AAB"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E2EE07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47665F8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3D6C2C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Maquinas</w:t>
            </w:r>
          </w:p>
        </w:tc>
        <w:tc>
          <w:tcPr>
            <w:tcW w:w="903" w:type="dxa"/>
            <w:tcBorders>
              <w:top w:val="nil"/>
              <w:left w:val="nil"/>
              <w:bottom w:val="single" w:sz="4" w:space="0" w:color="1072BD"/>
              <w:right w:val="single" w:sz="4" w:space="0" w:color="1072BD"/>
            </w:tcBorders>
          </w:tcPr>
          <w:p w14:paraId="79ECE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10F010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4BE64D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772F91E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460.28 m2</w:t>
            </w:r>
          </w:p>
        </w:tc>
      </w:tr>
      <w:tr w:rsidR="001F600C" w:rsidRPr="00285D58" w14:paraId="3CD313FC"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D520F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203410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086206A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generadores</w:t>
            </w:r>
          </w:p>
        </w:tc>
        <w:tc>
          <w:tcPr>
            <w:tcW w:w="903" w:type="dxa"/>
            <w:tcBorders>
              <w:top w:val="nil"/>
              <w:left w:val="nil"/>
              <w:bottom w:val="single" w:sz="4" w:space="0" w:color="1072BD"/>
              <w:right w:val="single" w:sz="4" w:space="0" w:color="1072BD"/>
            </w:tcBorders>
          </w:tcPr>
          <w:p w14:paraId="33A532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63845F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841D46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07E00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73.11 m2</w:t>
            </w:r>
          </w:p>
        </w:tc>
      </w:tr>
      <w:tr w:rsidR="001F600C" w:rsidRPr="00285D58" w14:paraId="34CABFC1"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8B27A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420F4C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00392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cuadros eléctricos</w:t>
            </w:r>
          </w:p>
        </w:tc>
        <w:tc>
          <w:tcPr>
            <w:tcW w:w="903" w:type="dxa"/>
            <w:tcBorders>
              <w:top w:val="nil"/>
              <w:left w:val="nil"/>
              <w:bottom w:val="single" w:sz="4" w:space="0" w:color="1072BD"/>
              <w:right w:val="single" w:sz="4" w:space="0" w:color="1072BD"/>
            </w:tcBorders>
          </w:tcPr>
          <w:p w14:paraId="040A7E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1A654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0502761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A79915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20.84 m2</w:t>
            </w:r>
          </w:p>
        </w:tc>
      </w:tr>
      <w:tr w:rsidR="001F600C" w:rsidRPr="00285D58" w14:paraId="754279BA"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612B2B93"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03385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3A052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transformadores</w:t>
            </w:r>
          </w:p>
        </w:tc>
        <w:tc>
          <w:tcPr>
            <w:tcW w:w="903" w:type="dxa"/>
            <w:tcBorders>
              <w:top w:val="nil"/>
              <w:left w:val="nil"/>
              <w:bottom w:val="single" w:sz="4" w:space="0" w:color="1072BD"/>
              <w:right w:val="single" w:sz="4" w:space="0" w:color="1072BD"/>
            </w:tcBorders>
          </w:tcPr>
          <w:p w14:paraId="188E9F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32885B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3437349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44EA8D7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50.66 m2</w:t>
            </w:r>
          </w:p>
        </w:tc>
      </w:tr>
      <w:tr w:rsidR="001F600C" w:rsidRPr="00285D58" w14:paraId="296DFDA5"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1244D0C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7" w:type="dxa"/>
            <w:tcBorders>
              <w:top w:val="nil"/>
              <w:left w:val="nil"/>
              <w:bottom w:val="single" w:sz="4" w:space="0" w:color="1072BD"/>
              <w:right w:val="single" w:sz="4" w:space="0" w:color="1072BD"/>
            </w:tcBorders>
          </w:tcPr>
          <w:p w14:paraId="750B28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48219D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903" w:type="dxa"/>
            <w:tcBorders>
              <w:top w:val="nil"/>
              <w:left w:val="nil"/>
              <w:bottom w:val="single" w:sz="4" w:space="0" w:color="1072BD"/>
              <w:right w:val="single" w:sz="4" w:space="0" w:color="1072BD"/>
            </w:tcBorders>
          </w:tcPr>
          <w:p w14:paraId="4CB24C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945" w:type="dxa"/>
            <w:tcBorders>
              <w:top w:val="nil"/>
              <w:left w:val="nil"/>
              <w:bottom w:val="single" w:sz="4" w:space="0" w:color="1072BD"/>
              <w:right w:val="nil"/>
            </w:tcBorders>
          </w:tcPr>
          <w:p w14:paraId="6F3377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124" w:type="dxa"/>
            <w:tcBorders>
              <w:top w:val="nil"/>
              <w:left w:val="nil"/>
              <w:bottom w:val="single" w:sz="4" w:space="0" w:color="1072BD"/>
              <w:right w:val="single" w:sz="4" w:space="0" w:color="1072BD"/>
            </w:tcBorders>
          </w:tcPr>
          <w:p w14:paraId="248D00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443" w:type="dxa"/>
            <w:tcBorders>
              <w:top w:val="nil"/>
              <w:left w:val="nil"/>
              <w:bottom w:val="single" w:sz="4" w:space="0" w:color="1072BD"/>
              <w:right w:val="single" w:sz="4" w:space="0" w:color="1072BD"/>
            </w:tcBorders>
          </w:tcPr>
          <w:p w14:paraId="50640D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258.34 m2</w:t>
            </w:r>
          </w:p>
        </w:tc>
      </w:tr>
      <w:tr w:rsidR="001F600C" w:rsidRPr="00285D58" w14:paraId="1EA20A2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BA85B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4C010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573CDF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903" w:type="dxa"/>
            <w:tcBorders>
              <w:top w:val="nil"/>
              <w:left w:val="nil"/>
              <w:bottom w:val="single" w:sz="4" w:space="0" w:color="1072BD"/>
              <w:right w:val="single" w:sz="4" w:space="0" w:color="1072BD"/>
            </w:tcBorders>
          </w:tcPr>
          <w:p w14:paraId="554550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945" w:type="dxa"/>
            <w:tcBorders>
              <w:top w:val="nil"/>
              <w:left w:val="nil"/>
              <w:bottom w:val="single" w:sz="4" w:space="0" w:color="1072BD"/>
              <w:right w:val="nil"/>
            </w:tcBorders>
          </w:tcPr>
          <w:p w14:paraId="5F2A94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124" w:type="dxa"/>
            <w:tcBorders>
              <w:top w:val="nil"/>
              <w:left w:val="nil"/>
              <w:bottom w:val="single" w:sz="4" w:space="0" w:color="1072BD"/>
              <w:right w:val="single" w:sz="4" w:space="0" w:color="1072BD"/>
            </w:tcBorders>
          </w:tcPr>
          <w:p w14:paraId="7F8DE4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443" w:type="dxa"/>
            <w:tcBorders>
              <w:top w:val="nil"/>
              <w:left w:val="nil"/>
              <w:bottom w:val="single" w:sz="4" w:space="0" w:color="1072BD"/>
              <w:right w:val="single" w:sz="4" w:space="0" w:color="1072BD"/>
            </w:tcBorders>
          </w:tcPr>
          <w:p w14:paraId="018321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300.40 m2</w:t>
            </w:r>
          </w:p>
        </w:tc>
      </w:tr>
      <w:tr w:rsidR="001F600C" w:rsidRPr="00285D58" w14:paraId="38CC0F5D"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496C38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7" w:type="dxa"/>
            <w:tcBorders>
              <w:top w:val="nil"/>
              <w:left w:val="nil"/>
              <w:bottom w:val="single" w:sz="4" w:space="0" w:color="1072BD"/>
              <w:right w:val="single" w:sz="4" w:space="0" w:color="1072BD"/>
            </w:tcBorders>
          </w:tcPr>
          <w:p w14:paraId="57D1FC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2DD3E61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903" w:type="dxa"/>
            <w:tcBorders>
              <w:top w:val="nil"/>
              <w:left w:val="nil"/>
              <w:bottom w:val="single" w:sz="4" w:space="0" w:color="1072BD"/>
              <w:right w:val="single" w:sz="4" w:space="0" w:color="1072BD"/>
            </w:tcBorders>
          </w:tcPr>
          <w:p w14:paraId="352F449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71674A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229624E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75116E9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228.55 m2</w:t>
            </w:r>
          </w:p>
        </w:tc>
      </w:tr>
      <w:tr w:rsidR="001F600C" w:rsidRPr="00285D58" w14:paraId="4233D47E"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776365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5D0F22A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80" w:type="dxa"/>
            <w:tcBorders>
              <w:top w:val="nil"/>
              <w:left w:val="nil"/>
              <w:bottom w:val="single" w:sz="4" w:space="0" w:color="1072BD"/>
              <w:right w:val="single" w:sz="4" w:space="0" w:color="1072BD"/>
            </w:tcBorders>
          </w:tcPr>
          <w:p w14:paraId="28B187A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903" w:type="dxa"/>
            <w:tcBorders>
              <w:top w:val="nil"/>
              <w:left w:val="nil"/>
              <w:bottom w:val="single" w:sz="4" w:space="0" w:color="1072BD"/>
              <w:right w:val="single" w:sz="4" w:space="0" w:color="1072BD"/>
            </w:tcBorders>
          </w:tcPr>
          <w:p w14:paraId="3DAF19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0179825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2D89A0F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13F1E6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172.81 m2</w:t>
            </w:r>
          </w:p>
        </w:tc>
      </w:tr>
      <w:tr w:rsidR="001F600C" w:rsidRPr="00285D58" w14:paraId="1F023F70"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596BBA2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4D255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64185B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903" w:type="dxa"/>
            <w:tcBorders>
              <w:top w:val="nil"/>
              <w:left w:val="nil"/>
              <w:bottom w:val="single" w:sz="4" w:space="0" w:color="1072BD"/>
              <w:right w:val="single" w:sz="4" w:space="0" w:color="1072BD"/>
            </w:tcBorders>
          </w:tcPr>
          <w:p w14:paraId="15681F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69D12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62E41E5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646C04D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164.25 m2</w:t>
            </w:r>
          </w:p>
        </w:tc>
      </w:tr>
      <w:tr w:rsidR="001F600C" w:rsidRPr="00285D58" w14:paraId="435A6B9C" w14:textId="77777777" w:rsidTr="00242093">
        <w:trPr>
          <w:trHeight w:val="240"/>
        </w:trPr>
        <w:tc>
          <w:tcPr>
            <w:tcW w:w="1171" w:type="dxa"/>
            <w:tcBorders>
              <w:top w:val="nil"/>
              <w:left w:val="single" w:sz="4" w:space="0" w:color="1072BD"/>
              <w:bottom w:val="single" w:sz="4" w:space="0" w:color="1072BD"/>
              <w:right w:val="single" w:sz="4" w:space="0" w:color="1072BD"/>
            </w:tcBorders>
            <w:shd w:val="clear" w:color="auto" w:fill="E7E6E6" w:themeFill="background2"/>
          </w:tcPr>
          <w:p w14:paraId="34488048"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447" w:type="dxa"/>
            <w:gridSpan w:val="2"/>
            <w:tcBorders>
              <w:top w:val="single" w:sz="4" w:space="0" w:color="1072BD"/>
              <w:left w:val="nil"/>
              <w:bottom w:val="single" w:sz="4" w:space="0" w:color="1072BD"/>
              <w:right w:val="single" w:sz="4" w:space="0" w:color="1072BD"/>
            </w:tcBorders>
            <w:shd w:val="clear" w:color="auto" w:fill="E7E6E6" w:themeFill="background2"/>
          </w:tcPr>
          <w:p w14:paraId="5C6E26C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single" w:sz="4" w:space="0" w:color="1072BD"/>
              <w:right w:val="single" w:sz="4" w:space="0" w:color="1072BD"/>
            </w:tcBorders>
            <w:shd w:val="clear" w:color="auto" w:fill="E7E6E6" w:themeFill="background2"/>
          </w:tcPr>
          <w:p w14:paraId="08D21A8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362</w:t>
            </w:r>
          </w:p>
        </w:tc>
        <w:tc>
          <w:tcPr>
            <w:tcW w:w="3069" w:type="dxa"/>
            <w:gridSpan w:val="2"/>
            <w:tcBorders>
              <w:top w:val="single" w:sz="4" w:space="0" w:color="1072BD"/>
              <w:left w:val="nil"/>
              <w:bottom w:val="nil"/>
              <w:right w:val="single" w:sz="4" w:space="0" w:color="1072BD"/>
            </w:tcBorders>
            <w:shd w:val="clear" w:color="auto" w:fill="E7E6E6" w:themeFill="background2"/>
          </w:tcPr>
          <w:p w14:paraId="7F50610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443" w:type="dxa"/>
            <w:tcBorders>
              <w:top w:val="nil"/>
              <w:left w:val="nil"/>
              <w:bottom w:val="single" w:sz="4" w:space="0" w:color="1072BD"/>
              <w:right w:val="single" w:sz="4" w:space="0" w:color="1072BD"/>
            </w:tcBorders>
            <w:shd w:val="clear" w:color="auto" w:fill="E7E6E6" w:themeFill="background2"/>
          </w:tcPr>
          <w:p w14:paraId="49A7BF1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1294.62 m2</w:t>
            </w:r>
          </w:p>
        </w:tc>
      </w:tr>
      <w:tr w:rsidR="001F600C" w:rsidRPr="00285D58" w14:paraId="23A501E6"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EDF17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7" w:type="dxa"/>
            <w:tcBorders>
              <w:top w:val="nil"/>
              <w:left w:val="nil"/>
              <w:bottom w:val="single" w:sz="4" w:space="0" w:color="1072BD"/>
              <w:right w:val="single" w:sz="4" w:space="0" w:color="1072BD"/>
            </w:tcBorders>
          </w:tcPr>
          <w:p w14:paraId="4F94EB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1F2520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903" w:type="dxa"/>
            <w:tcBorders>
              <w:top w:val="nil"/>
              <w:left w:val="nil"/>
              <w:bottom w:val="single" w:sz="4" w:space="0" w:color="1072BD"/>
              <w:right w:val="nil"/>
            </w:tcBorders>
          </w:tcPr>
          <w:p w14:paraId="6E667D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210</w:t>
            </w:r>
          </w:p>
        </w:tc>
        <w:tc>
          <w:tcPr>
            <w:tcW w:w="945" w:type="dxa"/>
            <w:tcBorders>
              <w:top w:val="single" w:sz="4" w:space="0" w:color="1072BD"/>
              <w:left w:val="single" w:sz="4" w:space="0" w:color="1072BD"/>
              <w:bottom w:val="single" w:sz="4" w:space="0" w:color="1072BD"/>
              <w:right w:val="nil"/>
            </w:tcBorders>
          </w:tcPr>
          <w:p w14:paraId="6CEB8A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124" w:type="dxa"/>
            <w:tcBorders>
              <w:top w:val="single" w:sz="4" w:space="0" w:color="1072BD"/>
              <w:left w:val="nil"/>
              <w:bottom w:val="single" w:sz="4" w:space="0" w:color="1072BD"/>
              <w:right w:val="single" w:sz="4" w:space="0" w:color="1072BD"/>
            </w:tcBorders>
          </w:tcPr>
          <w:p w14:paraId="233009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443" w:type="dxa"/>
            <w:tcBorders>
              <w:top w:val="nil"/>
              <w:left w:val="nil"/>
              <w:bottom w:val="single" w:sz="4" w:space="0" w:color="1072BD"/>
              <w:right w:val="single" w:sz="4" w:space="0" w:color="1072BD"/>
            </w:tcBorders>
          </w:tcPr>
          <w:p w14:paraId="04D96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419.91 m2</w:t>
            </w:r>
          </w:p>
        </w:tc>
      </w:tr>
      <w:tr w:rsidR="001F600C" w:rsidRPr="00285D58" w14:paraId="2102AE0F"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0C46958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0AE2D5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B1DB77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903" w:type="dxa"/>
            <w:tcBorders>
              <w:top w:val="nil"/>
              <w:left w:val="nil"/>
              <w:bottom w:val="single" w:sz="4" w:space="0" w:color="1072BD"/>
              <w:right w:val="single" w:sz="4" w:space="0" w:color="1072BD"/>
            </w:tcBorders>
          </w:tcPr>
          <w:p w14:paraId="7E1488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152</w:t>
            </w:r>
          </w:p>
        </w:tc>
        <w:tc>
          <w:tcPr>
            <w:tcW w:w="945" w:type="dxa"/>
            <w:tcBorders>
              <w:top w:val="nil"/>
              <w:left w:val="nil"/>
              <w:bottom w:val="single" w:sz="4" w:space="0" w:color="1072BD"/>
              <w:right w:val="nil"/>
            </w:tcBorders>
          </w:tcPr>
          <w:p w14:paraId="74BC03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124" w:type="dxa"/>
            <w:tcBorders>
              <w:top w:val="nil"/>
              <w:left w:val="nil"/>
              <w:bottom w:val="single" w:sz="4" w:space="0" w:color="1072BD"/>
              <w:right w:val="single" w:sz="4" w:space="0" w:color="1072BD"/>
            </w:tcBorders>
          </w:tcPr>
          <w:p w14:paraId="6BE4CF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443" w:type="dxa"/>
            <w:tcBorders>
              <w:top w:val="nil"/>
              <w:left w:val="nil"/>
              <w:bottom w:val="single" w:sz="4" w:space="0" w:color="1072BD"/>
              <w:right w:val="single" w:sz="4" w:space="0" w:color="1072BD"/>
            </w:tcBorders>
          </w:tcPr>
          <w:p w14:paraId="43FECC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303.79 m2</w:t>
            </w:r>
          </w:p>
        </w:tc>
      </w:tr>
      <w:tr w:rsidR="001F600C" w:rsidRPr="00285D58" w14:paraId="53DD9D1C" w14:textId="77777777" w:rsidTr="00242093">
        <w:trPr>
          <w:trHeight w:val="227"/>
        </w:trPr>
        <w:tc>
          <w:tcPr>
            <w:tcW w:w="1171" w:type="dxa"/>
            <w:vMerge w:val="restart"/>
            <w:tcBorders>
              <w:top w:val="nil"/>
              <w:left w:val="single" w:sz="4" w:space="0" w:color="1072BD"/>
              <w:bottom w:val="single" w:sz="4" w:space="0" w:color="1072BD"/>
              <w:right w:val="single" w:sz="4" w:space="0" w:color="1072BD"/>
            </w:tcBorders>
          </w:tcPr>
          <w:p w14:paraId="7EDC3F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tc>
        <w:tc>
          <w:tcPr>
            <w:tcW w:w="667" w:type="dxa"/>
            <w:tcBorders>
              <w:top w:val="nil"/>
              <w:left w:val="nil"/>
              <w:bottom w:val="single" w:sz="4" w:space="0" w:color="1072BD"/>
              <w:right w:val="single" w:sz="4" w:space="0" w:color="1072BD"/>
            </w:tcBorders>
          </w:tcPr>
          <w:p w14:paraId="626AD7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780" w:type="dxa"/>
            <w:tcBorders>
              <w:top w:val="nil"/>
              <w:left w:val="nil"/>
              <w:bottom w:val="single" w:sz="4" w:space="0" w:color="1072BD"/>
              <w:right w:val="single" w:sz="4" w:space="0" w:color="1072BD"/>
            </w:tcBorders>
          </w:tcPr>
          <w:p w14:paraId="37DEAD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Anden de buses</w:t>
            </w:r>
          </w:p>
        </w:tc>
        <w:tc>
          <w:tcPr>
            <w:tcW w:w="903" w:type="dxa"/>
            <w:tcBorders>
              <w:top w:val="nil"/>
              <w:left w:val="nil"/>
              <w:bottom w:val="single" w:sz="4" w:space="0" w:color="1072BD"/>
              <w:right w:val="single" w:sz="4" w:space="0" w:color="1072BD"/>
            </w:tcBorders>
          </w:tcPr>
          <w:p w14:paraId="74BD7B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2447AA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124" w:type="dxa"/>
            <w:tcBorders>
              <w:top w:val="nil"/>
              <w:left w:val="nil"/>
              <w:bottom w:val="single" w:sz="4" w:space="0" w:color="1072BD"/>
              <w:right w:val="single" w:sz="4" w:space="0" w:color="1072BD"/>
            </w:tcBorders>
          </w:tcPr>
          <w:p w14:paraId="6C754E1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443" w:type="dxa"/>
            <w:tcBorders>
              <w:top w:val="nil"/>
              <w:left w:val="nil"/>
              <w:bottom w:val="single" w:sz="4" w:space="0" w:color="1072BD"/>
              <w:right w:val="single" w:sz="4" w:space="0" w:color="1072BD"/>
            </w:tcBorders>
          </w:tcPr>
          <w:p w14:paraId="6B41BC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252.58 m2</w:t>
            </w:r>
          </w:p>
        </w:tc>
      </w:tr>
      <w:tr w:rsidR="001F600C" w:rsidRPr="00285D58" w14:paraId="5AE8C847" w14:textId="77777777" w:rsidTr="00242093">
        <w:trPr>
          <w:trHeight w:val="227"/>
        </w:trPr>
        <w:tc>
          <w:tcPr>
            <w:tcW w:w="1171" w:type="dxa"/>
            <w:vMerge/>
            <w:tcBorders>
              <w:top w:val="nil"/>
              <w:left w:val="single" w:sz="4" w:space="0" w:color="1072BD"/>
              <w:bottom w:val="single" w:sz="4" w:space="0" w:color="1072BD"/>
              <w:right w:val="single" w:sz="4" w:space="0" w:color="1072BD"/>
            </w:tcBorders>
          </w:tcPr>
          <w:p w14:paraId="77E1180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7" w:type="dxa"/>
            <w:tcBorders>
              <w:top w:val="nil"/>
              <w:left w:val="nil"/>
              <w:bottom w:val="single" w:sz="4" w:space="0" w:color="1072BD"/>
              <w:right w:val="single" w:sz="4" w:space="0" w:color="1072BD"/>
            </w:tcBorders>
          </w:tcPr>
          <w:p w14:paraId="1162E09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780" w:type="dxa"/>
            <w:tcBorders>
              <w:top w:val="nil"/>
              <w:left w:val="nil"/>
              <w:bottom w:val="single" w:sz="4" w:space="0" w:color="1072BD"/>
              <w:right w:val="single" w:sz="4" w:space="0" w:color="1072BD"/>
            </w:tcBorders>
          </w:tcPr>
          <w:p w14:paraId="194ECF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Patio de mantenimiento</w:t>
            </w:r>
          </w:p>
        </w:tc>
        <w:tc>
          <w:tcPr>
            <w:tcW w:w="903" w:type="dxa"/>
            <w:tcBorders>
              <w:top w:val="nil"/>
              <w:left w:val="nil"/>
              <w:bottom w:val="single" w:sz="4" w:space="0" w:color="1072BD"/>
              <w:right w:val="single" w:sz="4" w:space="0" w:color="1072BD"/>
            </w:tcBorders>
          </w:tcPr>
          <w:p w14:paraId="7F68448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945" w:type="dxa"/>
            <w:tcBorders>
              <w:top w:val="nil"/>
              <w:left w:val="nil"/>
              <w:bottom w:val="single" w:sz="4" w:space="0" w:color="1072BD"/>
              <w:right w:val="nil"/>
            </w:tcBorders>
          </w:tcPr>
          <w:p w14:paraId="5E1925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124" w:type="dxa"/>
            <w:tcBorders>
              <w:top w:val="nil"/>
              <w:left w:val="nil"/>
              <w:bottom w:val="single" w:sz="4" w:space="0" w:color="1072BD"/>
              <w:right w:val="single" w:sz="4" w:space="0" w:color="1072BD"/>
            </w:tcBorders>
          </w:tcPr>
          <w:p w14:paraId="05C7B18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443" w:type="dxa"/>
            <w:tcBorders>
              <w:top w:val="nil"/>
              <w:left w:val="nil"/>
              <w:bottom w:val="single" w:sz="4" w:space="0" w:color="1072BD"/>
              <w:right w:val="single" w:sz="4" w:space="0" w:color="1072BD"/>
            </w:tcBorders>
          </w:tcPr>
          <w:p w14:paraId="58F21A5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318.34 m2</w:t>
            </w:r>
          </w:p>
        </w:tc>
      </w:tr>
      <w:tr w:rsidR="001F600C" w:rsidRPr="00285D58" w14:paraId="118CDD62" w14:textId="77777777" w:rsidTr="00242093">
        <w:trPr>
          <w:trHeight w:val="240"/>
        </w:trPr>
        <w:tc>
          <w:tcPr>
            <w:tcW w:w="1171" w:type="dxa"/>
            <w:tcBorders>
              <w:top w:val="nil"/>
              <w:left w:val="single" w:sz="4" w:space="0" w:color="1072BD"/>
              <w:bottom w:val="nil"/>
              <w:right w:val="single" w:sz="4" w:space="0" w:color="1072BD"/>
            </w:tcBorders>
            <w:shd w:val="clear" w:color="auto" w:fill="E7E6E6" w:themeFill="background2"/>
          </w:tcPr>
          <w:p w14:paraId="2F583BB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lastRenderedPageBreak/>
              <w:t>TOTAL</w:t>
            </w:r>
          </w:p>
        </w:tc>
        <w:tc>
          <w:tcPr>
            <w:tcW w:w="2447" w:type="dxa"/>
            <w:gridSpan w:val="2"/>
            <w:tcBorders>
              <w:top w:val="single" w:sz="4" w:space="0" w:color="1072BD"/>
              <w:left w:val="nil"/>
              <w:bottom w:val="nil"/>
              <w:right w:val="single" w:sz="4" w:space="0" w:color="1072BD"/>
            </w:tcBorders>
            <w:shd w:val="clear" w:color="auto" w:fill="E7E6E6" w:themeFill="background2"/>
          </w:tcPr>
          <w:p w14:paraId="66F8835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903" w:type="dxa"/>
            <w:tcBorders>
              <w:top w:val="nil"/>
              <w:left w:val="nil"/>
              <w:bottom w:val="nil"/>
              <w:right w:val="single" w:sz="4" w:space="0" w:color="1072BD"/>
            </w:tcBorders>
            <w:shd w:val="clear" w:color="auto" w:fill="E7E6E6" w:themeFill="background2"/>
          </w:tcPr>
          <w:p w14:paraId="66D4B8D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510</w:t>
            </w:r>
          </w:p>
        </w:tc>
        <w:tc>
          <w:tcPr>
            <w:tcW w:w="3069" w:type="dxa"/>
            <w:gridSpan w:val="2"/>
            <w:tcBorders>
              <w:top w:val="single" w:sz="4" w:space="0" w:color="1072BD"/>
              <w:left w:val="nil"/>
              <w:bottom w:val="nil"/>
              <w:right w:val="single" w:sz="4" w:space="0" w:color="1072BD"/>
            </w:tcBorders>
            <w:shd w:val="clear" w:color="auto" w:fill="E7E6E6" w:themeFill="background2"/>
          </w:tcPr>
          <w:p w14:paraId="09C2F39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443" w:type="dxa"/>
            <w:tcBorders>
              <w:top w:val="nil"/>
              <w:left w:val="nil"/>
              <w:bottom w:val="nil"/>
              <w:right w:val="single" w:sz="4" w:space="0" w:color="1072BD"/>
            </w:tcBorders>
            <w:shd w:val="clear" w:color="auto" w:fill="E7E6E6" w:themeFill="background2"/>
          </w:tcPr>
          <w:p w14:paraId="170763D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3489.15 m2</w:t>
            </w:r>
          </w:p>
        </w:tc>
      </w:tr>
      <w:tr w:rsidR="001F600C" w:rsidRPr="00285D58" w14:paraId="31D88603" w14:textId="77777777" w:rsidTr="00242093">
        <w:trPr>
          <w:trHeight w:val="399"/>
        </w:trPr>
        <w:tc>
          <w:tcPr>
            <w:tcW w:w="9033" w:type="dxa"/>
            <w:gridSpan w:val="7"/>
            <w:tcBorders>
              <w:top w:val="single" w:sz="4" w:space="0" w:color="1072BD"/>
              <w:left w:val="single" w:sz="4" w:space="0" w:color="1072BD"/>
              <w:bottom w:val="nil"/>
              <w:right w:val="single" w:sz="4" w:space="0" w:color="1072BD"/>
            </w:tcBorders>
          </w:tcPr>
          <w:p w14:paraId="6415C2A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5E3F8506" w14:textId="77777777" w:rsidTr="00242093">
        <w:trPr>
          <w:trHeight w:val="399"/>
        </w:trPr>
        <w:tc>
          <w:tcPr>
            <w:tcW w:w="9033" w:type="dxa"/>
            <w:gridSpan w:val="7"/>
            <w:tcBorders>
              <w:top w:val="nil"/>
              <w:left w:val="single" w:sz="4" w:space="0" w:color="1072BD"/>
              <w:bottom w:val="nil"/>
              <w:right w:val="single" w:sz="4" w:space="0" w:color="1072BD"/>
            </w:tcBorders>
          </w:tcPr>
          <w:p w14:paraId="5A99EDA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199F9E5D" w14:textId="77777777" w:rsidTr="00242093">
        <w:trPr>
          <w:trHeight w:val="399"/>
        </w:trPr>
        <w:tc>
          <w:tcPr>
            <w:tcW w:w="9033" w:type="dxa"/>
            <w:gridSpan w:val="7"/>
            <w:tcBorders>
              <w:top w:val="nil"/>
              <w:left w:val="single" w:sz="4" w:space="0" w:color="1072BD"/>
              <w:bottom w:val="nil"/>
              <w:right w:val="single" w:sz="4" w:space="0" w:color="1072BD"/>
            </w:tcBorders>
          </w:tcPr>
          <w:p w14:paraId="45DF111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3F3FC8E7" w14:textId="77777777" w:rsidTr="00242093">
        <w:trPr>
          <w:trHeight w:val="399"/>
        </w:trPr>
        <w:tc>
          <w:tcPr>
            <w:tcW w:w="9033" w:type="dxa"/>
            <w:gridSpan w:val="7"/>
            <w:tcBorders>
              <w:top w:val="nil"/>
              <w:left w:val="single" w:sz="4" w:space="0" w:color="1072BD"/>
              <w:bottom w:val="nil"/>
              <w:right w:val="single" w:sz="4" w:space="0" w:color="1072BD"/>
            </w:tcBorders>
          </w:tcPr>
          <w:p w14:paraId="1B8B04B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100 pasajeros que permite la cabina.</w:t>
            </w:r>
          </w:p>
        </w:tc>
      </w:tr>
      <w:tr w:rsidR="001F600C" w:rsidRPr="00285D58" w14:paraId="7C2AA589" w14:textId="77777777" w:rsidTr="00242093">
        <w:trPr>
          <w:trHeight w:val="201"/>
        </w:trPr>
        <w:tc>
          <w:tcPr>
            <w:tcW w:w="9033" w:type="dxa"/>
            <w:gridSpan w:val="7"/>
            <w:tcBorders>
              <w:top w:val="nil"/>
              <w:left w:val="single" w:sz="4" w:space="0" w:color="1072BD"/>
              <w:bottom w:val="nil"/>
              <w:right w:val="single" w:sz="4" w:space="0" w:color="1072BD"/>
            </w:tcBorders>
          </w:tcPr>
          <w:p w14:paraId="0D0B0E2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2.5 m2 por persona para el cálculo de aforo de las plazas exteriores al edificio.</w:t>
            </w:r>
          </w:p>
        </w:tc>
      </w:tr>
      <w:tr w:rsidR="001F600C" w:rsidRPr="00285D58" w14:paraId="060CCAE5" w14:textId="77777777" w:rsidTr="00242093">
        <w:trPr>
          <w:trHeight w:val="201"/>
        </w:trPr>
        <w:tc>
          <w:tcPr>
            <w:tcW w:w="9033" w:type="dxa"/>
            <w:gridSpan w:val="7"/>
            <w:tcBorders>
              <w:top w:val="nil"/>
              <w:left w:val="single" w:sz="4" w:space="0" w:color="1072BD"/>
              <w:bottom w:val="nil"/>
              <w:right w:val="single" w:sz="4" w:space="0" w:color="1072BD"/>
            </w:tcBorders>
          </w:tcPr>
          <w:p w14:paraId="0B1D81E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5A843C5F" w14:textId="77777777" w:rsidTr="00242093">
        <w:trPr>
          <w:trHeight w:val="399"/>
        </w:trPr>
        <w:tc>
          <w:tcPr>
            <w:tcW w:w="9033" w:type="dxa"/>
            <w:gridSpan w:val="7"/>
            <w:tcBorders>
              <w:top w:val="nil"/>
              <w:left w:val="single" w:sz="4" w:space="0" w:color="1072BD"/>
              <w:bottom w:val="nil"/>
              <w:right w:val="single" w:sz="4" w:space="0" w:color="1072BD"/>
            </w:tcBorders>
          </w:tcPr>
          <w:p w14:paraId="33D0561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73849820" w14:textId="77777777" w:rsidTr="00242093">
        <w:trPr>
          <w:trHeight w:val="201"/>
        </w:trPr>
        <w:tc>
          <w:tcPr>
            <w:tcW w:w="9033" w:type="dxa"/>
            <w:gridSpan w:val="7"/>
            <w:tcBorders>
              <w:top w:val="nil"/>
              <w:left w:val="single" w:sz="4" w:space="0" w:color="1072BD"/>
              <w:bottom w:val="single" w:sz="4" w:space="0" w:color="1072BD"/>
              <w:right w:val="single" w:sz="4" w:space="0" w:color="1072BD"/>
            </w:tcBorders>
          </w:tcPr>
          <w:p w14:paraId="1E0CFE4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40CD00C1" w14:textId="77777777" w:rsidR="001F600C" w:rsidRPr="00285D58" w:rsidRDefault="001F600C" w:rsidP="008D1FFF">
      <w:pPr>
        <w:spacing w:line="276" w:lineRule="auto"/>
        <w:jc w:val="both"/>
        <w:rPr>
          <w:rFonts w:asciiTheme="minorHAnsi" w:eastAsia="Calibri" w:hAnsiTheme="minorHAnsi" w:cstheme="minorHAnsi"/>
        </w:rPr>
      </w:pPr>
    </w:p>
    <w:p w14:paraId="13A2D325" w14:textId="77777777" w:rsidR="001F600C" w:rsidRPr="00285D58" w:rsidRDefault="001F600C" w:rsidP="008D1FFF">
      <w:pPr>
        <w:spacing w:line="276" w:lineRule="auto"/>
        <w:jc w:val="both"/>
        <w:rPr>
          <w:rFonts w:asciiTheme="minorHAnsi" w:eastAsia="Calibri" w:hAnsiTheme="minorHAnsi" w:cstheme="minorHAnsi"/>
        </w:rPr>
      </w:pPr>
    </w:p>
    <w:p w14:paraId="323BEA36" w14:textId="51F396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hAnsiTheme="minorHAnsi" w:cstheme="minorHAnsi"/>
        </w:rPr>
        <w:br w:type="page"/>
      </w:r>
      <w:r w:rsidRPr="00285D58">
        <w:rPr>
          <w:rFonts w:asciiTheme="minorHAnsi" w:eastAsia="Calibri" w:hAnsiTheme="minorHAnsi" w:cstheme="minorHAnsi"/>
        </w:rPr>
        <w:lastRenderedPageBreak/>
        <w:t>Figura N°</w:t>
      </w:r>
      <w:r w:rsidR="00FD3E9C" w:rsidRPr="00285D58">
        <w:rPr>
          <w:rFonts w:asciiTheme="minorHAnsi" w:eastAsia="Calibri" w:hAnsiTheme="minorHAnsi" w:cstheme="minorHAnsi"/>
        </w:rPr>
        <w:t xml:space="preserve"> </w:t>
      </w:r>
      <w:r w:rsidRPr="00285D58">
        <w:rPr>
          <w:rFonts w:asciiTheme="minorHAnsi" w:eastAsia="Calibri" w:hAnsiTheme="minorHAnsi" w:cstheme="minorHAnsi"/>
        </w:rPr>
        <w:t>36: Plano de distribución de Estación de Salida San Juan</w:t>
      </w:r>
    </w:p>
    <w:p w14:paraId="3F94DD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1144A34" wp14:editId="626F9CAF">
            <wp:extent cx="5724525" cy="5381625"/>
            <wp:effectExtent l="0" t="0" r="0" b="0"/>
            <wp:docPr id="2133617422" name="image65.jpg" descr="../../../../Desktop/ES_%20ESTACIONES%20TELEFÉRICO/ES-20%20Estación%20Salida%20Maiz"/>
            <wp:cNvGraphicFramePr/>
            <a:graphic xmlns:a="http://schemas.openxmlformats.org/drawingml/2006/main">
              <a:graphicData uri="http://schemas.openxmlformats.org/drawingml/2006/picture">
                <pic:pic xmlns:pic="http://schemas.openxmlformats.org/drawingml/2006/picture">
                  <pic:nvPicPr>
                    <pic:cNvPr id="0" name="image65.jpg" descr="../../../../Desktop/ES_%20ESTACIONES%20TELEFÉRICO/ES-20%20Estación%20Salida%20Maiz"/>
                    <pic:cNvPicPr preferRelativeResize="0"/>
                  </pic:nvPicPr>
                  <pic:blipFill>
                    <a:blip r:embed="rId104"/>
                    <a:srcRect/>
                    <a:stretch>
                      <a:fillRect/>
                    </a:stretch>
                  </pic:blipFill>
                  <pic:spPr>
                    <a:xfrm>
                      <a:off x="0" y="0"/>
                      <a:ext cx="5724525" cy="5381625"/>
                    </a:xfrm>
                    <a:prstGeom prst="rect">
                      <a:avLst/>
                    </a:prstGeom>
                    <a:ln/>
                  </pic:spPr>
                </pic:pic>
              </a:graphicData>
            </a:graphic>
          </wp:inline>
        </w:drawing>
      </w:r>
    </w:p>
    <w:p w14:paraId="4CF127D8" w14:textId="77777777" w:rsidR="001F600C" w:rsidRPr="00285D58" w:rsidRDefault="001F600C" w:rsidP="008D1FFF">
      <w:pPr>
        <w:spacing w:line="276" w:lineRule="auto"/>
        <w:jc w:val="center"/>
        <w:rPr>
          <w:rFonts w:asciiTheme="minorHAnsi" w:eastAsia="Calibri" w:hAnsiTheme="minorHAnsi" w:cstheme="minorHAnsi"/>
        </w:rPr>
      </w:pPr>
    </w:p>
    <w:p w14:paraId="5A92676D" w14:textId="08D82245"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3D96B842" w14:textId="77777777" w:rsidR="001F600C" w:rsidRPr="00285D58" w:rsidRDefault="001F600C" w:rsidP="008D1FFF">
      <w:pPr>
        <w:spacing w:line="276" w:lineRule="auto"/>
        <w:jc w:val="both"/>
        <w:rPr>
          <w:rFonts w:asciiTheme="minorHAnsi" w:eastAsia="Calibri" w:hAnsiTheme="minorHAnsi" w:cstheme="minorHAnsi"/>
        </w:rPr>
      </w:pPr>
    </w:p>
    <w:p w14:paraId="5A2798E3" w14:textId="77777777" w:rsidR="001F600C" w:rsidRPr="00285D58" w:rsidRDefault="001F600C" w:rsidP="008D1FFF">
      <w:pPr>
        <w:spacing w:line="276" w:lineRule="auto"/>
        <w:jc w:val="both"/>
        <w:rPr>
          <w:rFonts w:asciiTheme="minorHAnsi" w:eastAsia="Calibri" w:hAnsiTheme="minorHAnsi" w:cstheme="minorHAnsi"/>
        </w:rPr>
      </w:pPr>
    </w:p>
    <w:p w14:paraId="3C211F4C" w14:textId="77777777" w:rsidR="001F600C" w:rsidRPr="00285D58" w:rsidRDefault="001F600C" w:rsidP="008D1FFF">
      <w:pPr>
        <w:spacing w:line="276" w:lineRule="auto"/>
        <w:jc w:val="both"/>
        <w:rPr>
          <w:rFonts w:asciiTheme="minorHAnsi" w:eastAsia="Calibri" w:hAnsiTheme="minorHAnsi" w:cstheme="minorHAnsi"/>
        </w:rPr>
      </w:pPr>
    </w:p>
    <w:p w14:paraId="5DBA707D" w14:textId="77777777" w:rsidR="001F600C" w:rsidRPr="00285D58" w:rsidRDefault="001F600C" w:rsidP="008D1FFF">
      <w:pPr>
        <w:spacing w:line="276" w:lineRule="auto"/>
        <w:jc w:val="both"/>
        <w:rPr>
          <w:rFonts w:asciiTheme="minorHAnsi" w:eastAsia="Calibri" w:hAnsiTheme="minorHAnsi" w:cstheme="minorHAnsi"/>
        </w:rPr>
      </w:pPr>
    </w:p>
    <w:p w14:paraId="547A48FF" w14:textId="77777777" w:rsidR="001F600C" w:rsidRPr="00285D58" w:rsidRDefault="001F600C" w:rsidP="008D1FFF">
      <w:pPr>
        <w:spacing w:line="276" w:lineRule="auto"/>
        <w:jc w:val="both"/>
        <w:rPr>
          <w:rFonts w:asciiTheme="minorHAnsi" w:eastAsia="Calibri" w:hAnsiTheme="minorHAnsi" w:cstheme="minorHAnsi"/>
        </w:rPr>
      </w:pPr>
    </w:p>
    <w:p w14:paraId="724F3374" w14:textId="77777777" w:rsidR="001F600C" w:rsidRPr="00285D58" w:rsidRDefault="001F600C" w:rsidP="008D1FFF">
      <w:pPr>
        <w:spacing w:line="276" w:lineRule="auto"/>
        <w:jc w:val="both"/>
        <w:rPr>
          <w:rFonts w:asciiTheme="minorHAnsi" w:eastAsia="Calibri" w:hAnsiTheme="minorHAnsi" w:cstheme="minorHAnsi"/>
        </w:rPr>
      </w:pPr>
    </w:p>
    <w:p w14:paraId="6375DAA8" w14:textId="77777777" w:rsidR="001F600C" w:rsidRPr="00285D58" w:rsidRDefault="001F600C" w:rsidP="008D1FFF">
      <w:pPr>
        <w:spacing w:line="276" w:lineRule="auto"/>
        <w:jc w:val="both"/>
        <w:rPr>
          <w:rFonts w:asciiTheme="minorHAnsi" w:eastAsia="Calibri" w:hAnsiTheme="minorHAnsi" w:cstheme="minorHAnsi"/>
        </w:rPr>
      </w:pPr>
    </w:p>
    <w:p w14:paraId="3B524010" w14:textId="77777777" w:rsidR="001F600C" w:rsidRPr="00285D58" w:rsidRDefault="001F600C" w:rsidP="008D1FFF">
      <w:pPr>
        <w:spacing w:line="276" w:lineRule="auto"/>
        <w:jc w:val="both"/>
        <w:rPr>
          <w:rFonts w:asciiTheme="minorHAnsi" w:eastAsia="Calibri" w:hAnsiTheme="minorHAnsi" w:cstheme="minorHAnsi"/>
        </w:rPr>
      </w:pPr>
    </w:p>
    <w:p w14:paraId="5D708844" w14:textId="77777777" w:rsidR="001F600C" w:rsidRPr="00285D58" w:rsidRDefault="001F600C" w:rsidP="008D1FFF">
      <w:pPr>
        <w:spacing w:line="276" w:lineRule="auto"/>
        <w:jc w:val="both"/>
        <w:rPr>
          <w:rFonts w:asciiTheme="minorHAnsi" w:eastAsia="Calibri" w:hAnsiTheme="minorHAnsi" w:cstheme="minorHAnsi"/>
        </w:rPr>
      </w:pPr>
    </w:p>
    <w:p w14:paraId="41288C78" w14:textId="77777777" w:rsidR="001F600C" w:rsidRPr="00285D58" w:rsidRDefault="001F600C" w:rsidP="008D1FFF">
      <w:pPr>
        <w:spacing w:line="276" w:lineRule="auto"/>
        <w:jc w:val="both"/>
        <w:rPr>
          <w:rFonts w:asciiTheme="minorHAnsi" w:eastAsia="Calibri" w:hAnsiTheme="minorHAnsi" w:cstheme="minorHAnsi"/>
        </w:rPr>
      </w:pPr>
    </w:p>
    <w:p w14:paraId="4BA1A36C" w14:textId="77777777" w:rsidR="001F600C" w:rsidRPr="00285D58" w:rsidRDefault="001F600C" w:rsidP="008D1FFF">
      <w:pPr>
        <w:spacing w:line="276" w:lineRule="auto"/>
        <w:jc w:val="both"/>
        <w:rPr>
          <w:rFonts w:asciiTheme="minorHAnsi" w:eastAsia="Calibri" w:hAnsiTheme="minorHAnsi" w:cstheme="minorHAnsi"/>
        </w:rPr>
      </w:pPr>
    </w:p>
    <w:p w14:paraId="1307392F" w14:textId="77777777" w:rsidR="001F600C" w:rsidRPr="00285D58" w:rsidRDefault="001F600C" w:rsidP="008D1FFF">
      <w:pPr>
        <w:spacing w:line="276" w:lineRule="auto"/>
        <w:jc w:val="both"/>
        <w:rPr>
          <w:rFonts w:asciiTheme="minorHAnsi" w:eastAsia="Calibri" w:hAnsiTheme="minorHAnsi" w:cstheme="minorHAnsi"/>
        </w:rPr>
      </w:pPr>
    </w:p>
    <w:p w14:paraId="1729767A" w14:textId="77777777" w:rsidR="001F600C" w:rsidRPr="00285D58" w:rsidRDefault="001F600C" w:rsidP="008D1FFF">
      <w:pPr>
        <w:spacing w:line="276" w:lineRule="auto"/>
        <w:jc w:val="both"/>
        <w:rPr>
          <w:rFonts w:asciiTheme="minorHAnsi" w:eastAsia="Calibri" w:hAnsiTheme="minorHAnsi" w:cstheme="minorHAnsi"/>
        </w:rPr>
      </w:pPr>
    </w:p>
    <w:p w14:paraId="0619DD44" w14:textId="3DE8C4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N°37: Plano de elevación de Estación de Salida San Juan</w:t>
      </w:r>
    </w:p>
    <w:p w14:paraId="294A2F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6EDABFB6" wp14:editId="27073490">
            <wp:extent cx="5276850" cy="3676650"/>
            <wp:effectExtent l="0" t="0" r="0" b="0"/>
            <wp:docPr id="2133617423" name="image67.jpg" descr="../../../../Desktop/ES_%20ESTACIONES%20TELEFÉRICO/ES-24%20Estación%20Salida%20Maiz"/>
            <wp:cNvGraphicFramePr/>
            <a:graphic xmlns:a="http://schemas.openxmlformats.org/drawingml/2006/main">
              <a:graphicData uri="http://schemas.openxmlformats.org/drawingml/2006/picture">
                <pic:pic xmlns:pic="http://schemas.openxmlformats.org/drawingml/2006/picture">
                  <pic:nvPicPr>
                    <pic:cNvPr id="0" name="image67.jpg" descr="../../../../Desktop/ES_%20ESTACIONES%20TELEFÉRICO/ES-24%20Estación%20Salida%20Maiz"/>
                    <pic:cNvPicPr preferRelativeResize="0"/>
                  </pic:nvPicPr>
                  <pic:blipFill>
                    <a:blip r:embed="rId105"/>
                    <a:srcRect/>
                    <a:stretch>
                      <a:fillRect/>
                    </a:stretch>
                  </pic:blipFill>
                  <pic:spPr>
                    <a:xfrm>
                      <a:off x="0" y="0"/>
                      <a:ext cx="5276850" cy="3676650"/>
                    </a:xfrm>
                    <a:prstGeom prst="rect">
                      <a:avLst/>
                    </a:prstGeom>
                    <a:ln/>
                  </pic:spPr>
                </pic:pic>
              </a:graphicData>
            </a:graphic>
          </wp:inline>
        </w:drawing>
      </w:r>
    </w:p>
    <w:p w14:paraId="1E01ABE5" w14:textId="77777777" w:rsidR="001F600C" w:rsidRPr="00285D58" w:rsidRDefault="001F600C" w:rsidP="008D1FFF">
      <w:pPr>
        <w:spacing w:line="276" w:lineRule="auto"/>
        <w:jc w:val="both"/>
        <w:rPr>
          <w:rFonts w:asciiTheme="minorHAnsi" w:eastAsia="Calibri" w:hAnsiTheme="minorHAnsi" w:cstheme="minorHAnsi"/>
        </w:rPr>
      </w:pPr>
    </w:p>
    <w:p w14:paraId="412C270A" w14:textId="77777777" w:rsidR="001F600C" w:rsidRPr="00285D58" w:rsidRDefault="001F600C" w:rsidP="008D1FFF">
      <w:pPr>
        <w:spacing w:line="276" w:lineRule="auto"/>
        <w:jc w:val="both"/>
        <w:rPr>
          <w:rFonts w:asciiTheme="minorHAnsi" w:eastAsia="Calibri" w:hAnsiTheme="minorHAnsi" w:cstheme="minorHAnsi"/>
        </w:rPr>
      </w:pPr>
    </w:p>
    <w:p w14:paraId="55E282F9" w14:textId="1B89CA47"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34</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DE SALIDA KIUÑALLA</w:t>
      </w:r>
    </w:p>
    <w:tbl>
      <w:tblPr>
        <w:tblW w:w="9028" w:type="dxa"/>
        <w:tblLayout w:type="fixed"/>
        <w:tblLook w:val="0400" w:firstRow="0" w:lastRow="0" w:firstColumn="0" w:lastColumn="0" w:noHBand="0" w:noVBand="1"/>
      </w:tblPr>
      <w:tblGrid>
        <w:gridCol w:w="1376"/>
        <w:gridCol w:w="661"/>
        <w:gridCol w:w="1983"/>
        <w:gridCol w:w="795"/>
        <w:gridCol w:w="604"/>
        <w:gridCol w:w="2231"/>
        <w:gridCol w:w="1378"/>
      </w:tblGrid>
      <w:tr w:rsidR="001F600C" w:rsidRPr="00285D58" w14:paraId="16429F11"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6DC76A3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ES02 – ESTACIÓN DE SALIDA KIUÑALLA</w:t>
            </w:r>
          </w:p>
        </w:tc>
      </w:tr>
      <w:tr w:rsidR="001F600C" w:rsidRPr="00285D58" w14:paraId="2F51EBAD" w14:textId="77777777" w:rsidTr="00242093">
        <w:trPr>
          <w:trHeight w:val="399"/>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14DD15F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1" w:type="dxa"/>
            <w:tcBorders>
              <w:top w:val="nil"/>
              <w:left w:val="nil"/>
              <w:bottom w:val="single" w:sz="4" w:space="0" w:color="1072BD"/>
              <w:right w:val="single" w:sz="4" w:space="0" w:color="1072BD"/>
            </w:tcBorders>
            <w:shd w:val="clear" w:color="auto" w:fill="E7E6E6" w:themeFill="background2"/>
          </w:tcPr>
          <w:p w14:paraId="00A130F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1983" w:type="dxa"/>
            <w:tcBorders>
              <w:top w:val="nil"/>
              <w:left w:val="nil"/>
              <w:bottom w:val="single" w:sz="4" w:space="0" w:color="1072BD"/>
              <w:right w:val="single" w:sz="4" w:space="0" w:color="1072BD"/>
            </w:tcBorders>
            <w:shd w:val="clear" w:color="auto" w:fill="E7E6E6" w:themeFill="background2"/>
          </w:tcPr>
          <w:p w14:paraId="42E0A4C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795" w:type="dxa"/>
            <w:tcBorders>
              <w:top w:val="nil"/>
              <w:left w:val="nil"/>
              <w:bottom w:val="single" w:sz="4" w:space="0" w:color="1072BD"/>
              <w:right w:val="single" w:sz="4" w:space="0" w:color="1072BD"/>
            </w:tcBorders>
            <w:shd w:val="clear" w:color="auto" w:fill="E7E6E6" w:themeFill="background2"/>
          </w:tcPr>
          <w:p w14:paraId="3F1E952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835" w:type="dxa"/>
            <w:gridSpan w:val="2"/>
            <w:tcBorders>
              <w:top w:val="single" w:sz="4" w:space="0" w:color="1072BD"/>
              <w:left w:val="nil"/>
              <w:bottom w:val="single" w:sz="4" w:space="0" w:color="1072BD"/>
              <w:right w:val="single" w:sz="4" w:space="0" w:color="1072BD"/>
            </w:tcBorders>
            <w:shd w:val="clear" w:color="auto" w:fill="E7E6E6" w:themeFill="background2"/>
          </w:tcPr>
          <w:p w14:paraId="134DC2B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378" w:type="dxa"/>
            <w:tcBorders>
              <w:top w:val="nil"/>
              <w:left w:val="nil"/>
              <w:bottom w:val="single" w:sz="4" w:space="0" w:color="1072BD"/>
              <w:right w:val="single" w:sz="4" w:space="0" w:color="1072BD"/>
            </w:tcBorders>
            <w:shd w:val="clear" w:color="auto" w:fill="E7E6E6" w:themeFill="background2"/>
          </w:tcPr>
          <w:p w14:paraId="293347B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748B5C57" w14:textId="77777777" w:rsidTr="00242093">
        <w:trPr>
          <w:trHeight w:val="240"/>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74CB234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644" w:type="dxa"/>
            <w:gridSpan w:val="2"/>
            <w:tcBorders>
              <w:top w:val="single" w:sz="4" w:space="0" w:color="1072BD"/>
              <w:left w:val="nil"/>
              <w:bottom w:val="single" w:sz="4" w:space="0" w:color="1072BD"/>
              <w:right w:val="single" w:sz="4" w:space="0" w:color="1072BD"/>
            </w:tcBorders>
            <w:shd w:val="clear" w:color="auto" w:fill="E7E6E6" w:themeFill="background2"/>
          </w:tcPr>
          <w:p w14:paraId="3015A6C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single" w:sz="4" w:space="0" w:color="1072BD"/>
              <w:right w:val="single" w:sz="4" w:space="0" w:color="1072BD"/>
            </w:tcBorders>
            <w:shd w:val="clear" w:color="auto" w:fill="E7E6E6" w:themeFill="background2"/>
          </w:tcPr>
          <w:p w14:paraId="49AAD7B6"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208</w:t>
            </w:r>
          </w:p>
        </w:tc>
        <w:tc>
          <w:tcPr>
            <w:tcW w:w="2835" w:type="dxa"/>
            <w:gridSpan w:val="2"/>
            <w:tcBorders>
              <w:top w:val="single" w:sz="4" w:space="0" w:color="1072BD"/>
              <w:left w:val="nil"/>
              <w:bottom w:val="nil"/>
              <w:right w:val="single" w:sz="4" w:space="0" w:color="1072BD"/>
            </w:tcBorders>
            <w:shd w:val="clear" w:color="auto" w:fill="E7E6E6" w:themeFill="background2"/>
          </w:tcPr>
          <w:p w14:paraId="3A22314B"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4CC9CB5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2213.57 m2</w:t>
            </w:r>
          </w:p>
        </w:tc>
      </w:tr>
      <w:tr w:rsidR="001F600C" w:rsidRPr="00285D58" w14:paraId="1150EEB1"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216260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1" w:type="dxa"/>
            <w:tcBorders>
              <w:top w:val="nil"/>
              <w:left w:val="nil"/>
              <w:bottom w:val="single" w:sz="4" w:space="0" w:color="1072BD"/>
              <w:right w:val="single" w:sz="4" w:space="0" w:color="1072BD"/>
            </w:tcBorders>
          </w:tcPr>
          <w:p w14:paraId="56127D3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1E599E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795" w:type="dxa"/>
            <w:tcBorders>
              <w:top w:val="nil"/>
              <w:left w:val="nil"/>
              <w:bottom w:val="single" w:sz="4" w:space="0" w:color="1072BD"/>
              <w:right w:val="nil"/>
            </w:tcBorders>
          </w:tcPr>
          <w:p w14:paraId="6F2C702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604" w:type="dxa"/>
            <w:tcBorders>
              <w:top w:val="single" w:sz="4" w:space="0" w:color="1072BD"/>
              <w:left w:val="single" w:sz="4" w:space="0" w:color="1072BD"/>
              <w:bottom w:val="single" w:sz="4" w:space="0" w:color="1072BD"/>
              <w:right w:val="nil"/>
            </w:tcBorders>
          </w:tcPr>
          <w:p w14:paraId="16D6CB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2231" w:type="dxa"/>
            <w:tcBorders>
              <w:top w:val="single" w:sz="4" w:space="0" w:color="1072BD"/>
              <w:left w:val="nil"/>
              <w:bottom w:val="single" w:sz="4" w:space="0" w:color="1072BD"/>
              <w:right w:val="single" w:sz="4" w:space="0" w:color="1072BD"/>
            </w:tcBorders>
          </w:tcPr>
          <w:p w14:paraId="494E9B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67C1CF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16.53 m2</w:t>
            </w:r>
          </w:p>
        </w:tc>
      </w:tr>
      <w:tr w:rsidR="001F600C" w:rsidRPr="00285D58" w14:paraId="3A641016"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8E1AAC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4609F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9D8C47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Comedor administrativo</w:t>
            </w:r>
          </w:p>
        </w:tc>
        <w:tc>
          <w:tcPr>
            <w:tcW w:w="795" w:type="dxa"/>
            <w:tcBorders>
              <w:top w:val="nil"/>
              <w:left w:val="nil"/>
              <w:bottom w:val="single" w:sz="4" w:space="0" w:color="1072BD"/>
              <w:right w:val="nil"/>
            </w:tcBorders>
          </w:tcPr>
          <w:p w14:paraId="0BF524E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w:t>
            </w:r>
          </w:p>
        </w:tc>
        <w:tc>
          <w:tcPr>
            <w:tcW w:w="604" w:type="dxa"/>
            <w:tcBorders>
              <w:top w:val="nil"/>
              <w:left w:val="single" w:sz="4" w:space="0" w:color="1072BD"/>
              <w:bottom w:val="single" w:sz="4" w:space="0" w:color="1072BD"/>
              <w:right w:val="nil"/>
            </w:tcBorders>
          </w:tcPr>
          <w:p w14:paraId="569583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40E3316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66EA02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11.32 m2</w:t>
            </w:r>
          </w:p>
        </w:tc>
      </w:tr>
      <w:tr w:rsidR="001F600C" w:rsidRPr="00285D58" w14:paraId="5F58030F"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BC9EB7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C5C0FE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2DABD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795" w:type="dxa"/>
            <w:tcBorders>
              <w:top w:val="nil"/>
              <w:left w:val="nil"/>
              <w:bottom w:val="single" w:sz="4" w:space="0" w:color="1072BD"/>
              <w:right w:val="nil"/>
            </w:tcBorders>
          </w:tcPr>
          <w:p w14:paraId="4C993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2C8D7B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231" w:type="dxa"/>
            <w:tcBorders>
              <w:top w:val="nil"/>
              <w:left w:val="nil"/>
              <w:bottom w:val="single" w:sz="4" w:space="0" w:color="1072BD"/>
              <w:right w:val="single" w:sz="4" w:space="0" w:color="1072BD"/>
            </w:tcBorders>
          </w:tcPr>
          <w:p w14:paraId="4ACC2FD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378" w:type="dxa"/>
            <w:tcBorders>
              <w:top w:val="nil"/>
              <w:left w:val="nil"/>
              <w:bottom w:val="single" w:sz="4" w:space="0" w:color="1072BD"/>
              <w:right w:val="single" w:sz="4" w:space="0" w:color="1072BD"/>
            </w:tcBorders>
          </w:tcPr>
          <w:p w14:paraId="16553ED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6.99 m2</w:t>
            </w:r>
          </w:p>
        </w:tc>
      </w:tr>
      <w:tr w:rsidR="001F600C" w:rsidRPr="00285D58" w14:paraId="2D12A327"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4E7A518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5979F2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64C0C06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 de Basura</w:t>
            </w:r>
          </w:p>
        </w:tc>
        <w:tc>
          <w:tcPr>
            <w:tcW w:w="795" w:type="dxa"/>
            <w:tcBorders>
              <w:top w:val="nil"/>
              <w:left w:val="nil"/>
              <w:bottom w:val="single" w:sz="4" w:space="0" w:color="1072BD"/>
              <w:right w:val="nil"/>
            </w:tcBorders>
          </w:tcPr>
          <w:p w14:paraId="51A3171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8B908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D990B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36D243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10.07 m2</w:t>
            </w:r>
          </w:p>
        </w:tc>
      </w:tr>
      <w:tr w:rsidR="001F600C" w:rsidRPr="00285D58" w14:paraId="64BEE7E8"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3F09D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1" w:type="dxa"/>
            <w:tcBorders>
              <w:top w:val="nil"/>
              <w:left w:val="nil"/>
              <w:bottom w:val="single" w:sz="4" w:space="0" w:color="1072BD"/>
              <w:right w:val="single" w:sz="4" w:space="0" w:color="1072BD"/>
            </w:tcBorders>
          </w:tcPr>
          <w:p w14:paraId="773786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2823B4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795" w:type="dxa"/>
            <w:tcBorders>
              <w:top w:val="nil"/>
              <w:left w:val="nil"/>
              <w:bottom w:val="single" w:sz="4" w:space="0" w:color="1072BD"/>
              <w:right w:val="nil"/>
            </w:tcBorders>
          </w:tcPr>
          <w:p w14:paraId="7CDE121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604" w:type="dxa"/>
            <w:tcBorders>
              <w:top w:val="nil"/>
              <w:left w:val="single" w:sz="4" w:space="0" w:color="1072BD"/>
              <w:bottom w:val="single" w:sz="4" w:space="0" w:color="1072BD"/>
              <w:right w:val="nil"/>
            </w:tcBorders>
          </w:tcPr>
          <w:p w14:paraId="6E6909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4E8DD6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325E3F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10.10 m2</w:t>
            </w:r>
          </w:p>
        </w:tc>
      </w:tr>
      <w:tr w:rsidR="001F600C" w:rsidRPr="00285D58" w14:paraId="527822DC"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0AD3915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17C6D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4D8999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795" w:type="dxa"/>
            <w:tcBorders>
              <w:top w:val="nil"/>
              <w:left w:val="nil"/>
              <w:bottom w:val="single" w:sz="4" w:space="0" w:color="1072BD"/>
              <w:right w:val="nil"/>
            </w:tcBorders>
          </w:tcPr>
          <w:p w14:paraId="32C697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07B224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582DD44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71367D7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19.04 m2</w:t>
            </w:r>
          </w:p>
        </w:tc>
      </w:tr>
      <w:tr w:rsidR="001F600C" w:rsidRPr="00285D58" w14:paraId="2B74078E"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5DE29A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6F12D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3D5D4B0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795" w:type="dxa"/>
            <w:tcBorders>
              <w:top w:val="nil"/>
              <w:left w:val="nil"/>
              <w:bottom w:val="single" w:sz="4" w:space="0" w:color="1072BD"/>
              <w:right w:val="nil"/>
            </w:tcBorders>
          </w:tcPr>
          <w:p w14:paraId="3F14A8B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699EF9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2A885B2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4C1DB9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14.63 m2</w:t>
            </w:r>
          </w:p>
        </w:tc>
      </w:tr>
      <w:tr w:rsidR="001F600C" w:rsidRPr="00285D58" w14:paraId="57256DB4"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D52AFB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82C1D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1F779A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Almacén</w:t>
            </w:r>
          </w:p>
        </w:tc>
        <w:tc>
          <w:tcPr>
            <w:tcW w:w="795" w:type="dxa"/>
            <w:tcBorders>
              <w:top w:val="nil"/>
              <w:left w:val="nil"/>
              <w:bottom w:val="single" w:sz="4" w:space="0" w:color="1072BD"/>
              <w:right w:val="nil"/>
            </w:tcBorders>
          </w:tcPr>
          <w:p w14:paraId="4A748A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3F7F2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A2F21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D3075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 m2</w:t>
            </w:r>
          </w:p>
        </w:tc>
      </w:tr>
      <w:tr w:rsidR="001F600C" w:rsidRPr="00285D58" w14:paraId="0F08DD95"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51EE7FD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5AC033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730475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795" w:type="dxa"/>
            <w:tcBorders>
              <w:top w:val="nil"/>
              <w:left w:val="nil"/>
              <w:bottom w:val="single" w:sz="4" w:space="0" w:color="1072BD"/>
              <w:right w:val="nil"/>
            </w:tcBorders>
          </w:tcPr>
          <w:p w14:paraId="0D1E85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6702D2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2231" w:type="dxa"/>
            <w:tcBorders>
              <w:top w:val="nil"/>
              <w:left w:val="nil"/>
              <w:bottom w:val="single" w:sz="4" w:space="0" w:color="1072BD"/>
              <w:right w:val="single" w:sz="4" w:space="0" w:color="1072BD"/>
            </w:tcBorders>
          </w:tcPr>
          <w:p w14:paraId="7259B4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378" w:type="dxa"/>
            <w:tcBorders>
              <w:top w:val="nil"/>
              <w:left w:val="nil"/>
              <w:bottom w:val="single" w:sz="4" w:space="0" w:color="1072BD"/>
              <w:right w:val="single" w:sz="4" w:space="0" w:color="1072BD"/>
            </w:tcBorders>
          </w:tcPr>
          <w:p w14:paraId="767C06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4.80 m2</w:t>
            </w:r>
          </w:p>
        </w:tc>
      </w:tr>
      <w:tr w:rsidR="001F600C" w:rsidRPr="00285D58" w14:paraId="6A658A33"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62295B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Área de </w:t>
            </w:r>
            <w:r w:rsidRPr="00285D58">
              <w:rPr>
                <w:rFonts w:asciiTheme="minorHAnsi" w:eastAsia="Calibri" w:hAnsiTheme="minorHAnsi" w:cstheme="minorHAnsi"/>
                <w:sz w:val="18"/>
                <w:szCs w:val="18"/>
              </w:rPr>
              <w:lastRenderedPageBreak/>
              <w:t>maquinas</w:t>
            </w:r>
          </w:p>
        </w:tc>
        <w:tc>
          <w:tcPr>
            <w:tcW w:w="661" w:type="dxa"/>
            <w:tcBorders>
              <w:top w:val="nil"/>
              <w:left w:val="nil"/>
              <w:bottom w:val="single" w:sz="4" w:space="0" w:color="1072BD"/>
              <w:right w:val="single" w:sz="4" w:space="0" w:color="1072BD"/>
            </w:tcBorders>
          </w:tcPr>
          <w:p w14:paraId="679E49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lastRenderedPageBreak/>
              <w:t>-3.00</w:t>
            </w:r>
          </w:p>
        </w:tc>
        <w:tc>
          <w:tcPr>
            <w:tcW w:w="1983" w:type="dxa"/>
            <w:tcBorders>
              <w:top w:val="nil"/>
              <w:left w:val="nil"/>
              <w:bottom w:val="single" w:sz="4" w:space="0" w:color="1072BD"/>
              <w:right w:val="single" w:sz="4" w:space="0" w:color="1072BD"/>
            </w:tcBorders>
          </w:tcPr>
          <w:p w14:paraId="3E7B02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Mantenimiento </w:t>
            </w:r>
          </w:p>
        </w:tc>
        <w:tc>
          <w:tcPr>
            <w:tcW w:w="795" w:type="dxa"/>
            <w:tcBorders>
              <w:top w:val="nil"/>
              <w:left w:val="nil"/>
              <w:bottom w:val="single" w:sz="4" w:space="0" w:color="1072BD"/>
              <w:right w:val="nil"/>
            </w:tcBorders>
          </w:tcPr>
          <w:p w14:paraId="100A636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7994F0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1E0853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7D636D5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124.40 m2</w:t>
            </w:r>
          </w:p>
        </w:tc>
      </w:tr>
      <w:tr w:rsidR="001F600C" w:rsidRPr="00285D58" w14:paraId="5621C953"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5473B55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600E3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983" w:type="dxa"/>
            <w:tcBorders>
              <w:top w:val="nil"/>
              <w:left w:val="nil"/>
              <w:bottom w:val="single" w:sz="4" w:space="0" w:color="1072BD"/>
              <w:right w:val="single" w:sz="4" w:space="0" w:color="1072BD"/>
            </w:tcBorders>
          </w:tcPr>
          <w:p w14:paraId="1B28AE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Paso de Cable</w:t>
            </w:r>
          </w:p>
        </w:tc>
        <w:tc>
          <w:tcPr>
            <w:tcW w:w="795" w:type="dxa"/>
            <w:tcBorders>
              <w:top w:val="nil"/>
              <w:left w:val="nil"/>
              <w:bottom w:val="single" w:sz="4" w:space="0" w:color="1072BD"/>
              <w:right w:val="nil"/>
            </w:tcBorders>
          </w:tcPr>
          <w:p w14:paraId="02AA86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62EE7C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2300B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83EA3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38.35 m2</w:t>
            </w:r>
          </w:p>
        </w:tc>
      </w:tr>
      <w:tr w:rsidR="001F600C" w:rsidRPr="00285D58" w14:paraId="359BC3A2"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69356624"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09C6F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4C80E8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Pasillo de Conexión</w:t>
            </w:r>
          </w:p>
        </w:tc>
        <w:tc>
          <w:tcPr>
            <w:tcW w:w="795" w:type="dxa"/>
            <w:tcBorders>
              <w:top w:val="nil"/>
              <w:left w:val="nil"/>
              <w:bottom w:val="single" w:sz="4" w:space="0" w:color="1072BD"/>
              <w:right w:val="nil"/>
            </w:tcBorders>
          </w:tcPr>
          <w:p w14:paraId="0865053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2685F31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BCB60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4380E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87.35 m2</w:t>
            </w:r>
          </w:p>
        </w:tc>
      </w:tr>
      <w:tr w:rsidR="001F600C" w:rsidRPr="00285D58" w14:paraId="172CCFF8"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33ACE17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A5159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6DDEDA5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Sala de Maquinas</w:t>
            </w:r>
          </w:p>
        </w:tc>
        <w:tc>
          <w:tcPr>
            <w:tcW w:w="795" w:type="dxa"/>
            <w:tcBorders>
              <w:top w:val="nil"/>
              <w:left w:val="nil"/>
              <w:bottom w:val="single" w:sz="4" w:space="0" w:color="1072BD"/>
              <w:right w:val="nil"/>
            </w:tcBorders>
          </w:tcPr>
          <w:p w14:paraId="196A4DD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E38E0B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71080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1F1F84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460.56 m2</w:t>
            </w:r>
          </w:p>
        </w:tc>
      </w:tr>
      <w:tr w:rsidR="001F600C" w:rsidRPr="00285D58" w14:paraId="78FA22D9"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D33202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D6567D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564C62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generadores</w:t>
            </w:r>
          </w:p>
        </w:tc>
        <w:tc>
          <w:tcPr>
            <w:tcW w:w="795" w:type="dxa"/>
            <w:tcBorders>
              <w:top w:val="nil"/>
              <w:left w:val="nil"/>
              <w:bottom w:val="single" w:sz="4" w:space="0" w:color="1072BD"/>
              <w:right w:val="nil"/>
            </w:tcBorders>
          </w:tcPr>
          <w:p w14:paraId="4B75C8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009E90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5E1FE0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07FC66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76.55 m2</w:t>
            </w:r>
          </w:p>
        </w:tc>
      </w:tr>
      <w:tr w:rsidR="001F600C" w:rsidRPr="00285D58" w14:paraId="3BFAA5AF"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F17E26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425588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6653ED0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cuadros eléctricos</w:t>
            </w:r>
          </w:p>
        </w:tc>
        <w:tc>
          <w:tcPr>
            <w:tcW w:w="795" w:type="dxa"/>
            <w:tcBorders>
              <w:top w:val="nil"/>
              <w:left w:val="nil"/>
              <w:bottom w:val="single" w:sz="4" w:space="0" w:color="1072BD"/>
              <w:right w:val="nil"/>
            </w:tcBorders>
          </w:tcPr>
          <w:p w14:paraId="3CB8B7E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573DF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1957CF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58B1E71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16.42 m2</w:t>
            </w:r>
          </w:p>
        </w:tc>
      </w:tr>
      <w:tr w:rsidR="001F600C" w:rsidRPr="00285D58" w14:paraId="0B456FA4"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9B305F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03F9857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1681F5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Local de transformadores</w:t>
            </w:r>
          </w:p>
        </w:tc>
        <w:tc>
          <w:tcPr>
            <w:tcW w:w="795" w:type="dxa"/>
            <w:tcBorders>
              <w:top w:val="nil"/>
              <w:left w:val="nil"/>
              <w:bottom w:val="single" w:sz="4" w:space="0" w:color="1072BD"/>
              <w:right w:val="nil"/>
            </w:tcBorders>
          </w:tcPr>
          <w:p w14:paraId="12BFB5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5FB339F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9C460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7DAA59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28.79 m2</w:t>
            </w:r>
          </w:p>
        </w:tc>
      </w:tr>
      <w:tr w:rsidR="001F600C" w:rsidRPr="00285D58" w14:paraId="73B8C65F"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01D894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1" w:type="dxa"/>
            <w:tcBorders>
              <w:top w:val="nil"/>
              <w:left w:val="nil"/>
              <w:bottom w:val="single" w:sz="4" w:space="0" w:color="1072BD"/>
              <w:right w:val="single" w:sz="4" w:space="0" w:color="1072BD"/>
            </w:tcBorders>
          </w:tcPr>
          <w:p w14:paraId="6CCBE6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65460F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795" w:type="dxa"/>
            <w:tcBorders>
              <w:top w:val="nil"/>
              <w:left w:val="nil"/>
              <w:bottom w:val="single" w:sz="4" w:space="0" w:color="1072BD"/>
              <w:right w:val="nil"/>
            </w:tcBorders>
          </w:tcPr>
          <w:p w14:paraId="4BD6B64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604" w:type="dxa"/>
            <w:tcBorders>
              <w:top w:val="nil"/>
              <w:left w:val="single" w:sz="4" w:space="0" w:color="1072BD"/>
              <w:bottom w:val="single" w:sz="4" w:space="0" w:color="1072BD"/>
              <w:right w:val="nil"/>
            </w:tcBorders>
          </w:tcPr>
          <w:p w14:paraId="071B9BD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231" w:type="dxa"/>
            <w:tcBorders>
              <w:top w:val="nil"/>
              <w:left w:val="nil"/>
              <w:bottom w:val="single" w:sz="4" w:space="0" w:color="1072BD"/>
              <w:right w:val="single" w:sz="4" w:space="0" w:color="1072BD"/>
            </w:tcBorders>
          </w:tcPr>
          <w:p w14:paraId="493707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5F1996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235.65 m2</w:t>
            </w:r>
          </w:p>
        </w:tc>
      </w:tr>
      <w:tr w:rsidR="001F600C" w:rsidRPr="00285D58" w14:paraId="127FEE8C"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129F121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7B84CA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3066DB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795" w:type="dxa"/>
            <w:tcBorders>
              <w:top w:val="nil"/>
              <w:left w:val="nil"/>
              <w:bottom w:val="single" w:sz="4" w:space="0" w:color="1072BD"/>
              <w:right w:val="nil"/>
            </w:tcBorders>
          </w:tcPr>
          <w:p w14:paraId="74F6CA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604" w:type="dxa"/>
            <w:tcBorders>
              <w:top w:val="nil"/>
              <w:left w:val="single" w:sz="4" w:space="0" w:color="1072BD"/>
              <w:bottom w:val="single" w:sz="4" w:space="0" w:color="1072BD"/>
              <w:right w:val="nil"/>
            </w:tcBorders>
          </w:tcPr>
          <w:p w14:paraId="3ABF66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2231" w:type="dxa"/>
            <w:tcBorders>
              <w:top w:val="nil"/>
              <w:left w:val="nil"/>
              <w:bottom w:val="single" w:sz="4" w:space="0" w:color="1072BD"/>
              <w:right w:val="single" w:sz="4" w:space="0" w:color="1072BD"/>
            </w:tcBorders>
          </w:tcPr>
          <w:p w14:paraId="5BD96A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3EE5D7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312.90 m2</w:t>
            </w:r>
          </w:p>
        </w:tc>
      </w:tr>
      <w:tr w:rsidR="001F600C" w:rsidRPr="00285D58" w14:paraId="3847C963"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50EF36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1" w:type="dxa"/>
            <w:tcBorders>
              <w:top w:val="nil"/>
              <w:left w:val="nil"/>
              <w:bottom w:val="single" w:sz="4" w:space="0" w:color="1072BD"/>
              <w:right w:val="single" w:sz="4" w:space="0" w:color="1072BD"/>
            </w:tcBorders>
          </w:tcPr>
          <w:p w14:paraId="03FB0A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50C59A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795" w:type="dxa"/>
            <w:tcBorders>
              <w:top w:val="nil"/>
              <w:left w:val="nil"/>
              <w:bottom w:val="single" w:sz="4" w:space="0" w:color="1072BD"/>
              <w:right w:val="nil"/>
            </w:tcBorders>
          </w:tcPr>
          <w:p w14:paraId="47C4615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53D6F55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788FB1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B9759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302.14 m2</w:t>
            </w:r>
          </w:p>
        </w:tc>
      </w:tr>
      <w:tr w:rsidR="001F600C" w:rsidRPr="00285D58" w14:paraId="3C949032"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3505AC5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5B143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983" w:type="dxa"/>
            <w:tcBorders>
              <w:top w:val="nil"/>
              <w:left w:val="nil"/>
              <w:bottom w:val="single" w:sz="4" w:space="0" w:color="1072BD"/>
              <w:right w:val="single" w:sz="4" w:space="0" w:color="1072BD"/>
            </w:tcBorders>
          </w:tcPr>
          <w:p w14:paraId="6C68DA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795" w:type="dxa"/>
            <w:tcBorders>
              <w:top w:val="nil"/>
              <w:left w:val="nil"/>
              <w:bottom w:val="single" w:sz="4" w:space="0" w:color="1072BD"/>
              <w:right w:val="nil"/>
            </w:tcBorders>
          </w:tcPr>
          <w:p w14:paraId="0DA54C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97CBC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614EF72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D6CA8C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159.17 m2</w:t>
            </w:r>
          </w:p>
        </w:tc>
      </w:tr>
      <w:tr w:rsidR="001F600C" w:rsidRPr="00285D58" w14:paraId="66862207"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A6CB23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26FCEE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505473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795" w:type="dxa"/>
            <w:tcBorders>
              <w:top w:val="nil"/>
              <w:left w:val="nil"/>
              <w:bottom w:val="single" w:sz="4" w:space="0" w:color="1072BD"/>
              <w:right w:val="nil"/>
            </w:tcBorders>
          </w:tcPr>
          <w:p w14:paraId="52EAE73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single" w:sz="4" w:space="0" w:color="1072BD"/>
              <w:bottom w:val="single" w:sz="4" w:space="0" w:color="1072BD"/>
              <w:right w:val="nil"/>
            </w:tcBorders>
          </w:tcPr>
          <w:p w14:paraId="18B448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5755C53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107B555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274.79 m2</w:t>
            </w:r>
          </w:p>
        </w:tc>
      </w:tr>
      <w:tr w:rsidR="001F600C" w:rsidRPr="00285D58" w14:paraId="45F7585F" w14:textId="77777777" w:rsidTr="00242093">
        <w:trPr>
          <w:trHeight w:val="240"/>
        </w:trPr>
        <w:tc>
          <w:tcPr>
            <w:tcW w:w="1376" w:type="dxa"/>
            <w:tcBorders>
              <w:top w:val="nil"/>
              <w:left w:val="single" w:sz="4" w:space="0" w:color="1072BD"/>
              <w:bottom w:val="single" w:sz="4" w:space="0" w:color="1072BD"/>
              <w:right w:val="single" w:sz="4" w:space="0" w:color="1072BD"/>
            </w:tcBorders>
            <w:shd w:val="clear" w:color="auto" w:fill="E7E6E6" w:themeFill="background2"/>
          </w:tcPr>
          <w:p w14:paraId="42D4598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644" w:type="dxa"/>
            <w:gridSpan w:val="2"/>
            <w:tcBorders>
              <w:top w:val="single" w:sz="4" w:space="0" w:color="1072BD"/>
              <w:left w:val="nil"/>
              <w:bottom w:val="single" w:sz="4" w:space="0" w:color="1072BD"/>
              <w:right w:val="single" w:sz="4" w:space="0" w:color="1072BD"/>
            </w:tcBorders>
            <w:shd w:val="clear" w:color="auto" w:fill="E7E6E6" w:themeFill="background2"/>
          </w:tcPr>
          <w:p w14:paraId="677C95D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single" w:sz="4" w:space="0" w:color="1072BD"/>
              <w:right w:val="single" w:sz="4" w:space="0" w:color="1072BD"/>
            </w:tcBorders>
            <w:shd w:val="clear" w:color="auto" w:fill="E7E6E6" w:themeFill="background2"/>
          </w:tcPr>
          <w:p w14:paraId="318C6F1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324</w:t>
            </w:r>
          </w:p>
        </w:tc>
        <w:tc>
          <w:tcPr>
            <w:tcW w:w="2835" w:type="dxa"/>
            <w:gridSpan w:val="2"/>
            <w:tcBorders>
              <w:top w:val="nil"/>
              <w:left w:val="nil"/>
              <w:bottom w:val="single" w:sz="4" w:space="0" w:color="1072BD"/>
              <w:right w:val="single" w:sz="4" w:space="0" w:color="1072BD"/>
            </w:tcBorders>
            <w:shd w:val="clear" w:color="auto" w:fill="E7E6E6" w:themeFill="background2"/>
          </w:tcPr>
          <w:p w14:paraId="738E51A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35DEF8B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1188.91 m2</w:t>
            </w:r>
          </w:p>
        </w:tc>
      </w:tr>
      <w:tr w:rsidR="001F600C" w:rsidRPr="00285D58" w14:paraId="02B318CA"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3D06059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1" w:type="dxa"/>
            <w:tcBorders>
              <w:top w:val="nil"/>
              <w:left w:val="nil"/>
              <w:bottom w:val="single" w:sz="4" w:space="0" w:color="1072BD"/>
              <w:right w:val="single" w:sz="4" w:space="0" w:color="1072BD"/>
            </w:tcBorders>
          </w:tcPr>
          <w:p w14:paraId="2B11138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4925DE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de ingreso*</w:t>
            </w:r>
          </w:p>
        </w:tc>
        <w:tc>
          <w:tcPr>
            <w:tcW w:w="795" w:type="dxa"/>
            <w:tcBorders>
              <w:top w:val="nil"/>
              <w:left w:val="nil"/>
              <w:bottom w:val="single" w:sz="4" w:space="0" w:color="1072BD"/>
              <w:right w:val="single" w:sz="4" w:space="0" w:color="1072BD"/>
            </w:tcBorders>
          </w:tcPr>
          <w:p w14:paraId="4CCF2BA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154</w:t>
            </w:r>
          </w:p>
        </w:tc>
        <w:tc>
          <w:tcPr>
            <w:tcW w:w="604" w:type="dxa"/>
            <w:tcBorders>
              <w:top w:val="nil"/>
              <w:left w:val="nil"/>
              <w:bottom w:val="single" w:sz="4" w:space="0" w:color="1072BD"/>
              <w:right w:val="nil"/>
            </w:tcBorders>
          </w:tcPr>
          <w:p w14:paraId="42C9CE0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231" w:type="dxa"/>
            <w:tcBorders>
              <w:top w:val="nil"/>
              <w:left w:val="nil"/>
              <w:bottom w:val="single" w:sz="4" w:space="0" w:color="1072BD"/>
              <w:right w:val="single" w:sz="4" w:space="0" w:color="1072BD"/>
            </w:tcBorders>
          </w:tcPr>
          <w:p w14:paraId="52F0C24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7959BC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307.06 m2</w:t>
            </w:r>
          </w:p>
        </w:tc>
      </w:tr>
      <w:tr w:rsidR="001F600C" w:rsidRPr="00285D58" w14:paraId="7866EC3D"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2BCAB4C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1A8532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02FD6E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795" w:type="dxa"/>
            <w:tcBorders>
              <w:top w:val="nil"/>
              <w:left w:val="nil"/>
              <w:bottom w:val="single" w:sz="4" w:space="0" w:color="1072BD"/>
              <w:right w:val="single" w:sz="4" w:space="0" w:color="1072BD"/>
            </w:tcBorders>
          </w:tcPr>
          <w:p w14:paraId="4F9552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170</w:t>
            </w:r>
          </w:p>
        </w:tc>
        <w:tc>
          <w:tcPr>
            <w:tcW w:w="604" w:type="dxa"/>
            <w:tcBorders>
              <w:top w:val="nil"/>
              <w:left w:val="nil"/>
              <w:bottom w:val="single" w:sz="4" w:space="0" w:color="1072BD"/>
              <w:right w:val="nil"/>
            </w:tcBorders>
          </w:tcPr>
          <w:p w14:paraId="2E93F1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2231" w:type="dxa"/>
            <w:tcBorders>
              <w:top w:val="nil"/>
              <w:left w:val="nil"/>
              <w:bottom w:val="single" w:sz="4" w:space="0" w:color="1072BD"/>
              <w:right w:val="single" w:sz="4" w:space="0" w:color="1072BD"/>
            </w:tcBorders>
          </w:tcPr>
          <w:p w14:paraId="7CB51D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4B28D4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340.37 m2</w:t>
            </w:r>
          </w:p>
        </w:tc>
      </w:tr>
      <w:tr w:rsidR="001F600C" w:rsidRPr="00285D58" w14:paraId="0A807300" w14:textId="77777777" w:rsidTr="00242093">
        <w:trPr>
          <w:trHeight w:val="227"/>
        </w:trPr>
        <w:tc>
          <w:tcPr>
            <w:tcW w:w="1376" w:type="dxa"/>
            <w:vMerge w:val="restart"/>
            <w:tcBorders>
              <w:top w:val="nil"/>
              <w:left w:val="single" w:sz="4" w:space="0" w:color="1072BD"/>
              <w:bottom w:val="single" w:sz="4" w:space="0" w:color="1072BD"/>
              <w:right w:val="single" w:sz="4" w:space="0" w:color="1072BD"/>
            </w:tcBorders>
          </w:tcPr>
          <w:p w14:paraId="1F81C9D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Buses</w:t>
            </w:r>
          </w:p>
        </w:tc>
        <w:tc>
          <w:tcPr>
            <w:tcW w:w="661" w:type="dxa"/>
            <w:tcBorders>
              <w:top w:val="nil"/>
              <w:left w:val="nil"/>
              <w:bottom w:val="single" w:sz="4" w:space="0" w:color="1072BD"/>
              <w:right w:val="single" w:sz="4" w:space="0" w:color="1072BD"/>
            </w:tcBorders>
          </w:tcPr>
          <w:p w14:paraId="5127E88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1983" w:type="dxa"/>
            <w:tcBorders>
              <w:top w:val="nil"/>
              <w:left w:val="nil"/>
              <w:bottom w:val="single" w:sz="4" w:space="0" w:color="1072BD"/>
              <w:right w:val="single" w:sz="4" w:space="0" w:color="1072BD"/>
            </w:tcBorders>
          </w:tcPr>
          <w:p w14:paraId="03109D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Anden de buses</w:t>
            </w:r>
          </w:p>
        </w:tc>
        <w:tc>
          <w:tcPr>
            <w:tcW w:w="795" w:type="dxa"/>
            <w:tcBorders>
              <w:top w:val="nil"/>
              <w:left w:val="nil"/>
              <w:bottom w:val="single" w:sz="4" w:space="0" w:color="1072BD"/>
              <w:right w:val="single" w:sz="4" w:space="0" w:color="1072BD"/>
            </w:tcBorders>
          </w:tcPr>
          <w:p w14:paraId="2F78CC2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nil"/>
              <w:bottom w:val="single" w:sz="4" w:space="0" w:color="1072BD"/>
              <w:right w:val="nil"/>
            </w:tcBorders>
          </w:tcPr>
          <w:p w14:paraId="483D4B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31" w:type="dxa"/>
            <w:tcBorders>
              <w:top w:val="nil"/>
              <w:left w:val="nil"/>
              <w:bottom w:val="single" w:sz="4" w:space="0" w:color="1072BD"/>
              <w:right w:val="single" w:sz="4" w:space="0" w:color="1072BD"/>
            </w:tcBorders>
          </w:tcPr>
          <w:p w14:paraId="7298120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espacios para buses</w:t>
            </w:r>
          </w:p>
        </w:tc>
        <w:tc>
          <w:tcPr>
            <w:tcW w:w="1378" w:type="dxa"/>
            <w:tcBorders>
              <w:top w:val="nil"/>
              <w:left w:val="nil"/>
              <w:bottom w:val="single" w:sz="4" w:space="0" w:color="1072BD"/>
              <w:right w:val="single" w:sz="4" w:space="0" w:color="1072BD"/>
            </w:tcBorders>
          </w:tcPr>
          <w:p w14:paraId="4EF790F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252.58 m2</w:t>
            </w:r>
          </w:p>
        </w:tc>
      </w:tr>
      <w:tr w:rsidR="001F600C" w:rsidRPr="00285D58" w14:paraId="5E50BB8E" w14:textId="77777777" w:rsidTr="00242093">
        <w:trPr>
          <w:trHeight w:val="227"/>
        </w:trPr>
        <w:tc>
          <w:tcPr>
            <w:tcW w:w="1376" w:type="dxa"/>
            <w:vMerge/>
            <w:tcBorders>
              <w:top w:val="nil"/>
              <w:left w:val="single" w:sz="4" w:space="0" w:color="1072BD"/>
              <w:bottom w:val="single" w:sz="4" w:space="0" w:color="1072BD"/>
              <w:right w:val="single" w:sz="4" w:space="0" w:color="1072BD"/>
            </w:tcBorders>
          </w:tcPr>
          <w:p w14:paraId="7CC88DB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1" w:type="dxa"/>
            <w:tcBorders>
              <w:top w:val="nil"/>
              <w:left w:val="nil"/>
              <w:bottom w:val="single" w:sz="4" w:space="0" w:color="1072BD"/>
              <w:right w:val="single" w:sz="4" w:space="0" w:color="1072BD"/>
            </w:tcBorders>
          </w:tcPr>
          <w:p w14:paraId="34F22AC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w:t>
            </w:r>
          </w:p>
        </w:tc>
        <w:tc>
          <w:tcPr>
            <w:tcW w:w="1983" w:type="dxa"/>
            <w:tcBorders>
              <w:top w:val="nil"/>
              <w:left w:val="nil"/>
              <w:bottom w:val="single" w:sz="4" w:space="0" w:color="1072BD"/>
              <w:right w:val="single" w:sz="4" w:space="0" w:color="1072BD"/>
            </w:tcBorders>
          </w:tcPr>
          <w:p w14:paraId="495F16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Patio de mantenimiento</w:t>
            </w:r>
          </w:p>
        </w:tc>
        <w:tc>
          <w:tcPr>
            <w:tcW w:w="795" w:type="dxa"/>
            <w:tcBorders>
              <w:top w:val="nil"/>
              <w:left w:val="nil"/>
              <w:bottom w:val="single" w:sz="4" w:space="0" w:color="1072BD"/>
              <w:right w:val="single" w:sz="4" w:space="0" w:color="1072BD"/>
            </w:tcBorders>
          </w:tcPr>
          <w:p w14:paraId="5FF453F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604" w:type="dxa"/>
            <w:tcBorders>
              <w:top w:val="nil"/>
              <w:left w:val="nil"/>
              <w:bottom w:val="single" w:sz="4" w:space="0" w:color="1072BD"/>
              <w:right w:val="nil"/>
            </w:tcBorders>
          </w:tcPr>
          <w:p w14:paraId="3B4602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2231" w:type="dxa"/>
            <w:tcBorders>
              <w:top w:val="nil"/>
              <w:left w:val="nil"/>
              <w:bottom w:val="single" w:sz="4" w:space="0" w:color="1072BD"/>
              <w:right w:val="single" w:sz="4" w:space="0" w:color="1072BD"/>
            </w:tcBorders>
          </w:tcPr>
          <w:p w14:paraId="07C86B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EC1DD3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288.90 m2</w:t>
            </w:r>
          </w:p>
        </w:tc>
      </w:tr>
      <w:tr w:rsidR="001F600C" w:rsidRPr="00285D58" w14:paraId="109A17CE" w14:textId="77777777" w:rsidTr="00242093">
        <w:trPr>
          <w:trHeight w:val="240"/>
        </w:trPr>
        <w:tc>
          <w:tcPr>
            <w:tcW w:w="1376" w:type="dxa"/>
            <w:tcBorders>
              <w:top w:val="nil"/>
              <w:left w:val="single" w:sz="4" w:space="0" w:color="1072BD"/>
              <w:bottom w:val="nil"/>
              <w:right w:val="single" w:sz="4" w:space="0" w:color="1072BD"/>
            </w:tcBorders>
            <w:shd w:val="clear" w:color="auto" w:fill="E7E6E6" w:themeFill="background2"/>
          </w:tcPr>
          <w:p w14:paraId="5A382D5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2644" w:type="dxa"/>
            <w:gridSpan w:val="2"/>
            <w:tcBorders>
              <w:top w:val="single" w:sz="4" w:space="0" w:color="1072BD"/>
              <w:left w:val="nil"/>
              <w:bottom w:val="nil"/>
              <w:right w:val="single" w:sz="4" w:space="0" w:color="1072BD"/>
            </w:tcBorders>
            <w:shd w:val="clear" w:color="auto" w:fill="E7E6E6" w:themeFill="background2"/>
          </w:tcPr>
          <w:p w14:paraId="3830855A"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795" w:type="dxa"/>
            <w:tcBorders>
              <w:top w:val="nil"/>
              <w:left w:val="nil"/>
              <w:bottom w:val="nil"/>
              <w:right w:val="single" w:sz="4" w:space="0" w:color="1072BD"/>
            </w:tcBorders>
            <w:shd w:val="clear" w:color="auto" w:fill="E7E6E6" w:themeFill="background2"/>
          </w:tcPr>
          <w:p w14:paraId="3878954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532</w:t>
            </w:r>
          </w:p>
        </w:tc>
        <w:tc>
          <w:tcPr>
            <w:tcW w:w="2835" w:type="dxa"/>
            <w:gridSpan w:val="2"/>
            <w:tcBorders>
              <w:top w:val="single" w:sz="4" w:space="0" w:color="1072BD"/>
              <w:left w:val="nil"/>
              <w:bottom w:val="nil"/>
              <w:right w:val="single" w:sz="4" w:space="0" w:color="1072BD"/>
            </w:tcBorders>
            <w:shd w:val="clear" w:color="auto" w:fill="E7E6E6" w:themeFill="background2"/>
          </w:tcPr>
          <w:p w14:paraId="0502A40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nil"/>
              <w:right w:val="single" w:sz="4" w:space="0" w:color="1072BD"/>
            </w:tcBorders>
            <w:shd w:val="clear" w:color="auto" w:fill="E7E6E6" w:themeFill="background2"/>
          </w:tcPr>
          <w:p w14:paraId="515A4F1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3402.48 m2</w:t>
            </w:r>
          </w:p>
        </w:tc>
      </w:tr>
      <w:tr w:rsidR="001F600C" w:rsidRPr="00285D58" w14:paraId="66BDE5AA"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shd w:val="clear" w:color="auto" w:fill="E7E6E6" w:themeFill="background2"/>
          </w:tcPr>
          <w:p w14:paraId="028FEE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62187868"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1E208E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50169301"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FD02B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15D76A06"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0D1265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395BEBC4" w14:textId="77777777" w:rsidTr="00242093">
        <w:trPr>
          <w:trHeight w:val="201"/>
        </w:trPr>
        <w:tc>
          <w:tcPr>
            <w:tcW w:w="9028" w:type="dxa"/>
            <w:gridSpan w:val="7"/>
            <w:tcBorders>
              <w:top w:val="nil"/>
              <w:left w:val="single" w:sz="4" w:space="0" w:color="1072BD"/>
              <w:bottom w:val="nil"/>
              <w:right w:val="single" w:sz="4" w:space="0" w:color="1072BD"/>
            </w:tcBorders>
            <w:shd w:val="clear" w:color="auto" w:fill="E7E6E6" w:themeFill="background2"/>
          </w:tcPr>
          <w:p w14:paraId="040B1C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2.5 m2 por persona para el cálculo de aforo de las plazas exteriores al edificio.</w:t>
            </w:r>
          </w:p>
        </w:tc>
      </w:tr>
      <w:tr w:rsidR="001F600C" w:rsidRPr="00285D58" w14:paraId="74F0B8EC" w14:textId="77777777" w:rsidTr="00242093">
        <w:trPr>
          <w:trHeight w:val="201"/>
        </w:trPr>
        <w:tc>
          <w:tcPr>
            <w:tcW w:w="9028" w:type="dxa"/>
            <w:gridSpan w:val="7"/>
            <w:tcBorders>
              <w:top w:val="nil"/>
              <w:left w:val="single" w:sz="4" w:space="0" w:color="1072BD"/>
              <w:bottom w:val="nil"/>
              <w:right w:val="single" w:sz="4" w:space="0" w:color="1072BD"/>
            </w:tcBorders>
            <w:shd w:val="clear" w:color="auto" w:fill="E7E6E6" w:themeFill="background2"/>
          </w:tcPr>
          <w:p w14:paraId="167080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7621DB48"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1F3196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del presente informe.</w:t>
            </w:r>
          </w:p>
        </w:tc>
      </w:tr>
      <w:tr w:rsidR="001F600C" w:rsidRPr="00285D58" w14:paraId="1ADA3FF8"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0BE63D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41D4C032" w14:textId="77777777" w:rsidR="001F600C" w:rsidRPr="00285D58" w:rsidRDefault="001F600C" w:rsidP="008D1FFF">
      <w:pPr>
        <w:spacing w:line="276" w:lineRule="auto"/>
        <w:jc w:val="both"/>
        <w:rPr>
          <w:rFonts w:asciiTheme="minorHAnsi" w:eastAsia="Calibri" w:hAnsiTheme="minorHAnsi" w:cstheme="minorHAnsi"/>
        </w:rPr>
      </w:pPr>
    </w:p>
    <w:p w14:paraId="19DE135C" w14:textId="3F1960CF"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N°38: Plano de distribución de Estación de Salida Kiuñalla</w:t>
      </w:r>
    </w:p>
    <w:p w14:paraId="559F7D70" w14:textId="4BA3B932"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7A15C0CF" wp14:editId="2F92C939">
            <wp:extent cx="5019675" cy="3743325"/>
            <wp:effectExtent l="0" t="0" r="0" b="0"/>
            <wp:docPr id="2133617424" name="image68.jpg" descr="../../../../Desktop/ES_%20ESTACIONES%20TELEFÉRICO/ES-29%20Estación%20de%20Salida%20San%20I"/>
            <wp:cNvGraphicFramePr/>
            <a:graphic xmlns:a="http://schemas.openxmlformats.org/drawingml/2006/main">
              <a:graphicData uri="http://schemas.openxmlformats.org/drawingml/2006/picture">
                <pic:pic xmlns:pic="http://schemas.openxmlformats.org/drawingml/2006/picture">
                  <pic:nvPicPr>
                    <pic:cNvPr id="0" name="image68.jpg" descr="../../../../Desktop/ES_%20ESTACIONES%20TELEFÉRICO/ES-29%20Estación%20de%20Salida%20San%20I"/>
                    <pic:cNvPicPr preferRelativeResize="0"/>
                  </pic:nvPicPr>
                  <pic:blipFill>
                    <a:blip r:embed="rId106"/>
                    <a:srcRect/>
                    <a:stretch>
                      <a:fillRect/>
                    </a:stretch>
                  </pic:blipFill>
                  <pic:spPr>
                    <a:xfrm>
                      <a:off x="0" y="0"/>
                      <a:ext cx="5019675" cy="3743325"/>
                    </a:xfrm>
                    <a:prstGeom prst="rect">
                      <a:avLst/>
                    </a:prstGeom>
                    <a:ln/>
                  </pic:spPr>
                </pic:pic>
              </a:graphicData>
            </a:graphic>
          </wp:inline>
        </w:drawing>
      </w:r>
    </w:p>
    <w:p w14:paraId="629C0F1F" w14:textId="3E71AA41"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hAnsiTheme="minorHAnsi" w:cstheme="minorHAnsi"/>
        </w:rPr>
        <w:br w:type="page"/>
      </w:r>
      <w:r w:rsidRPr="00285D58">
        <w:rPr>
          <w:rFonts w:asciiTheme="minorHAnsi" w:eastAsia="Calibri" w:hAnsiTheme="minorHAnsi" w:cstheme="minorHAnsi"/>
        </w:rPr>
        <w:lastRenderedPageBreak/>
        <w:t>Figura N°39: Plano de elevación lateral de Estación de Salida Kiuñalla</w:t>
      </w:r>
    </w:p>
    <w:p w14:paraId="17FD058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D3E6BA5" wp14:editId="4EB46DE9">
            <wp:extent cx="5715000" cy="2228850"/>
            <wp:effectExtent l="0" t="0" r="0" b="0"/>
            <wp:docPr id="2133617425" name="image69.jpg" descr="../../../../Desktop/ES_%20ESTACIONES%20TELEFÉRICO/ES-32%20Estación%20de%20Salida%20San%20I"/>
            <wp:cNvGraphicFramePr/>
            <a:graphic xmlns:a="http://schemas.openxmlformats.org/drawingml/2006/main">
              <a:graphicData uri="http://schemas.openxmlformats.org/drawingml/2006/picture">
                <pic:pic xmlns:pic="http://schemas.openxmlformats.org/drawingml/2006/picture">
                  <pic:nvPicPr>
                    <pic:cNvPr id="0" name="image69.jpg" descr="../../../../Desktop/ES_%20ESTACIONES%20TELEFÉRICO/ES-32%20Estación%20de%20Salida%20San%20I"/>
                    <pic:cNvPicPr preferRelativeResize="0"/>
                  </pic:nvPicPr>
                  <pic:blipFill>
                    <a:blip r:embed="rId107"/>
                    <a:srcRect/>
                    <a:stretch>
                      <a:fillRect/>
                    </a:stretch>
                  </pic:blipFill>
                  <pic:spPr>
                    <a:xfrm>
                      <a:off x="0" y="0"/>
                      <a:ext cx="5715000" cy="2228850"/>
                    </a:xfrm>
                    <a:prstGeom prst="rect">
                      <a:avLst/>
                    </a:prstGeom>
                    <a:ln/>
                  </pic:spPr>
                </pic:pic>
              </a:graphicData>
            </a:graphic>
          </wp:inline>
        </w:drawing>
      </w:r>
    </w:p>
    <w:p w14:paraId="60C91F9F" w14:textId="77777777" w:rsidR="001F600C" w:rsidRPr="00285D58" w:rsidRDefault="001F600C" w:rsidP="008D1FFF">
      <w:pPr>
        <w:spacing w:line="276" w:lineRule="auto"/>
        <w:jc w:val="both"/>
        <w:rPr>
          <w:rFonts w:asciiTheme="minorHAnsi" w:eastAsia="Calibri" w:hAnsiTheme="minorHAnsi" w:cstheme="minorHAnsi"/>
        </w:rPr>
      </w:pPr>
    </w:p>
    <w:p w14:paraId="1ECEF6F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4E56AA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7038507E" w14:textId="77777777" w:rsidR="001F600C" w:rsidRPr="00285D58" w:rsidRDefault="001F600C" w:rsidP="008D1FFF">
      <w:pPr>
        <w:spacing w:line="276" w:lineRule="auto"/>
        <w:ind w:left="425"/>
        <w:jc w:val="both"/>
        <w:rPr>
          <w:rFonts w:asciiTheme="minorHAnsi" w:eastAsia="Calibri" w:hAnsiTheme="minorHAnsi" w:cstheme="minorHAnsi"/>
        </w:rPr>
      </w:pPr>
    </w:p>
    <w:p w14:paraId="3B74DFD8" w14:textId="77777777" w:rsidR="001F600C" w:rsidRPr="00285D58" w:rsidRDefault="001F600C" w:rsidP="008D1FFF">
      <w:pPr>
        <w:spacing w:line="276" w:lineRule="auto"/>
        <w:ind w:left="425"/>
        <w:jc w:val="both"/>
        <w:rPr>
          <w:rFonts w:asciiTheme="minorHAnsi" w:eastAsia="Calibri" w:hAnsiTheme="minorHAnsi" w:cstheme="minorHAnsi"/>
        </w:rPr>
      </w:pPr>
    </w:p>
    <w:p w14:paraId="0DBC34DE" w14:textId="7957B28E"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35</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DE SALIDA</w:t>
      </w:r>
    </w:p>
    <w:tbl>
      <w:tblPr>
        <w:tblW w:w="8596" w:type="dxa"/>
        <w:tblInd w:w="-5" w:type="dxa"/>
        <w:tblLayout w:type="fixed"/>
        <w:tblLook w:val="0400" w:firstRow="0" w:lastRow="0" w:firstColumn="0" w:lastColumn="0" w:noHBand="0" w:noVBand="1"/>
      </w:tblPr>
      <w:tblGrid>
        <w:gridCol w:w="3119"/>
        <w:gridCol w:w="5477"/>
      </w:tblGrid>
      <w:tr w:rsidR="001F600C" w:rsidRPr="00285D58" w14:paraId="55B1DE4E"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0844E27F"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5C846730"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23AA2AB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5235297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3B8867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E7775A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27EA548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34E0817C"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90C815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2FCBB4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17BFE0B2"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3D443F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213F62D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2D933613"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71BD9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42756AE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F09DF9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38E51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05C7DA2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6C254887"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8D4802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2B44094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3430530E"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6D5C4B6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08C622C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 Vegetación arbórea y arbustiva.</w:t>
            </w:r>
          </w:p>
        </w:tc>
      </w:tr>
    </w:tbl>
    <w:p w14:paraId="3CEF0D1D" w14:textId="77777777" w:rsidR="001F600C" w:rsidRPr="00285D58" w:rsidRDefault="001F600C" w:rsidP="008D1FFF">
      <w:pPr>
        <w:spacing w:line="276" w:lineRule="auto"/>
        <w:jc w:val="both"/>
        <w:rPr>
          <w:rFonts w:asciiTheme="minorHAnsi" w:eastAsia="Calibri" w:hAnsiTheme="minorHAnsi" w:cstheme="minorHAnsi"/>
        </w:rPr>
      </w:pPr>
    </w:p>
    <w:p w14:paraId="39D6E0E3"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ESTACIÓN INTERMEDIA</w:t>
      </w:r>
    </w:p>
    <w:p w14:paraId="037E25A8"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1977528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Intermedia se encarga de conectar dos trazos de teleférico y transferir a sus pasajeros de una cabina a otra. Este tipo de estación aparece cuando no es posible la construcción un trazado único y directo entre la estación de Salida y la estación de Llegada; cuando la distancia es mayor a la soportada por el sistema; o cuando se requiere un cambio de Angulo. La ubicación es planteada de acuerdo a los estudios de ingeniería mecánica que sustentarán la efectividad del trazado del sistema. </w:t>
      </w:r>
    </w:p>
    <w:p w14:paraId="11A6F817"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lastRenderedPageBreak/>
        <w:t>Localización</w:t>
      </w:r>
    </w:p>
    <w:p w14:paraId="4D88506A" w14:textId="77777777" w:rsidR="001F600C" w:rsidRPr="00285D58" w:rsidRDefault="00000000" w:rsidP="008D1FFF">
      <w:pPr>
        <w:spacing w:line="276" w:lineRule="auto"/>
        <w:jc w:val="both"/>
        <w:rPr>
          <w:rFonts w:asciiTheme="minorHAnsi" w:eastAsia="Calibri" w:hAnsiTheme="minorHAnsi" w:cstheme="minorHAnsi"/>
        </w:rPr>
      </w:pPr>
      <w:sdt>
        <w:sdtPr>
          <w:rPr>
            <w:rFonts w:asciiTheme="minorHAnsi" w:hAnsiTheme="minorHAnsi" w:cstheme="minorHAnsi"/>
          </w:rPr>
          <w:tag w:val="goog_rdk_121"/>
          <w:id w:val="-1694601599"/>
        </w:sdtPr>
        <w:sdtContent/>
      </w:sdt>
      <w:r w:rsidR="001F600C" w:rsidRPr="00285D58">
        <w:rPr>
          <w:rFonts w:asciiTheme="minorHAnsi" w:eastAsia="Calibri" w:hAnsiTheme="minorHAnsi" w:cstheme="minorHAnsi"/>
        </w:rPr>
        <w:t>La estación intermedia se ha propuesto solo para la Zona Norte, y se emplazará en la zona cercana al Campamento Maizal. Esta ubicación se plantea según los estudios de ingeniería mecánica que sustentarán la efectividad del trazado del sistema. Asimismo, al ser un lugar de transición, contará con los servicios mínimos y requeridos que requieran tanto los visitantes como para los operarios.</w:t>
      </w:r>
    </w:p>
    <w:p w14:paraId="0181C5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Resulta fundamental precisar que, para el polígono de la Estación Intermedia Maizal, se evaluaron 02 (dos) alternativas técnicas. La primera alternativa es la que topográficamente resulta en un menor impacto paisajístico y en un mejor volumen de afectación al territorio. Además de contar el espacio óptimo para la ubicación de las dos plantas técnicas que necesita la Estación Intermedia. Sin embargo, en una visita junto al equipo técnico de la DDC, recomendó buscar una alternativa distinta ya que esta encontraba cerca de componentes de interés arqueológico. </w:t>
      </w:r>
    </w:p>
    <w:p w14:paraId="6A94EEFF" w14:textId="77777777" w:rsidR="001F600C" w:rsidRPr="00285D58" w:rsidRDefault="001F600C" w:rsidP="008D1FFF">
      <w:pPr>
        <w:spacing w:line="276" w:lineRule="auto"/>
        <w:jc w:val="both"/>
        <w:rPr>
          <w:rFonts w:asciiTheme="minorHAnsi" w:eastAsia="Calibri" w:hAnsiTheme="minorHAnsi" w:cstheme="minorHAnsi"/>
        </w:rPr>
      </w:pPr>
    </w:p>
    <w:p w14:paraId="6EA18B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segunda alternativa, recomendada por la DDC, fue aprobada debido a que no se evidenciaba compromiso arqueológico en dicha área. No obstante, las dimensiones resultantes por los requerimientos técnicos del sistema de transporte por cable y las condiciones de acceso vehicular exigen una considerable cantidad de excavación. Esto debido a las características geográficas del lugar, un pendiente promedio 45 grados, la cual demanda una excavación que resulta en taludes de aproximadamente 60 metros de altura para poder habilitar los componentes técnicos en mención. En este emplazamiento, es técnicamente imposible ubicar las dos plantas técnicas de ambas rutas de teleférico en la misma cota, por lo que se necesitaba salvar esta diferencia de nivel con rampas y accesos que definen esta alternativa como inviable.</w:t>
      </w:r>
    </w:p>
    <w:p w14:paraId="46602B91" w14:textId="77777777" w:rsidR="001F600C" w:rsidRPr="00285D58" w:rsidRDefault="001F600C" w:rsidP="008D1FFF">
      <w:pPr>
        <w:spacing w:line="276" w:lineRule="auto"/>
        <w:jc w:val="both"/>
        <w:rPr>
          <w:rFonts w:asciiTheme="minorHAnsi" w:eastAsia="Calibri" w:hAnsiTheme="minorHAnsi" w:cstheme="minorHAnsi"/>
        </w:rPr>
      </w:pPr>
    </w:p>
    <w:p w14:paraId="72743C3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operación, no solo implica la modificación de la ruta de caminata, sino un considerable impacto al paisaje natural, y cultural; así como a los ecosistemas y morfología del entorno. Si bien se intentó resolver estas condiciones técnicas, con un costo elevado en la ejecución, se considera que esta acción contradice las virtudes que se busca lograr con la implementación del proyecto. Lograr una propuesta que armonice con el territorio no puede deteriorar un componente fundamental como es el valor paisajístico del lugar.</w:t>
      </w:r>
    </w:p>
    <w:p w14:paraId="7036919F" w14:textId="77777777" w:rsidR="001F600C" w:rsidRPr="00285D58" w:rsidRDefault="001F600C" w:rsidP="008D1FFF">
      <w:pPr>
        <w:spacing w:line="276" w:lineRule="auto"/>
        <w:jc w:val="both"/>
        <w:rPr>
          <w:rFonts w:asciiTheme="minorHAnsi" w:eastAsia="Calibri" w:hAnsiTheme="minorHAnsi" w:cstheme="minorHAnsi"/>
        </w:rPr>
      </w:pPr>
    </w:p>
    <w:p w14:paraId="787D6EFA" w14:textId="77E2C68F"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se decidió por continuar con la primera alternativa ya que es la única opción técnicamente factible por factor condicionante de topografía y en la que existe la menor afectación al paisaje natural y cultural del Monumento Arqueológico de Choquequirao</w:t>
      </w:r>
      <w:r w:rsidR="00FD3E9C" w:rsidRPr="00285D58">
        <w:rPr>
          <w:rFonts w:asciiTheme="minorHAnsi" w:eastAsia="Calibri" w:hAnsiTheme="minorHAnsi" w:cstheme="minorHAnsi"/>
        </w:rPr>
        <w:t>.</w:t>
      </w:r>
    </w:p>
    <w:p w14:paraId="7F177483"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DIMENSIONAMIENTO</w:t>
      </w:r>
    </w:p>
    <w:p w14:paraId="41DDC3F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estación intermedia alberga una cantidad mínima de usos para reducir el impacto en el territorio, además de tener la función principal de ser un espacio de transición. Contiene los espacios mínimos requeridos tanto para los usuarios como para la maquinaria del sistema de transporte por cable. El segundo aspecto es el que determina la magnitud de la edificación debido a sus dimensiones. La mayor parte de la maquinaria se encuentra en un espacio soterrado diseñado especialmente para su funcionamiento.</w:t>
      </w:r>
    </w:p>
    <w:p w14:paraId="73B4D198" w14:textId="77777777" w:rsidR="001F600C" w:rsidRPr="00285D58" w:rsidRDefault="001F600C" w:rsidP="008D1FFF">
      <w:pPr>
        <w:spacing w:line="276" w:lineRule="auto"/>
        <w:jc w:val="both"/>
        <w:rPr>
          <w:rFonts w:asciiTheme="minorHAnsi" w:eastAsia="Calibri" w:hAnsiTheme="minorHAnsi" w:cstheme="minorHAnsi"/>
        </w:rPr>
      </w:pPr>
    </w:p>
    <w:p w14:paraId="7AD9AA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Los espacios destinados para el uso de los usuarios comprenden las plataformas de embarque, plataformas de desembarque, los espacios de espera y el mirador, que se encuentra a la salida del edificio. Además, se brindan espacios de servicios higiénicos y tópico.</w:t>
      </w:r>
    </w:p>
    <w:p w14:paraId="0B7895BE" w14:textId="77777777" w:rsidR="001F600C" w:rsidRPr="00285D58" w:rsidRDefault="001F600C" w:rsidP="008D1FFF">
      <w:pPr>
        <w:spacing w:line="276" w:lineRule="auto"/>
        <w:jc w:val="both"/>
        <w:rPr>
          <w:rFonts w:asciiTheme="minorHAnsi" w:eastAsia="Calibri" w:hAnsiTheme="minorHAnsi" w:cstheme="minorHAnsi"/>
        </w:rPr>
      </w:pPr>
    </w:p>
    <w:p w14:paraId="2C15559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49816B34" w14:textId="77777777" w:rsidR="001F600C" w:rsidRPr="00285D58" w:rsidRDefault="001F600C" w:rsidP="008D1FFF">
      <w:pPr>
        <w:spacing w:line="276" w:lineRule="auto"/>
        <w:jc w:val="both"/>
        <w:rPr>
          <w:rFonts w:asciiTheme="minorHAnsi" w:eastAsia="Calibri" w:hAnsiTheme="minorHAnsi" w:cstheme="minorHAnsi"/>
        </w:rPr>
      </w:pPr>
    </w:p>
    <w:p w14:paraId="04FA929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dimensionamiento de la Estación Intermedia se ha realizado considerando el aforo estimado proveniente del embarque y desembarque de las cabinas de dos teleféricos, cada cabina con una capacidad de 100 personas. Además del personal técnico que operara durante todo momento en las estaciones, por lo que, el aforo de las áreas interiores de esta estación es de 407 personas.</w:t>
      </w:r>
    </w:p>
    <w:p w14:paraId="1BD59500" w14:textId="77777777" w:rsidR="001F600C" w:rsidRPr="00285D58" w:rsidRDefault="001F600C" w:rsidP="008D1FFF">
      <w:pPr>
        <w:spacing w:line="276" w:lineRule="auto"/>
        <w:jc w:val="both"/>
        <w:rPr>
          <w:rFonts w:asciiTheme="minorHAnsi" w:eastAsia="Calibri" w:hAnsiTheme="minorHAnsi" w:cstheme="minorHAnsi"/>
        </w:rPr>
      </w:pPr>
    </w:p>
    <w:p w14:paraId="6BC1F00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la estación intermedia cuenta con distintas áreas según el aforo requerido y el diseño específico del sistema de transporte por cable para cada línea.</w:t>
      </w:r>
    </w:p>
    <w:p w14:paraId="0A22EE67" w14:textId="77777777" w:rsidR="001F600C" w:rsidRPr="00285D58" w:rsidRDefault="001F600C" w:rsidP="008D1FFF">
      <w:pPr>
        <w:spacing w:line="276" w:lineRule="auto"/>
        <w:ind w:firstLine="566"/>
        <w:jc w:val="both"/>
        <w:rPr>
          <w:rFonts w:asciiTheme="minorHAnsi" w:eastAsia="Calibri" w:hAnsiTheme="minorHAnsi" w:cstheme="minorHAnsi"/>
        </w:rPr>
      </w:pPr>
    </w:p>
    <w:p w14:paraId="7920AA93" w14:textId="021C859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36</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CÁLCULO DE AFORO DE LA ESTACIÓN INTERMEDIA MAIZAL</w:t>
      </w:r>
    </w:p>
    <w:tbl>
      <w:tblPr>
        <w:tblW w:w="9924" w:type="dxa"/>
        <w:tblInd w:w="-431" w:type="dxa"/>
        <w:tblLayout w:type="fixed"/>
        <w:tblLook w:val="0400" w:firstRow="0" w:lastRow="0" w:firstColumn="0" w:lastColumn="0" w:noHBand="0" w:noVBand="1"/>
      </w:tblPr>
      <w:tblGrid>
        <w:gridCol w:w="1844"/>
        <w:gridCol w:w="911"/>
        <w:gridCol w:w="2349"/>
        <w:gridCol w:w="1165"/>
        <w:gridCol w:w="661"/>
        <w:gridCol w:w="1434"/>
        <w:gridCol w:w="1560"/>
      </w:tblGrid>
      <w:tr w:rsidR="001F600C" w:rsidRPr="00285D58" w14:paraId="36124806" w14:textId="77777777" w:rsidTr="00242093">
        <w:trPr>
          <w:trHeight w:val="398"/>
        </w:trPr>
        <w:tc>
          <w:tcPr>
            <w:tcW w:w="9924"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753CBC57"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EI01 - ESTACIÓN INTERMEDIA MAIZAL</w:t>
            </w:r>
          </w:p>
        </w:tc>
      </w:tr>
      <w:tr w:rsidR="001F600C" w:rsidRPr="00285D58" w14:paraId="15811D4D" w14:textId="77777777" w:rsidTr="00242093">
        <w:trPr>
          <w:trHeight w:val="398"/>
        </w:trPr>
        <w:tc>
          <w:tcPr>
            <w:tcW w:w="1844" w:type="dxa"/>
            <w:tcBorders>
              <w:top w:val="nil"/>
              <w:left w:val="single" w:sz="4" w:space="0" w:color="1072BD"/>
              <w:bottom w:val="single" w:sz="4" w:space="0" w:color="1072BD"/>
              <w:right w:val="single" w:sz="4" w:space="0" w:color="1072BD"/>
            </w:tcBorders>
            <w:shd w:val="clear" w:color="auto" w:fill="E7E6E6" w:themeFill="background2"/>
          </w:tcPr>
          <w:p w14:paraId="7661CFBD"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PROGRAMA</w:t>
            </w:r>
          </w:p>
        </w:tc>
        <w:tc>
          <w:tcPr>
            <w:tcW w:w="911" w:type="dxa"/>
            <w:tcBorders>
              <w:top w:val="nil"/>
              <w:left w:val="nil"/>
              <w:bottom w:val="single" w:sz="4" w:space="0" w:color="1072BD"/>
              <w:right w:val="single" w:sz="4" w:space="0" w:color="1072BD"/>
            </w:tcBorders>
            <w:shd w:val="clear" w:color="auto" w:fill="E7E6E6" w:themeFill="background2"/>
          </w:tcPr>
          <w:p w14:paraId="216B8364"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NIVEL</w:t>
            </w:r>
          </w:p>
        </w:tc>
        <w:tc>
          <w:tcPr>
            <w:tcW w:w="2349" w:type="dxa"/>
            <w:tcBorders>
              <w:top w:val="nil"/>
              <w:left w:val="nil"/>
              <w:bottom w:val="single" w:sz="4" w:space="0" w:color="1072BD"/>
              <w:right w:val="single" w:sz="4" w:space="0" w:color="1072BD"/>
            </w:tcBorders>
            <w:shd w:val="clear" w:color="auto" w:fill="E7E6E6" w:themeFill="background2"/>
          </w:tcPr>
          <w:p w14:paraId="349C6560"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NOMBRE DE AMBIENTE</w:t>
            </w:r>
          </w:p>
        </w:tc>
        <w:tc>
          <w:tcPr>
            <w:tcW w:w="1165" w:type="dxa"/>
            <w:tcBorders>
              <w:top w:val="nil"/>
              <w:left w:val="nil"/>
              <w:bottom w:val="single" w:sz="4" w:space="0" w:color="1072BD"/>
              <w:right w:val="single" w:sz="4" w:space="0" w:color="1072BD"/>
            </w:tcBorders>
            <w:shd w:val="clear" w:color="auto" w:fill="E7E6E6" w:themeFill="background2"/>
          </w:tcPr>
          <w:p w14:paraId="6EE9E9BE"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AFORO</w:t>
            </w:r>
          </w:p>
        </w:tc>
        <w:tc>
          <w:tcPr>
            <w:tcW w:w="2095" w:type="dxa"/>
            <w:gridSpan w:val="2"/>
            <w:tcBorders>
              <w:top w:val="single" w:sz="4" w:space="0" w:color="1072BD"/>
              <w:left w:val="nil"/>
              <w:bottom w:val="single" w:sz="4" w:space="0" w:color="1072BD"/>
              <w:right w:val="single" w:sz="4" w:space="0" w:color="1072BD"/>
            </w:tcBorders>
            <w:shd w:val="clear" w:color="auto" w:fill="E7E6E6" w:themeFill="background2"/>
          </w:tcPr>
          <w:p w14:paraId="1EB8FE02"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ÍNDICE</w:t>
            </w:r>
          </w:p>
        </w:tc>
        <w:tc>
          <w:tcPr>
            <w:tcW w:w="1560" w:type="dxa"/>
            <w:tcBorders>
              <w:top w:val="nil"/>
              <w:left w:val="nil"/>
              <w:bottom w:val="single" w:sz="4" w:space="0" w:color="1072BD"/>
              <w:right w:val="single" w:sz="4" w:space="0" w:color="1072BD"/>
            </w:tcBorders>
            <w:shd w:val="clear" w:color="auto" w:fill="E7E6E6" w:themeFill="background2"/>
          </w:tcPr>
          <w:p w14:paraId="39F5606E"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ÁREA CONSTRUIDA</w:t>
            </w:r>
          </w:p>
        </w:tc>
      </w:tr>
      <w:tr w:rsidR="001F600C" w:rsidRPr="00285D58" w14:paraId="592766C2" w14:textId="77777777" w:rsidTr="00242093">
        <w:trPr>
          <w:trHeight w:val="240"/>
        </w:trPr>
        <w:tc>
          <w:tcPr>
            <w:tcW w:w="1844" w:type="dxa"/>
            <w:tcBorders>
              <w:top w:val="nil"/>
              <w:left w:val="single" w:sz="4" w:space="0" w:color="1072BD"/>
              <w:bottom w:val="single" w:sz="4" w:space="0" w:color="1072BD"/>
              <w:right w:val="single" w:sz="4" w:space="0" w:color="1072BD"/>
            </w:tcBorders>
            <w:shd w:val="clear" w:color="auto" w:fill="E7E6E6" w:themeFill="background2"/>
          </w:tcPr>
          <w:p w14:paraId="154DD570"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Áreas interiores</w:t>
            </w:r>
          </w:p>
        </w:tc>
        <w:tc>
          <w:tcPr>
            <w:tcW w:w="3260" w:type="dxa"/>
            <w:gridSpan w:val="2"/>
            <w:tcBorders>
              <w:top w:val="single" w:sz="4" w:space="0" w:color="1072BD"/>
              <w:left w:val="nil"/>
              <w:bottom w:val="single" w:sz="4" w:space="0" w:color="1072BD"/>
              <w:right w:val="single" w:sz="4" w:space="0" w:color="1072BD"/>
            </w:tcBorders>
            <w:shd w:val="clear" w:color="auto" w:fill="E7E6E6" w:themeFill="background2"/>
          </w:tcPr>
          <w:p w14:paraId="6601E195"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165" w:type="dxa"/>
            <w:tcBorders>
              <w:top w:val="nil"/>
              <w:left w:val="nil"/>
              <w:bottom w:val="single" w:sz="4" w:space="0" w:color="1072BD"/>
              <w:right w:val="single" w:sz="4" w:space="0" w:color="1072BD"/>
            </w:tcBorders>
            <w:shd w:val="clear" w:color="auto" w:fill="E7E6E6" w:themeFill="background2"/>
          </w:tcPr>
          <w:p w14:paraId="7137FE4C"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407</w:t>
            </w:r>
          </w:p>
        </w:tc>
        <w:tc>
          <w:tcPr>
            <w:tcW w:w="2095" w:type="dxa"/>
            <w:gridSpan w:val="2"/>
            <w:tcBorders>
              <w:top w:val="single" w:sz="4" w:space="0" w:color="1072BD"/>
              <w:left w:val="nil"/>
              <w:bottom w:val="single" w:sz="4" w:space="0" w:color="1072BD"/>
              <w:right w:val="single" w:sz="4" w:space="0" w:color="1072BD"/>
            </w:tcBorders>
            <w:shd w:val="clear" w:color="auto" w:fill="E7E6E6" w:themeFill="background2"/>
          </w:tcPr>
          <w:p w14:paraId="0C239C67" w14:textId="77777777" w:rsidR="001F600C" w:rsidRPr="00285D58" w:rsidRDefault="001F600C" w:rsidP="008D1FFF">
            <w:pPr>
              <w:spacing w:line="276" w:lineRule="auto"/>
              <w:ind w:firstLine="567"/>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560" w:type="dxa"/>
            <w:tcBorders>
              <w:top w:val="nil"/>
              <w:left w:val="nil"/>
              <w:bottom w:val="single" w:sz="4" w:space="0" w:color="1072BD"/>
              <w:right w:val="single" w:sz="4" w:space="0" w:color="1072BD"/>
            </w:tcBorders>
            <w:shd w:val="clear" w:color="auto" w:fill="E7E6E6" w:themeFill="background2"/>
          </w:tcPr>
          <w:p w14:paraId="4D33D962" w14:textId="77777777" w:rsidR="001F600C" w:rsidRPr="00285D58" w:rsidRDefault="001F600C" w:rsidP="008D1FFF">
            <w:pPr>
              <w:spacing w:line="276" w:lineRule="auto"/>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3712.74 m2</w:t>
            </w:r>
          </w:p>
        </w:tc>
      </w:tr>
      <w:tr w:rsidR="001F600C" w:rsidRPr="00285D58" w14:paraId="4C0D250D"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79DF85E"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Administración y mantenimiento</w:t>
            </w:r>
          </w:p>
        </w:tc>
        <w:tc>
          <w:tcPr>
            <w:tcW w:w="911" w:type="dxa"/>
            <w:tcBorders>
              <w:top w:val="nil"/>
              <w:left w:val="nil"/>
              <w:bottom w:val="single" w:sz="4" w:space="0" w:color="1072BD"/>
              <w:right w:val="single" w:sz="4" w:space="0" w:color="1072BD"/>
            </w:tcBorders>
          </w:tcPr>
          <w:p w14:paraId="624E0A7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66F4225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Local de Mando </w:t>
            </w:r>
          </w:p>
        </w:tc>
        <w:tc>
          <w:tcPr>
            <w:tcW w:w="1165" w:type="dxa"/>
            <w:tcBorders>
              <w:top w:val="nil"/>
              <w:left w:val="nil"/>
              <w:bottom w:val="single" w:sz="4" w:space="0" w:color="1072BD"/>
              <w:right w:val="single" w:sz="4" w:space="0" w:color="1072BD"/>
            </w:tcBorders>
          </w:tcPr>
          <w:p w14:paraId="3ED541E9"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4</w:t>
            </w:r>
          </w:p>
        </w:tc>
        <w:tc>
          <w:tcPr>
            <w:tcW w:w="661" w:type="dxa"/>
            <w:tcBorders>
              <w:top w:val="nil"/>
              <w:left w:val="nil"/>
              <w:bottom w:val="single" w:sz="4" w:space="0" w:color="1072BD"/>
              <w:right w:val="nil"/>
            </w:tcBorders>
          </w:tcPr>
          <w:p w14:paraId="164E623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4.00</w:t>
            </w:r>
          </w:p>
        </w:tc>
        <w:tc>
          <w:tcPr>
            <w:tcW w:w="1434" w:type="dxa"/>
            <w:tcBorders>
              <w:top w:val="nil"/>
              <w:left w:val="nil"/>
              <w:bottom w:val="single" w:sz="4" w:space="0" w:color="1072BD"/>
              <w:right w:val="single" w:sz="4" w:space="0" w:color="1072BD"/>
            </w:tcBorders>
          </w:tcPr>
          <w:p w14:paraId="581B626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1</w:t>
            </w:r>
          </w:p>
        </w:tc>
        <w:tc>
          <w:tcPr>
            <w:tcW w:w="1560" w:type="dxa"/>
            <w:tcBorders>
              <w:top w:val="nil"/>
              <w:left w:val="nil"/>
              <w:bottom w:val="single" w:sz="4" w:space="0" w:color="1072BD"/>
              <w:right w:val="single" w:sz="4" w:space="0" w:color="1072BD"/>
            </w:tcBorders>
          </w:tcPr>
          <w:p w14:paraId="2D9BC62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16.44 m2</w:t>
            </w:r>
          </w:p>
        </w:tc>
      </w:tr>
      <w:tr w:rsidR="001F600C" w:rsidRPr="00285D58" w14:paraId="74D30B84"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F5332A0"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25C9E1D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CEACEE6"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de Administración</w:t>
            </w:r>
          </w:p>
        </w:tc>
        <w:tc>
          <w:tcPr>
            <w:tcW w:w="1165" w:type="dxa"/>
            <w:tcBorders>
              <w:top w:val="nil"/>
              <w:left w:val="nil"/>
              <w:bottom w:val="single" w:sz="4" w:space="0" w:color="1072BD"/>
              <w:right w:val="single" w:sz="4" w:space="0" w:color="1072BD"/>
            </w:tcBorders>
          </w:tcPr>
          <w:p w14:paraId="671031C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353AD6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1434" w:type="dxa"/>
            <w:tcBorders>
              <w:top w:val="nil"/>
              <w:left w:val="nil"/>
              <w:bottom w:val="single" w:sz="4" w:space="0" w:color="1072BD"/>
              <w:right w:val="single" w:sz="4" w:space="0" w:color="1072BD"/>
            </w:tcBorders>
          </w:tcPr>
          <w:p w14:paraId="6C2F8AF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1</w:t>
            </w:r>
          </w:p>
        </w:tc>
        <w:tc>
          <w:tcPr>
            <w:tcW w:w="1560" w:type="dxa"/>
            <w:tcBorders>
              <w:top w:val="nil"/>
              <w:left w:val="nil"/>
              <w:bottom w:val="single" w:sz="4" w:space="0" w:color="1072BD"/>
              <w:right w:val="single" w:sz="4" w:space="0" w:color="1072BD"/>
            </w:tcBorders>
          </w:tcPr>
          <w:p w14:paraId="76F374C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4.05 m2</w:t>
            </w:r>
          </w:p>
        </w:tc>
      </w:tr>
      <w:tr w:rsidR="001F600C" w:rsidRPr="00285D58" w14:paraId="28C8408E"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F6DCD73"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26F906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D0411F7"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 de Basura</w:t>
            </w:r>
          </w:p>
        </w:tc>
        <w:tc>
          <w:tcPr>
            <w:tcW w:w="1165" w:type="dxa"/>
            <w:tcBorders>
              <w:top w:val="nil"/>
              <w:left w:val="nil"/>
              <w:bottom w:val="single" w:sz="4" w:space="0" w:color="1072BD"/>
              <w:right w:val="single" w:sz="4" w:space="0" w:color="1072BD"/>
            </w:tcBorders>
          </w:tcPr>
          <w:p w14:paraId="00321A4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D27F98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219D808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259596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18.29 m2</w:t>
            </w:r>
          </w:p>
        </w:tc>
      </w:tr>
      <w:tr w:rsidR="001F600C" w:rsidRPr="00285D58" w14:paraId="260F4A08"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561438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w:t>
            </w:r>
          </w:p>
        </w:tc>
        <w:tc>
          <w:tcPr>
            <w:tcW w:w="911" w:type="dxa"/>
            <w:tcBorders>
              <w:top w:val="nil"/>
              <w:left w:val="nil"/>
              <w:bottom w:val="single" w:sz="4" w:space="0" w:color="1072BD"/>
              <w:right w:val="single" w:sz="4" w:space="0" w:color="1072BD"/>
            </w:tcBorders>
          </w:tcPr>
          <w:p w14:paraId="1F6877D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05CB7A16"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Tópico</w:t>
            </w:r>
          </w:p>
        </w:tc>
        <w:tc>
          <w:tcPr>
            <w:tcW w:w="1165" w:type="dxa"/>
            <w:tcBorders>
              <w:top w:val="nil"/>
              <w:left w:val="nil"/>
              <w:bottom w:val="single" w:sz="4" w:space="0" w:color="1072BD"/>
              <w:right w:val="single" w:sz="4" w:space="0" w:color="1072BD"/>
            </w:tcBorders>
          </w:tcPr>
          <w:p w14:paraId="6A1749D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3</w:t>
            </w:r>
          </w:p>
        </w:tc>
        <w:tc>
          <w:tcPr>
            <w:tcW w:w="661" w:type="dxa"/>
            <w:tcBorders>
              <w:top w:val="nil"/>
              <w:left w:val="nil"/>
              <w:bottom w:val="single" w:sz="4" w:space="0" w:color="1072BD"/>
              <w:right w:val="nil"/>
            </w:tcBorders>
          </w:tcPr>
          <w:p w14:paraId="1A78077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09C2EB4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1</w:t>
            </w:r>
          </w:p>
        </w:tc>
        <w:tc>
          <w:tcPr>
            <w:tcW w:w="1560" w:type="dxa"/>
            <w:tcBorders>
              <w:top w:val="nil"/>
              <w:left w:val="nil"/>
              <w:bottom w:val="single" w:sz="4" w:space="0" w:color="1072BD"/>
              <w:right w:val="single" w:sz="4" w:space="0" w:color="1072BD"/>
            </w:tcBorders>
          </w:tcPr>
          <w:p w14:paraId="15C79E4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18.85 m2</w:t>
            </w:r>
          </w:p>
        </w:tc>
      </w:tr>
      <w:tr w:rsidR="001F600C" w:rsidRPr="00285D58" w14:paraId="6F836FC1"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397D8A4"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35EED3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BBEFE18"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Hombres</w:t>
            </w:r>
          </w:p>
        </w:tc>
        <w:tc>
          <w:tcPr>
            <w:tcW w:w="1165" w:type="dxa"/>
            <w:tcBorders>
              <w:top w:val="nil"/>
              <w:left w:val="nil"/>
              <w:bottom w:val="single" w:sz="4" w:space="0" w:color="1072BD"/>
              <w:right w:val="single" w:sz="4" w:space="0" w:color="1072BD"/>
            </w:tcBorders>
          </w:tcPr>
          <w:p w14:paraId="7926B18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C74E3C7"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0B53266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2</w:t>
            </w:r>
          </w:p>
        </w:tc>
        <w:tc>
          <w:tcPr>
            <w:tcW w:w="1560" w:type="dxa"/>
            <w:tcBorders>
              <w:top w:val="nil"/>
              <w:left w:val="nil"/>
              <w:bottom w:val="single" w:sz="4" w:space="0" w:color="1072BD"/>
              <w:right w:val="single" w:sz="4" w:space="0" w:color="1072BD"/>
            </w:tcBorders>
          </w:tcPr>
          <w:p w14:paraId="0FF61B5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26.48 m2</w:t>
            </w:r>
          </w:p>
        </w:tc>
      </w:tr>
      <w:tr w:rsidR="001F600C" w:rsidRPr="00285D58" w14:paraId="5319460D"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20634430"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B3BAFB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BCFF35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Mujeres</w:t>
            </w:r>
          </w:p>
        </w:tc>
        <w:tc>
          <w:tcPr>
            <w:tcW w:w="1165" w:type="dxa"/>
            <w:tcBorders>
              <w:top w:val="nil"/>
              <w:left w:val="nil"/>
              <w:bottom w:val="single" w:sz="4" w:space="0" w:color="1072BD"/>
              <w:right w:val="single" w:sz="4" w:space="0" w:color="1072BD"/>
            </w:tcBorders>
          </w:tcPr>
          <w:p w14:paraId="53B81D5C"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94B45C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3.00</w:t>
            </w:r>
          </w:p>
        </w:tc>
        <w:tc>
          <w:tcPr>
            <w:tcW w:w="1434" w:type="dxa"/>
            <w:tcBorders>
              <w:top w:val="nil"/>
              <w:left w:val="nil"/>
              <w:bottom w:val="single" w:sz="4" w:space="0" w:color="1072BD"/>
              <w:right w:val="single" w:sz="4" w:space="0" w:color="1072BD"/>
            </w:tcBorders>
          </w:tcPr>
          <w:p w14:paraId="37C20BE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2</w:t>
            </w:r>
          </w:p>
        </w:tc>
        <w:tc>
          <w:tcPr>
            <w:tcW w:w="1560" w:type="dxa"/>
            <w:tcBorders>
              <w:top w:val="nil"/>
              <w:left w:val="nil"/>
              <w:bottom w:val="single" w:sz="4" w:space="0" w:color="1072BD"/>
              <w:right w:val="single" w:sz="4" w:space="0" w:color="1072BD"/>
            </w:tcBorders>
          </w:tcPr>
          <w:p w14:paraId="2A4FD132"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20.66 m2</w:t>
            </w:r>
          </w:p>
        </w:tc>
      </w:tr>
      <w:tr w:rsidR="001F600C" w:rsidRPr="00285D58" w14:paraId="74987317"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0BA1473A"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536422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D93BF7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w:t>
            </w:r>
          </w:p>
        </w:tc>
        <w:tc>
          <w:tcPr>
            <w:tcW w:w="1165" w:type="dxa"/>
            <w:tcBorders>
              <w:top w:val="nil"/>
              <w:left w:val="nil"/>
              <w:bottom w:val="single" w:sz="4" w:space="0" w:color="1072BD"/>
              <w:right w:val="single" w:sz="4" w:space="0" w:color="1072BD"/>
            </w:tcBorders>
          </w:tcPr>
          <w:p w14:paraId="3824D2AE"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7B33B9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3203178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BA99A7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16.91 m2</w:t>
            </w:r>
          </w:p>
        </w:tc>
      </w:tr>
      <w:tr w:rsidR="001F600C" w:rsidRPr="00285D58" w14:paraId="1ACFFC29"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78436B7"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633B99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964792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Servicios Higiénicos Discapacitados</w:t>
            </w:r>
          </w:p>
        </w:tc>
        <w:tc>
          <w:tcPr>
            <w:tcW w:w="1165" w:type="dxa"/>
            <w:tcBorders>
              <w:top w:val="nil"/>
              <w:left w:val="nil"/>
              <w:bottom w:val="single" w:sz="4" w:space="0" w:color="1072BD"/>
              <w:right w:val="single" w:sz="4" w:space="0" w:color="1072BD"/>
            </w:tcBorders>
          </w:tcPr>
          <w:p w14:paraId="2E899594"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6F3C2D9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1434" w:type="dxa"/>
            <w:tcBorders>
              <w:top w:val="nil"/>
              <w:left w:val="nil"/>
              <w:bottom w:val="single" w:sz="4" w:space="0" w:color="1072BD"/>
              <w:right w:val="single" w:sz="4" w:space="0" w:color="1072BD"/>
            </w:tcBorders>
          </w:tcPr>
          <w:p w14:paraId="72AF2B5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bloques de aparatos 3</w:t>
            </w:r>
          </w:p>
        </w:tc>
        <w:tc>
          <w:tcPr>
            <w:tcW w:w="1560" w:type="dxa"/>
            <w:tcBorders>
              <w:top w:val="nil"/>
              <w:left w:val="nil"/>
              <w:bottom w:val="single" w:sz="4" w:space="0" w:color="1072BD"/>
              <w:right w:val="single" w:sz="4" w:space="0" w:color="1072BD"/>
            </w:tcBorders>
          </w:tcPr>
          <w:p w14:paraId="451D94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6.20 m2</w:t>
            </w:r>
          </w:p>
        </w:tc>
      </w:tr>
      <w:tr w:rsidR="001F600C" w:rsidRPr="00285D58" w14:paraId="4FA23D48"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80979B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maquinas</w:t>
            </w:r>
          </w:p>
        </w:tc>
        <w:tc>
          <w:tcPr>
            <w:tcW w:w="911" w:type="dxa"/>
            <w:tcBorders>
              <w:top w:val="nil"/>
              <w:left w:val="nil"/>
              <w:bottom w:val="single" w:sz="4" w:space="0" w:color="1072BD"/>
              <w:right w:val="single" w:sz="4" w:space="0" w:color="1072BD"/>
            </w:tcBorders>
          </w:tcPr>
          <w:p w14:paraId="5E8F9D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4693614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Local de generadores (Salida)</w:t>
            </w:r>
          </w:p>
        </w:tc>
        <w:tc>
          <w:tcPr>
            <w:tcW w:w="1165" w:type="dxa"/>
            <w:tcBorders>
              <w:top w:val="nil"/>
              <w:left w:val="nil"/>
              <w:bottom w:val="single" w:sz="4" w:space="0" w:color="1072BD"/>
              <w:right w:val="single" w:sz="4" w:space="0" w:color="1072BD"/>
            </w:tcBorders>
          </w:tcPr>
          <w:p w14:paraId="1F08B33F"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2BD13D6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52E214B"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25BFF18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28.35 m2</w:t>
            </w:r>
          </w:p>
        </w:tc>
      </w:tr>
      <w:tr w:rsidR="001F600C" w:rsidRPr="00285D58" w14:paraId="6977FC40"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E15E08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854628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6855B98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Cuarto eléctrico (Salida)</w:t>
            </w:r>
          </w:p>
        </w:tc>
        <w:tc>
          <w:tcPr>
            <w:tcW w:w="1165" w:type="dxa"/>
            <w:tcBorders>
              <w:top w:val="nil"/>
              <w:left w:val="nil"/>
              <w:bottom w:val="single" w:sz="4" w:space="0" w:color="1072BD"/>
              <w:right w:val="single" w:sz="4" w:space="0" w:color="1072BD"/>
            </w:tcBorders>
          </w:tcPr>
          <w:p w14:paraId="3BBC398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EF6D731"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EAA37A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03262577"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14.00 m2</w:t>
            </w:r>
          </w:p>
        </w:tc>
      </w:tr>
      <w:tr w:rsidR="001F600C" w:rsidRPr="00285D58" w14:paraId="0E557BCE"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3B152208"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34C7644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605EA353"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Local de transformadores (Salida)</w:t>
            </w:r>
          </w:p>
        </w:tc>
        <w:tc>
          <w:tcPr>
            <w:tcW w:w="1165" w:type="dxa"/>
            <w:tcBorders>
              <w:top w:val="nil"/>
              <w:left w:val="nil"/>
              <w:bottom w:val="single" w:sz="4" w:space="0" w:color="1072BD"/>
              <w:right w:val="single" w:sz="4" w:space="0" w:color="1072BD"/>
            </w:tcBorders>
          </w:tcPr>
          <w:p w14:paraId="29AC9573"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5CEE1EA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361A467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290DB7E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19.43 m2</w:t>
            </w:r>
          </w:p>
        </w:tc>
      </w:tr>
      <w:tr w:rsidR="001F600C" w:rsidRPr="00285D58" w14:paraId="493DE7B3"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007B419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390EB3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399C8C4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Depósito (Salida)</w:t>
            </w:r>
          </w:p>
        </w:tc>
        <w:tc>
          <w:tcPr>
            <w:tcW w:w="1165" w:type="dxa"/>
            <w:tcBorders>
              <w:top w:val="nil"/>
              <w:left w:val="nil"/>
              <w:bottom w:val="single" w:sz="4" w:space="0" w:color="1072BD"/>
              <w:right w:val="single" w:sz="4" w:space="0" w:color="1072BD"/>
            </w:tcBorders>
          </w:tcPr>
          <w:p w14:paraId="45BD4E7A"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0A786A9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489E45F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7AEF4BD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52.38 m2</w:t>
            </w:r>
          </w:p>
        </w:tc>
      </w:tr>
      <w:tr w:rsidR="001F600C" w:rsidRPr="00285D58" w14:paraId="77D77224"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66EEA175"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BB4E0C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151FA230"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(Salida)</w:t>
            </w:r>
          </w:p>
        </w:tc>
        <w:tc>
          <w:tcPr>
            <w:tcW w:w="1165" w:type="dxa"/>
            <w:tcBorders>
              <w:top w:val="nil"/>
              <w:left w:val="nil"/>
              <w:bottom w:val="single" w:sz="4" w:space="0" w:color="1072BD"/>
              <w:right w:val="single" w:sz="4" w:space="0" w:color="1072BD"/>
            </w:tcBorders>
          </w:tcPr>
          <w:p w14:paraId="799DBCF6"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3672C0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1811737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7086A0E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467.19 m2</w:t>
            </w:r>
          </w:p>
        </w:tc>
      </w:tr>
      <w:tr w:rsidR="001F600C" w:rsidRPr="00285D58" w14:paraId="7518B3FF"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F42C026"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5ED2290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-3.50</w:t>
            </w:r>
          </w:p>
        </w:tc>
        <w:tc>
          <w:tcPr>
            <w:tcW w:w="2349" w:type="dxa"/>
            <w:tcBorders>
              <w:top w:val="nil"/>
              <w:left w:val="nil"/>
              <w:bottom w:val="single" w:sz="4" w:space="0" w:color="1072BD"/>
              <w:right w:val="single" w:sz="4" w:space="0" w:color="1072BD"/>
            </w:tcBorders>
          </w:tcPr>
          <w:p w14:paraId="3F7CC65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(Llegada)</w:t>
            </w:r>
          </w:p>
        </w:tc>
        <w:tc>
          <w:tcPr>
            <w:tcW w:w="1165" w:type="dxa"/>
            <w:tcBorders>
              <w:top w:val="nil"/>
              <w:left w:val="nil"/>
              <w:bottom w:val="single" w:sz="4" w:space="0" w:color="1072BD"/>
              <w:right w:val="single" w:sz="4" w:space="0" w:color="1072BD"/>
            </w:tcBorders>
          </w:tcPr>
          <w:p w14:paraId="30D2A8F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CA7E02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6F4EC6ED"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3C3269F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150.73 m2</w:t>
            </w:r>
          </w:p>
        </w:tc>
      </w:tr>
      <w:tr w:rsidR="001F600C" w:rsidRPr="00285D58" w14:paraId="388B93AF"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FBE3A77"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4FD5D8B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-4.50</w:t>
            </w:r>
          </w:p>
        </w:tc>
        <w:tc>
          <w:tcPr>
            <w:tcW w:w="2349" w:type="dxa"/>
            <w:tcBorders>
              <w:top w:val="nil"/>
              <w:left w:val="nil"/>
              <w:bottom w:val="single" w:sz="4" w:space="0" w:color="1072BD"/>
              <w:right w:val="single" w:sz="4" w:space="0" w:color="1072BD"/>
            </w:tcBorders>
          </w:tcPr>
          <w:p w14:paraId="59E8F858"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máquinas (Llegada)</w:t>
            </w:r>
          </w:p>
        </w:tc>
        <w:tc>
          <w:tcPr>
            <w:tcW w:w="1165" w:type="dxa"/>
            <w:tcBorders>
              <w:top w:val="nil"/>
              <w:left w:val="nil"/>
              <w:bottom w:val="single" w:sz="4" w:space="0" w:color="1072BD"/>
              <w:right w:val="single" w:sz="4" w:space="0" w:color="1072BD"/>
            </w:tcBorders>
          </w:tcPr>
          <w:p w14:paraId="598C2374"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70391106"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84F04F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6A7F812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122.55 m2</w:t>
            </w:r>
          </w:p>
        </w:tc>
      </w:tr>
      <w:tr w:rsidR="001F600C" w:rsidRPr="00285D58" w14:paraId="7899EFBB"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DAD6F79"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19A590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-9.10</w:t>
            </w:r>
          </w:p>
        </w:tc>
        <w:tc>
          <w:tcPr>
            <w:tcW w:w="2349" w:type="dxa"/>
            <w:tcBorders>
              <w:top w:val="nil"/>
              <w:left w:val="nil"/>
              <w:bottom w:val="single" w:sz="4" w:space="0" w:color="1072BD"/>
              <w:right w:val="single" w:sz="4" w:space="0" w:color="1072BD"/>
            </w:tcBorders>
          </w:tcPr>
          <w:p w14:paraId="7957880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Foso de poleas (Llegada)</w:t>
            </w:r>
          </w:p>
        </w:tc>
        <w:tc>
          <w:tcPr>
            <w:tcW w:w="1165" w:type="dxa"/>
            <w:tcBorders>
              <w:top w:val="nil"/>
              <w:left w:val="nil"/>
              <w:bottom w:val="single" w:sz="4" w:space="0" w:color="1072BD"/>
              <w:right w:val="single" w:sz="4" w:space="0" w:color="1072BD"/>
            </w:tcBorders>
          </w:tcPr>
          <w:p w14:paraId="2E0BB211"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11BB118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09BB88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010359D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86.94 m2</w:t>
            </w:r>
          </w:p>
        </w:tc>
      </w:tr>
      <w:tr w:rsidR="001F600C" w:rsidRPr="00285D58" w14:paraId="425BE237"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48ED15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Zonas de espera y abordaje</w:t>
            </w:r>
          </w:p>
        </w:tc>
        <w:tc>
          <w:tcPr>
            <w:tcW w:w="911" w:type="dxa"/>
            <w:tcBorders>
              <w:top w:val="nil"/>
              <w:left w:val="nil"/>
              <w:bottom w:val="single" w:sz="4" w:space="0" w:color="1072BD"/>
              <w:right w:val="single" w:sz="4" w:space="0" w:color="1072BD"/>
            </w:tcBorders>
          </w:tcPr>
          <w:p w14:paraId="3601FE7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058B67A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embarque (Salida)</w:t>
            </w:r>
          </w:p>
        </w:tc>
        <w:tc>
          <w:tcPr>
            <w:tcW w:w="1165" w:type="dxa"/>
            <w:tcBorders>
              <w:top w:val="nil"/>
              <w:left w:val="nil"/>
              <w:bottom w:val="single" w:sz="4" w:space="0" w:color="1072BD"/>
              <w:right w:val="single" w:sz="4" w:space="0" w:color="1072BD"/>
            </w:tcBorders>
          </w:tcPr>
          <w:p w14:paraId="50155940"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5E0DBA5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FB1E65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76DE1F18"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221.53 m2</w:t>
            </w:r>
          </w:p>
        </w:tc>
      </w:tr>
      <w:tr w:rsidR="001F600C" w:rsidRPr="00285D58" w14:paraId="7DFC0786"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A02339E"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218313D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3C9DA222"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desembarque (Salida)</w:t>
            </w:r>
          </w:p>
        </w:tc>
        <w:tc>
          <w:tcPr>
            <w:tcW w:w="1165" w:type="dxa"/>
            <w:tcBorders>
              <w:top w:val="nil"/>
              <w:left w:val="nil"/>
              <w:bottom w:val="single" w:sz="4" w:space="0" w:color="1072BD"/>
              <w:right w:val="single" w:sz="4" w:space="0" w:color="1072BD"/>
            </w:tcBorders>
          </w:tcPr>
          <w:p w14:paraId="0661C992"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707EA9F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64C922C"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0290899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105.16 m2</w:t>
            </w:r>
          </w:p>
        </w:tc>
      </w:tr>
      <w:tr w:rsidR="001F600C" w:rsidRPr="00285D58" w14:paraId="435E7999"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8B9A86D"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157F3B09"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4D088F27"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embarque (Llegada)</w:t>
            </w:r>
          </w:p>
        </w:tc>
        <w:tc>
          <w:tcPr>
            <w:tcW w:w="1165" w:type="dxa"/>
            <w:tcBorders>
              <w:top w:val="nil"/>
              <w:left w:val="nil"/>
              <w:bottom w:val="single" w:sz="4" w:space="0" w:color="1072BD"/>
              <w:right w:val="single" w:sz="4" w:space="0" w:color="1072BD"/>
            </w:tcBorders>
          </w:tcPr>
          <w:p w14:paraId="5C689E90"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3497DA8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40A702D9"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62251333"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142.56 m2</w:t>
            </w:r>
          </w:p>
        </w:tc>
      </w:tr>
      <w:tr w:rsidR="001F600C" w:rsidRPr="00285D58" w14:paraId="439831F5"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1A6BB5E8"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312E3829"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552D3D2F"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Área de desembarque (Llegada)</w:t>
            </w:r>
          </w:p>
        </w:tc>
        <w:tc>
          <w:tcPr>
            <w:tcW w:w="1165" w:type="dxa"/>
            <w:tcBorders>
              <w:top w:val="nil"/>
              <w:left w:val="nil"/>
              <w:bottom w:val="single" w:sz="4" w:space="0" w:color="1072BD"/>
              <w:right w:val="single" w:sz="4" w:space="0" w:color="1072BD"/>
            </w:tcBorders>
          </w:tcPr>
          <w:p w14:paraId="43910812"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100</w:t>
            </w:r>
          </w:p>
        </w:tc>
        <w:tc>
          <w:tcPr>
            <w:tcW w:w="661" w:type="dxa"/>
            <w:tcBorders>
              <w:top w:val="nil"/>
              <w:left w:val="nil"/>
              <w:bottom w:val="single" w:sz="4" w:space="0" w:color="1072BD"/>
              <w:right w:val="nil"/>
            </w:tcBorders>
          </w:tcPr>
          <w:p w14:paraId="2DEF65C5"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0.80</w:t>
            </w:r>
          </w:p>
        </w:tc>
        <w:tc>
          <w:tcPr>
            <w:tcW w:w="1434" w:type="dxa"/>
            <w:tcBorders>
              <w:top w:val="nil"/>
              <w:left w:val="nil"/>
              <w:bottom w:val="single" w:sz="4" w:space="0" w:color="1072BD"/>
              <w:right w:val="single" w:sz="4" w:space="0" w:color="1072BD"/>
            </w:tcBorders>
          </w:tcPr>
          <w:p w14:paraId="541FF821"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m2 por persona 4</w:t>
            </w:r>
          </w:p>
        </w:tc>
        <w:tc>
          <w:tcPr>
            <w:tcW w:w="1560" w:type="dxa"/>
            <w:tcBorders>
              <w:top w:val="nil"/>
              <w:left w:val="nil"/>
              <w:bottom w:val="single" w:sz="4" w:space="0" w:color="1072BD"/>
              <w:right w:val="single" w:sz="4" w:space="0" w:color="1072BD"/>
            </w:tcBorders>
          </w:tcPr>
          <w:p w14:paraId="697EE15A"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99.14 m2</w:t>
            </w:r>
          </w:p>
        </w:tc>
      </w:tr>
      <w:tr w:rsidR="001F600C" w:rsidRPr="00285D58" w14:paraId="46202E81"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40C14BEF"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Circulación y estructuras</w:t>
            </w:r>
          </w:p>
        </w:tc>
        <w:tc>
          <w:tcPr>
            <w:tcW w:w="911" w:type="dxa"/>
            <w:tcBorders>
              <w:top w:val="nil"/>
              <w:left w:val="nil"/>
              <w:bottom w:val="single" w:sz="4" w:space="0" w:color="1072BD"/>
              <w:right w:val="single" w:sz="4" w:space="0" w:color="1072BD"/>
            </w:tcBorders>
          </w:tcPr>
          <w:p w14:paraId="528AF80C"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0.00</w:t>
            </w:r>
          </w:p>
        </w:tc>
        <w:tc>
          <w:tcPr>
            <w:tcW w:w="2349" w:type="dxa"/>
            <w:tcBorders>
              <w:top w:val="nil"/>
              <w:left w:val="nil"/>
              <w:bottom w:val="single" w:sz="4" w:space="0" w:color="1072BD"/>
              <w:right w:val="single" w:sz="4" w:space="0" w:color="1072BD"/>
            </w:tcBorders>
          </w:tcPr>
          <w:p w14:paraId="385AD79A"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Nivel de ingreso</w:t>
            </w:r>
          </w:p>
        </w:tc>
        <w:tc>
          <w:tcPr>
            <w:tcW w:w="1165" w:type="dxa"/>
            <w:tcBorders>
              <w:top w:val="nil"/>
              <w:left w:val="nil"/>
              <w:bottom w:val="single" w:sz="4" w:space="0" w:color="1072BD"/>
              <w:right w:val="single" w:sz="4" w:space="0" w:color="1072BD"/>
            </w:tcBorders>
          </w:tcPr>
          <w:p w14:paraId="100DF05C"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01CAC2DB"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AA1FF5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13CD4D6E"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1819.98 m2</w:t>
            </w:r>
          </w:p>
        </w:tc>
      </w:tr>
      <w:tr w:rsidR="001F600C" w:rsidRPr="00285D58" w14:paraId="7EB7687B" w14:textId="77777777" w:rsidTr="00242093">
        <w:trPr>
          <w:trHeight w:val="240"/>
        </w:trPr>
        <w:tc>
          <w:tcPr>
            <w:tcW w:w="1844" w:type="dxa"/>
            <w:tcBorders>
              <w:top w:val="nil"/>
              <w:left w:val="single" w:sz="4" w:space="0" w:color="1072BD"/>
              <w:bottom w:val="single" w:sz="4" w:space="0" w:color="1072BD"/>
              <w:right w:val="single" w:sz="4" w:space="0" w:color="1072BD"/>
            </w:tcBorders>
          </w:tcPr>
          <w:p w14:paraId="5BA4F7E2" w14:textId="77777777" w:rsidR="001F600C" w:rsidRPr="00285D58" w:rsidRDefault="001F600C" w:rsidP="008D1FFF">
            <w:pPr>
              <w:spacing w:line="276" w:lineRule="auto"/>
              <w:jc w:val="both"/>
              <w:rPr>
                <w:rFonts w:asciiTheme="minorHAnsi" w:eastAsia="Calibri" w:hAnsiTheme="minorHAnsi" w:cstheme="minorHAnsi"/>
                <w:sz w:val="20"/>
                <w:szCs w:val="20"/>
              </w:rPr>
            </w:pPr>
          </w:p>
        </w:tc>
        <w:tc>
          <w:tcPr>
            <w:tcW w:w="911" w:type="dxa"/>
            <w:tcBorders>
              <w:top w:val="nil"/>
              <w:left w:val="nil"/>
              <w:bottom w:val="single" w:sz="4" w:space="0" w:color="1072BD"/>
              <w:right w:val="single" w:sz="4" w:space="0" w:color="1072BD"/>
            </w:tcBorders>
          </w:tcPr>
          <w:p w14:paraId="62C67DF4"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6.80</w:t>
            </w:r>
          </w:p>
        </w:tc>
        <w:tc>
          <w:tcPr>
            <w:tcW w:w="2349" w:type="dxa"/>
            <w:tcBorders>
              <w:top w:val="nil"/>
              <w:left w:val="nil"/>
              <w:bottom w:val="single" w:sz="4" w:space="0" w:color="1072BD"/>
              <w:right w:val="single" w:sz="4" w:space="0" w:color="1072BD"/>
            </w:tcBorders>
          </w:tcPr>
          <w:p w14:paraId="73DAE635"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Nivel de máquinas</w:t>
            </w:r>
          </w:p>
        </w:tc>
        <w:tc>
          <w:tcPr>
            <w:tcW w:w="1165" w:type="dxa"/>
            <w:tcBorders>
              <w:top w:val="nil"/>
              <w:left w:val="nil"/>
              <w:bottom w:val="single" w:sz="4" w:space="0" w:color="1072BD"/>
              <w:right w:val="single" w:sz="4" w:space="0" w:color="1072BD"/>
            </w:tcBorders>
          </w:tcPr>
          <w:p w14:paraId="2FBE8706" w14:textId="77777777" w:rsidR="001F600C" w:rsidRPr="00285D58" w:rsidRDefault="001F600C" w:rsidP="008D1FFF">
            <w:pPr>
              <w:spacing w:line="276" w:lineRule="auto"/>
              <w:jc w:val="center"/>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661" w:type="dxa"/>
            <w:tcBorders>
              <w:top w:val="nil"/>
              <w:left w:val="nil"/>
              <w:bottom w:val="single" w:sz="4" w:space="0" w:color="1072BD"/>
              <w:right w:val="nil"/>
            </w:tcBorders>
          </w:tcPr>
          <w:p w14:paraId="3B4ED01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w:t>
            </w:r>
          </w:p>
        </w:tc>
        <w:tc>
          <w:tcPr>
            <w:tcW w:w="1434" w:type="dxa"/>
            <w:tcBorders>
              <w:top w:val="nil"/>
              <w:left w:val="nil"/>
              <w:bottom w:val="single" w:sz="4" w:space="0" w:color="1072BD"/>
              <w:right w:val="single" w:sz="4" w:space="0" w:color="1072BD"/>
            </w:tcBorders>
          </w:tcPr>
          <w:p w14:paraId="5992C7B1" w14:textId="77777777" w:rsidR="001F600C" w:rsidRPr="00285D58" w:rsidRDefault="001F600C" w:rsidP="008D1FFF">
            <w:pPr>
              <w:spacing w:line="276" w:lineRule="auto"/>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tc>
        <w:tc>
          <w:tcPr>
            <w:tcW w:w="1560" w:type="dxa"/>
            <w:tcBorders>
              <w:top w:val="nil"/>
              <w:left w:val="nil"/>
              <w:bottom w:val="single" w:sz="4" w:space="0" w:color="1072BD"/>
              <w:right w:val="single" w:sz="4" w:space="0" w:color="1072BD"/>
            </w:tcBorders>
          </w:tcPr>
          <w:p w14:paraId="6F03C55D" w14:textId="77777777" w:rsidR="001F600C" w:rsidRPr="00285D58" w:rsidRDefault="001F600C" w:rsidP="008D1FFF">
            <w:pPr>
              <w:spacing w:line="276" w:lineRule="auto"/>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254.92 m2</w:t>
            </w:r>
          </w:p>
        </w:tc>
      </w:tr>
      <w:tr w:rsidR="001F600C" w:rsidRPr="00285D58" w14:paraId="131C95D1" w14:textId="77777777" w:rsidTr="00242093">
        <w:trPr>
          <w:trHeight w:val="240"/>
        </w:trPr>
        <w:tc>
          <w:tcPr>
            <w:tcW w:w="1844" w:type="dxa"/>
            <w:tcBorders>
              <w:top w:val="nil"/>
              <w:left w:val="single" w:sz="4" w:space="0" w:color="1072BD"/>
              <w:bottom w:val="nil"/>
              <w:right w:val="single" w:sz="4" w:space="0" w:color="1072BD"/>
            </w:tcBorders>
            <w:shd w:val="clear" w:color="auto" w:fill="E7E6E6" w:themeFill="background2"/>
          </w:tcPr>
          <w:p w14:paraId="5D3045DF" w14:textId="77777777" w:rsidR="001F600C" w:rsidRPr="00285D58" w:rsidRDefault="001F600C" w:rsidP="008D1FFF">
            <w:pPr>
              <w:spacing w:line="276" w:lineRule="auto"/>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TOTAL</w:t>
            </w:r>
          </w:p>
        </w:tc>
        <w:tc>
          <w:tcPr>
            <w:tcW w:w="3260" w:type="dxa"/>
            <w:gridSpan w:val="2"/>
            <w:tcBorders>
              <w:top w:val="single" w:sz="4" w:space="0" w:color="1072BD"/>
              <w:left w:val="nil"/>
              <w:bottom w:val="nil"/>
              <w:right w:val="single" w:sz="4" w:space="0" w:color="1072BD"/>
            </w:tcBorders>
            <w:shd w:val="clear" w:color="auto" w:fill="E7E6E6" w:themeFill="background2"/>
          </w:tcPr>
          <w:p w14:paraId="1FF55A59" w14:textId="77777777" w:rsidR="001F600C" w:rsidRPr="00285D58" w:rsidRDefault="001F600C" w:rsidP="008D1FFF">
            <w:pPr>
              <w:spacing w:line="276" w:lineRule="auto"/>
              <w:ind w:firstLine="567"/>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165" w:type="dxa"/>
            <w:tcBorders>
              <w:top w:val="nil"/>
              <w:left w:val="nil"/>
              <w:bottom w:val="nil"/>
              <w:right w:val="single" w:sz="4" w:space="0" w:color="1072BD"/>
            </w:tcBorders>
            <w:shd w:val="clear" w:color="auto" w:fill="E7E6E6" w:themeFill="background2"/>
          </w:tcPr>
          <w:p w14:paraId="2297D61C" w14:textId="77777777" w:rsidR="001F600C" w:rsidRPr="00285D58" w:rsidRDefault="001F600C" w:rsidP="008D1FFF">
            <w:pPr>
              <w:spacing w:line="276" w:lineRule="auto"/>
              <w:jc w:val="center"/>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407</w:t>
            </w:r>
          </w:p>
        </w:tc>
        <w:tc>
          <w:tcPr>
            <w:tcW w:w="2095" w:type="dxa"/>
            <w:gridSpan w:val="2"/>
            <w:tcBorders>
              <w:top w:val="single" w:sz="4" w:space="0" w:color="1072BD"/>
              <w:left w:val="nil"/>
              <w:bottom w:val="nil"/>
              <w:right w:val="single" w:sz="4" w:space="0" w:color="1072BD"/>
            </w:tcBorders>
            <w:shd w:val="clear" w:color="auto" w:fill="E7E6E6" w:themeFill="background2"/>
          </w:tcPr>
          <w:p w14:paraId="35FDB87B" w14:textId="77777777" w:rsidR="001F600C" w:rsidRPr="00285D58" w:rsidRDefault="001F600C" w:rsidP="008D1FFF">
            <w:pPr>
              <w:spacing w:line="276" w:lineRule="auto"/>
              <w:ind w:firstLine="567"/>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 </w:t>
            </w:r>
          </w:p>
        </w:tc>
        <w:tc>
          <w:tcPr>
            <w:tcW w:w="1560" w:type="dxa"/>
            <w:tcBorders>
              <w:top w:val="nil"/>
              <w:left w:val="nil"/>
              <w:bottom w:val="nil"/>
              <w:right w:val="single" w:sz="4" w:space="0" w:color="1072BD"/>
            </w:tcBorders>
            <w:shd w:val="clear" w:color="auto" w:fill="E7E6E6" w:themeFill="background2"/>
          </w:tcPr>
          <w:p w14:paraId="619B0506" w14:textId="77777777" w:rsidR="001F600C" w:rsidRPr="00285D58" w:rsidRDefault="001F600C" w:rsidP="008D1FFF">
            <w:pPr>
              <w:spacing w:line="276" w:lineRule="auto"/>
              <w:jc w:val="both"/>
              <w:rPr>
                <w:rFonts w:asciiTheme="minorHAnsi" w:eastAsia="Calibri" w:hAnsiTheme="minorHAnsi" w:cstheme="minorHAnsi"/>
                <w:b/>
                <w:bCs/>
                <w:sz w:val="20"/>
                <w:szCs w:val="20"/>
              </w:rPr>
            </w:pPr>
            <w:r w:rsidRPr="00285D58">
              <w:rPr>
                <w:rFonts w:asciiTheme="minorHAnsi" w:eastAsia="Calibri" w:hAnsiTheme="minorHAnsi" w:cstheme="minorHAnsi"/>
                <w:b/>
                <w:bCs/>
                <w:sz w:val="20"/>
                <w:szCs w:val="20"/>
              </w:rPr>
              <w:t>3712.74 m2</w:t>
            </w:r>
          </w:p>
        </w:tc>
      </w:tr>
      <w:tr w:rsidR="001F600C" w:rsidRPr="00285D58" w14:paraId="4BA893CD" w14:textId="77777777" w:rsidTr="00242093">
        <w:trPr>
          <w:trHeight w:val="398"/>
        </w:trPr>
        <w:tc>
          <w:tcPr>
            <w:tcW w:w="9924" w:type="dxa"/>
            <w:gridSpan w:val="7"/>
            <w:tcBorders>
              <w:top w:val="single" w:sz="4" w:space="0" w:color="1072BD"/>
              <w:left w:val="single" w:sz="4" w:space="0" w:color="1072BD"/>
              <w:bottom w:val="nil"/>
              <w:right w:val="single" w:sz="4" w:space="0" w:color="1072BD"/>
            </w:tcBorders>
            <w:shd w:val="clear" w:color="auto" w:fill="E7E6E6" w:themeFill="background2"/>
          </w:tcPr>
          <w:p w14:paraId="4AAC3636"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7C558E64"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1D3B05AD"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 Según el artículo 7 de la Norma A.110 Transportes y Comunicaciones - RNE, se requerirán tres (3) sistemas de aparatos completos correspondientes el aforo máximo estimado.</w:t>
            </w:r>
          </w:p>
        </w:tc>
      </w:tr>
      <w:tr w:rsidR="001F600C" w:rsidRPr="00285D58" w14:paraId="583A4BC5"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79449CA5"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06E45749"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4F7998B6"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 Las áreas de embarque y desembarque funcionan de manera intermitente por lo que el cálculo de áreas con el factor de aforo se divide a la mitad. Este aforo debe ser suficiente para cubrir el aforo de 100 pasajeros que permite la cabina.</w:t>
            </w:r>
          </w:p>
        </w:tc>
      </w:tr>
      <w:tr w:rsidR="001F600C" w:rsidRPr="00285D58" w14:paraId="5C5EC438" w14:textId="77777777" w:rsidTr="00242093">
        <w:trPr>
          <w:trHeight w:val="203"/>
        </w:trPr>
        <w:tc>
          <w:tcPr>
            <w:tcW w:w="9924" w:type="dxa"/>
            <w:gridSpan w:val="7"/>
            <w:tcBorders>
              <w:top w:val="nil"/>
              <w:left w:val="single" w:sz="4" w:space="0" w:color="1072BD"/>
              <w:bottom w:val="nil"/>
              <w:right w:val="single" w:sz="4" w:space="0" w:color="1072BD"/>
            </w:tcBorders>
            <w:shd w:val="clear" w:color="auto" w:fill="E7E6E6" w:themeFill="background2"/>
          </w:tcPr>
          <w:p w14:paraId="00F544D8"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 Se ha tomado un estimado de 2.5 m2 por persona para el cálculo de aforo de las plazas exteriores al edificio.</w:t>
            </w:r>
          </w:p>
        </w:tc>
      </w:tr>
      <w:tr w:rsidR="001F600C" w:rsidRPr="00285D58" w14:paraId="559C29DC" w14:textId="77777777" w:rsidTr="00242093">
        <w:trPr>
          <w:trHeight w:val="203"/>
        </w:trPr>
        <w:tc>
          <w:tcPr>
            <w:tcW w:w="9924" w:type="dxa"/>
            <w:gridSpan w:val="7"/>
            <w:tcBorders>
              <w:top w:val="nil"/>
              <w:left w:val="single" w:sz="4" w:space="0" w:color="1072BD"/>
              <w:bottom w:val="nil"/>
              <w:right w:val="single" w:sz="4" w:space="0" w:color="1072BD"/>
            </w:tcBorders>
            <w:shd w:val="clear" w:color="auto" w:fill="E7E6E6" w:themeFill="background2"/>
          </w:tcPr>
          <w:p w14:paraId="3A9A8990"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Áreas complementarias o de servicio que no se dimensionan respecto al aforo</w:t>
            </w:r>
          </w:p>
        </w:tc>
      </w:tr>
      <w:tr w:rsidR="001F600C" w:rsidRPr="00285D58" w14:paraId="623A370D" w14:textId="77777777" w:rsidTr="00242093">
        <w:trPr>
          <w:trHeight w:val="398"/>
        </w:trPr>
        <w:tc>
          <w:tcPr>
            <w:tcW w:w="9924" w:type="dxa"/>
            <w:gridSpan w:val="7"/>
            <w:tcBorders>
              <w:top w:val="nil"/>
              <w:left w:val="single" w:sz="4" w:space="0" w:color="1072BD"/>
              <w:bottom w:val="nil"/>
              <w:right w:val="single" w:sz="4" w:space="0" w:color="1072BD"/>
            </w:tcBorders>
            <w:shd w:val="clear" w:color="auto" w:fill="E7E6E6" w:themeFill="background2"/>
          </w:tcPr>
          <w:p w14:paraId="62FEC0E0"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Las áreas que albergan la maquinaria requerida por el sistema de transporte de cable se encuentran detalladas en el Estudio Específico N°9 Ingeniería de Diseño, del presente informe.</w:t>
            </w:r>
          </w:p>
        </w:tc>
      </w:tr>
      <w:tr w:rsidR="001F600C" w:rsidRPr="00285D58" w14:paraId="47E670C8" w14:textId="77777777" w:rsidTr="00242093">
        <w:trPr>
          <w:trHeight w:val="203"/>
        </w:trPr>
        <w:tc>
          <w:tcPr>
            <w:tcW w:w="9924" w:type="dxa"/>
            <w:gridSpan w:val="7"/>
            <w:tcBorders>
              <w:top w:val="nil"/>
              <w:left w:val="single" w:sz="4" w:space="0" w:color="1072BD"/>
              <w:bottom w:val="single" w:sz="4" w:space="0" w:color="1072BD"/>
              <w:right w:val="single" w:sz="4" w:space="0" w:color="1072BD"/>
            </w:tcBorders>
            <w:shd w:val="clear" w:color="auto" w:fill="E7E6E6" w:themeFill="background2"/>
          </w:tcPr>
          <w:p w14:paraId="6E5EDA37" w14:textId="77777777" w:rsidR="001F600C" w:rsidRPr="00285D58" w:rsidRDefault="001F600C" w:rsidP="008D1FFF">
            <w:pPr>
              <w:spacing w:line="276" w:lineRule="auto"/>
              <w:ind w:firstLine="567"/>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Áreas de transición y circulación que se dimensionan a partir de la propuesta de arquitectura</w:t>
            </w:r>
          </w:p>
        </w:tc>
      </w:tr>
    </w:tbl>
    <w:p w14:paraId="6E818BC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p w14:paraId="7ADC83C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rPr>
      </w:pPr>
    </w:p>
    <w:p w14:paraId="78B8102D" w14:textId="77777777" w:rsidR="001F600C" w:rsidRPr="00285D58" w:rsidRDefault="001F600C" w:rsidP="008D1FFF">
      <w:pPr>
        <w:spacing w:line="276" w:lineRule="auto"/>
        <w:jc w:val="both"/>
        <w:rPr>
          <w:rFonts w:asciiTheme="minorHAnsi" w:eastAsia="Calibri" w:hAnsiTheme="minorHAnsi" w:cstheme="minorHAnsi"/>
        </w:rPr>
      </w:pPr>
    </w:p>
    <w:p w14:paraId="4851990A" w14:textId="3E89DE21" w:rsidR="001F600C" w:rsidRPr="00285D58" w:rsidRDefault="001F600C" w:rsidP="008D1FFF">
      <w:pPr>
        <w:spacing w:line="276" w:lineRule="auto"/>
        <w:ind w:firstLine="566"/>
        <w:jc w:val="both"/>
        <w:rPr>
          <w:rFonts w:asciiTheme="minorHAnsi" w:eastAsia="Calibri" w:hAnsiTheme="minorHAnsi" w:cstheme="minorHAnsi"/>
        </w:rPr>
      </w:pPr>
      <w:r w:rsidRPr="00285D58">
        <w:rPr>
          <w:rFonts w:asciiTheme="minorHAnsi" w:eastAsia="Calibri" w:hAnsiTheme="minorHAnsi" w:cstheme="minorHAnsi"/>
        </w:rPr>
        <w:t>Figura N°40: Plano de distribución de Estación Intermedia Maizal (Llegada del primer tramo)</w:t>
      </w:r>
    </w:p>
    <w:p w14:paraId="7D68F6D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b/>
      </w:r>
      <w:r w:rsidRPr="00285D58">
        <w:rPr>
          <w:rFonts w:asciiTheme="minorHAnsi" w:eastAsia="Calibri" w:hAnsiTheme="minorHAnsi" w:cstheme="minorHAnsi"/>
          <w:noProof/>
          <w:lang w:val="es-PE"/>
        </w:rPr>
        <w:lastRenderedPageBreak/>
        <w:drawing>
          <wp:inline distT="0" distB="0" distL="0" distR="0" wp14:anchorId="7AE95CBB" wp14:editId="65977103">
            <wp:extent cx="5248275" cy="4591050"/>
            <wp:effectExtent l="0" t="0" r="0" b="0"/>
            <wp:docPr id="2133617426" name="image66.jpg" descr="../../../../Desktop/ES_%20ESTACIONES%20TELEFÉRICO/ES-49%20Estacion%20Llegada%20Luc"/>
            <wp:cNvGraphicFramePr/>
            <a:graphic xmlns:a="http://schemas.openxmlformats.org/drawingml/2006/main">
              <a:graphicData uri="http://schemas.openxmlformats.org/drawingml/2006/picture">
                <pic:pic xmlns:pic="http://schemas.openxmlformats.org/drawingml/2006/picture">
                  <pic:nvPicPr>
                    <pic:cNvPr id="0" name="image66.jpg" descr="../../../../Desktop/ES_%20ESTACIONES%20TELEFÉRICO/ES-49%20Estacion%20Llegada%20Luc"/>
                    <pic:cNvPicPr preferRelativeResize="0"/>
                  </pic:nvPicPr>
                  <pic:blipFill>
                    <a:blip r:embed="rId108"/>
                    <a:srcRect/>
                    <a:stretch>
                      <a:fillRect/>
                    </a:stretch>
                  </pic:blipFill>
                  <pic:spPr>
                    <a:xfrm>
                      <a:off x="0" y="0"/>
                      <a:ext cx="5248275" cy="4591050"/>
                    </a:xfrm>
                    <a:prstGeom prst="rect">
                      <a:avLst/>
                    </a:prstGeom>
                    <a:ln/>
                  </pic:spPr>
                </pic:pic>
              </a:graphicData>
            </a:graphic>
          </wp:inline>
        </w:drawing>
      </w:r>
    </w:p>
    <w:p w14:paraId="3ED35B25" w14:textId="77777777" w:rsidR="001F600C" w:rsidRPr="00285D58" w:rsidRDefault="001F600C" w:rsidP="008D1FFF">
      <w:pPr>
        <w:spacing w:line="276" w:lineRule="auto"/>
        <w:jc w:val="both"/>
        <w:rPr>
          <w:rFonts w:asciiTheme="minorHAnsi" w:eastAsia="Calibri" w:hAnsiTheme="minorHAnsi" w:cstheme="minorHAnsi"/>
        </w:rPr>
      </w:pPr>
    </w:p>
    <w:p w14:paraId="1B51F386" w14:textId="77777777" w:rsidR="00FD3E9C" w:rsidRPr="00285D58" w:rsidRDefault="00FD3E9C" w:rsidP="008D1FFF">
      <w:pPr>
        <w:spacing w:line="276" w:lineRule="auto"/>
        <w:ind w:firstLine="566"/>
        <w:jc w:val="both"/>
        <w:rPr>
          <w:rFonts w:asciiTheme="minorHAnsi" w:eastAsia="Calibri" w:hAnsiTheme="minorHAnsi" w:cstheme="minorHAnsi"/>
        </w:rPr>
      </w:pPr>
    </w:p>
    <w:p w14:paraId="17A33E17" w14:textId="77777777" w:rsidR="00FD3E9C" w:rsidRPr="00285D58" w:rsidRDefault="00FD3E9C" w:rsidP="008D1FFF">
      <w:pPr>
        <w:spacing w:line="276" w:lineRule="auto"/>
        <w:ind w:firstLine="566"/>
        <w:jc w:val="both"/>
        <w:rPr>
          <w:rFonts w:asciiTheme="minorHAnsi" w:eastAsia="Calibri" w:hAnsiTheme="minorHAnsi" w:cstheme="minorHAnsi"/>
        </w:rPr>
      </w:pPr>
    </w:p>
    <w:p w14:paraId="2C62B194" w14:textId="77777777" w:rsidR="00FD3E9C" w:rsidRPr="00285D58" w:rsidRDefault="00FD3E9C" w:rsidP="008D1FFF">
      <w:pPr>
        <w:spacing w:line="276" w:lineRule="auto"/>
        <w:ind w:firstLine="566"/>
        <w:jc w:val="both"/>
        <w:rPr>
          <w:rFonts w:asciiTheme="minorHAnsi" w:eastAsia="Calibri" w:hAnsiTheme="minorHAnsi" w:cstheme="minorHAnsi"/>
        </w:rPr>
      </w:pPr>
    </w:p>
    <w:p w14:paraId="4D5C72C8" w14:textId="61433954" w:rsidR="001F600C" w:rsidRPr="00285D58" w:rsidRDefault="001F600C" w:rsidP="008D1FFF">
      <w:pPr>
        <w:spacing w:line="276" w:lineRule="auto"/>
        <w:ind w:firstLine="566"/>
        <w:jc w:val="center"/>
        <w:rPr>
          <w:rFonts w:asciiTheme="minorHAnsi" w:eastAsia="Calibri" w:hAnsiTheme="minorHAnsi" w:cstheme="minorHAnsi"/>
        </w:rPr>
      </w:pPr>
      <w:r w:rsidRPr="00285D58">
        <w:rPr>
          <w:rFonts w:asciiTheme="minorHAnsi" w:eastAsia="Calibri" w:hAnsiTheme="minorHAnsi" w:cstheme="minorHAnsi"/>
        </w:rPr>
        <w:t>Figura N°41: Plano de elevación lateral de Estación Intermedia Maizal (Llegada del primer tramo)</w:t>
      </w:r>
    </w:p>
    <w:p w14:paraId="6EAC426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7DD75C53" wp14:editId="49FDCCFE">
            <wp:extent cx="5419725" cy="3019425"/>
            <wp:effectExtent l="0" t="0" r="0" b="0"/>
            <wp:docPr id="2133617427" name="image61.jpg" descr="../../../../Desktop/ES_%20ESTACIONES%20TELEFÉRICO/ES-53%20Estacion%20Llegada%20Luc"/>
            <wp:cNvGraphicFramePr/>
            <a:graphic xmlns:a="http://schemas.openxmlformats.org/drawingml/2006/main">
              <a:graphicData uri="http://schemas.openxmlformats.org/drawingml/2006/picture">
                <pic:pic xmlns:pic="http://schemas.openxmlformats.org/drawingml/2006/picture">
                  <pic:nvPicPr>
                    <pic:cNvPr id="0" name="image61.jpg" descr="../../../../Desktop/ES_%20ESTACIONES%20TELEFÉRICO/ES-53%20Estacion%20Llegada%20Luc"/>
                    <pic:cNvPicPr preferRelativeResize="0"/>
                  </pic:nvPicPr>
                  <pic:blipFill>
                    <a:blip r:embed="rId109"/>
                    <a:srcRect/>
                    <a:stretch>
                      <a:fillRect/>
                    </a:stretch>
                  </pic:blipFill>
                  <pic:spPr>
                    <a:xfrm>
                      <a:off x="0" y="0"/>
                      <a:ext cx="5419725" cy="3019425"/>
                    </a:xfrm>
                    <a:prstGeom prst="rect">
                      <a:avLst/>
                    </a:prstGeom>
                    <a:ln/>
                  </pic:spPr>
                </pic:pic>
              </a:graphicData>
            </a:graphic>
          </wp:inline>
        </w:drawing>
      </w:r>
    </w:p>
    <w:p w14:paraId="617CBB97"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9357D0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640A41F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p>
    <w:p w14:paraId="7891AB6B" w14:textId="19B515E2" w:rsidR="001F600C" w:rsidRPr="00285D58" w:rsidRDefault="001F600C" w:rsidP="008D1FFF">
      <w:pPr>
        <w:pStyle w:val="Descripcin"/>
        <w:spacing w:line="276" w:lineRule="auto"/>
        <w:jc w:val="center"/>
        <w:rPr>
          <w:rFonts w:asciiTheme="minorHAnsi" w:eastAsia="Calibri" w:hAnsiTheme="minorHAnsi" w:cstheme="minorHAnsi"/>
          <w:bCs/>
          <w:caps w:val="0"/>
          <w:sz w:val="22"/>
          <w:szCs w:val="22"/>
        </w:rPr>
      </w:pPr>
      <w:r w:rsidRPr="00285D58">
        <w:rPr>
          <w:rFonts w:asciiTheme="minorHAnsi" w:hAnsiTheme="minorHAnsi" w:cstheme="minorHAnsi"/>
          <w:sz w:val="22"/>
          <w:szCs w:val="24"/>
        </w:rPr>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37</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ESTACIÓN INTERMEDIA</w:t>
      </w:r>
    </w:p>
    <w:tbl>
      <w:tblPr>
        <w:tblW w:w="8596" w:type="dxa"/>
        <w:tblInd w:w="-5" w:type="dxa"/>
        <w:tblLayout w:type="fixed"/>
        <w:tblLook w:val="0400" w:firstRow="0" w:lastRow="0" w:firstColumn="0" w:lastColumn="0" w:noHBand="0" w:noVBand="1"/>
      </w:tblPr>
      <w:tblGrid>
        <w:gridCol w:w="3119"/>
        <w:gridCol w:w="5477"/>
      </w:tblGrid>
      <w:tr w:rsidR="001F600C" w:rsidRPr="00285D58" w14:paraId="0FCF445F"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076A306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Estación Intermedia - Tecnología</w:t>
            </w:r>
          </w:p>
        </w:tc>
      </w:tr>
      <w:tr w:rsidR="001F600C" w:rsidRPr="00285D58" w14:paraId="1E54AD93"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1D7EB46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20DB7643"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4E78CEB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3193B3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0A6B39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527AF443"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B9FFD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13D7A2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0429CE67"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1F98B5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6D62D8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0DB2338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52DFFD1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75FD339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26C899A9"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08708B8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60A4A13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663D0C1A"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78BBBF75"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55ACEE4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31F7B37"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4F062F2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3B4B4EE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w:t>
            </w:r>
            <w:r w:rsidRPr="00285D58">
              <w:rPr>
                <w:rFonts w:asciiTheme="minorHAnsi" w:eastAsia="Calibri" w:hAnsiTheme="minorHAnsi" w:cstheme="minorHAnsi"/>
              </w:rPr>
              <w:br/>
              <w:t>, Vegetación arbórea y arbustiva.</w:t>
            </w:r>
          </w:p>
        </w:tc>
      </w:tr>
    </w:tbl>
    <w:p w14:paraId="79C6D1C1" w14:textId="1B8763CD"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FD3E9C" w:rsidRPr="00285D58">
        <w:rPr>
          <w:rFonts w:asciiTheme="minorHAnsi" w:eastAsia="Calibri" w:hAnsiTheme="minorHAnsi" w:cstheme="minorHAnsi"/>
        </w:rPr>
        <w:t>.</w:t>
      </w:r>
    </w:p>
    <w:p w14:paraId="5B69E514" w14:textId="77777777" w:rsidR="001F600C" w:rsidRPr="00285D58" w:rsidRDefault="001F600C" w:rsidP="008D1FFF">
      <w:pPr>
        <w:spacing w:line="276" w:lineRule="auto"/>
        <w:jc w:val="both"/>
        <w:rPr>
          <w:rFonts w:asciiTheme="minorHAnsi" w:eastAsia="Calibri" w:hAnsiTheme="minorHAnsi" w:cstheme="minorHAnsi"/>
        </w:rPr>
      </w:pPr>
    </w:p>
    <w:p w14:paraId="088615CC" w14:textId="77777777" w:rsidR="001F600C" w:rsidRPr="00285D58" w:rsidRDefault="001F600C" w:rsidP="008D1FFF">
      <w:pPr>
        <w:keepNext/>
        <w:keepLines/>
        <w:widowControl/>
        <w:pBdr>
          <w:top w:val="nil"/>
          <w:left w:val="nil"/>
          <w:bottom w:val="nil"/>
          <w:right w:val="nil"/>
          <w:between w:val="nil"/>
        </w:pBdr>
        <w:spacing w:before="240" w:after="24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smallCaps/>
          <w:color w:val="000000"/>
        </w:rPr>
        <w:t>ESTACIONES DE LLEGADA</w:t>
      </w:r>
    </w:p>
    <w:p w14:paraId="1AFEEB4F"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Descripción</w:t>
      </w:r>
    </w:p>
    <w:p w14:paraId="4095F2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estación de llegada define el punto final de la ruta de teleférico y se encarga de recibir a los visitantes que llegan al Monumento Arqueológico de Choquequirao a través de las cabinas. Ésta contará con espacios de espera y servicios complementarios tanto para los visitantes que llegan </w:t>
      </w:r>
      <w:r w:rsidRPr="00285D58">
        <w:rPr>
          <w:rFonts w:asciiTheme="minorHAnsi" w:eastAsia="Calibri" w:hAnsiTheme="minorHAnsi" w:cstheme="minorHAnsi"/>
        </w:rPr>
        <w:lastRenderedPageBreak/>
        <w:t xml:space="preserve">como para los que esperan el retorno a la estación de salida. La ubicación se plantea de acuerdo a los estudios de ingeniería mecánica que sustentarán la efectividad del trazado del sistema. Las estaciones de salida se encontrarán en los siguientes puntos según la alternativa propuesta, Abra Choquequirao (Zona Norte) y en el área cercana a Casa Sacerdotal denominada Lucas (Zona Sur). </w:t>
      </w:r>
    </w:p>
    <w:p w14:paraId="537265C2"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Localización</w:t>
      </w:r>
    </w:p>
    <w:p w14:paraId="66B6A94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emplazamiento de las estaciones de llegada también se encuentra basado en los requerimientos del sistema de teleférico.  Debido a que el espacio de las estaciones de llegada es considerablemente más estrecho, se desarrolla una única cubierta que se adapta a la pendiente lateral del terreno. Las estaciones de llegada constan de un único espacio que se adapta a la pendiente del terreno para minimizar el impacto de la estación en el territorio</w:t>
      </w:r>
    </w:p>
    <w:p w14:paraId="0889E969"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Tamaño</w:t>
      </w:r>
    </w:p>
    <w:p w14:paraId="2DCC0CF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Estaciones de llegada albergan una cantidad mínima de usos para reducir el impacto en el MACH. Contienen espacios tanto para los usuarios como para la maquinaria del sistema de transporte por cable. El segundo aspecto es el que determina la magnitud de la edificación debido a sus dimensiones. La mayor parte de la maquinaria se encuentra en un espacio soterrado diseñado especialmente para su funcionamiento.</w:t>
      </w:r>
    </w:p>
    <w:p w14:paraId="081AB6A1" w14:textId="77777777" w:rsidR="001F600C" w:rsidRPr="00285D58" w:rsidRDefault="001F600C" w:rsidP="008D1FFF">
      <w:pPr>
        <w:spacing w:line="276" w:lineRule="auto"/>
        <w:jc w:val="both"/>
        <w:rPr>
          <w:rFonts w:asciiTheme="minorHAnsi" w:eastAsia="Calibri" w:hAnsiTheme="minorHAnsi" w:cstheme="minorHAnsi"/>
        </w:rPr>
      </w:pPr>
    </w:p>
    <w:p w14:paraId="03DCEFDF"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espacios destinados para el uso de los usuarios comprenden las plataformas de embarque, plataformas de desembarque, los espacios de espera y el mirador, que se encuentra a la salida del edificio. Además, se brindan espacios de servicios higiénicos y tópico.</w:t>
      </w:r>
    </w:p>
    <w:p w14:paraId="4DEAE606" w14:textId="77777777" w:rsidR="001F600C" w:rsidRPr="00285D58" w:rsidRDefault="001F600C" w:rsidP="008D1FFF">
      <w:pPr>
        <w:spacing w:line="276" w:lineRule="auto"/>
        <w:jc w:val="both"/>
        <w:rPr>
          <w:rFonts w:asciiTheme="minorHAnsi" w:eastAsia="Calibri" w:hAnsiTheme="minorHAnsi" w:cstheme="minorHAnsi"/>
        </w:rPr>
      </w:pPr>
    </w:p>
    <w:p w14:paraId="47874DDE"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para el funcionamiento de la estación se requiere una cabina de mando para ambas plataformas de embarque y espacios para los trabajadores del teleférico.</w:t>
      </w:r>
    </w:p>
    <w:p w14:paraId="2CC327C0" w14:textId="77777777" w:rsidR="001F600C" w:rsidRPr="00285D58" w:rsidRDefault="001F600C" w:rsidP="008D1FFF">
      <w:pPr>
        <w:spacing w:line="276" w:lineRule="auto"/>
        <w:jc w:val="both"/>
        <w:rPr>
          <w:rFonts w:asciiTheme="minorHAnsi" w:eastAsia="Calibri" w:hAnsiTheme="minorHAnsi" w:cstheme="minorHAnsi"/>
        </w:rPr>
      </w:pPr>
    </w:p>
    <w:p w14:paraId="55D8AC0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dimensionamiento de las Estaciones de Llegada se ha realizado considerando el aforo estimado proveniente del embarque y desembarque de las cabinas (100 personas por cabina), sumado a las colas que podrían generarse en estas estaciones debido al flujo de turistas calculado en el análisis técnico del Tamaño. Además del personal técnico que operara durante todo momento en las estaciones, por lo que, el aforo de las áreas interiores de ambas estaciones es alrededor de 370 personas. Adicionalmente, se proponen áreas exteriores que varían según el entorno y la topografía donde se emplaza cada estación. Finalmente, el aforo calculado para la Estación de Llegada Abra Choquequirao es de 531 turistas y para la Estación de Llegada Unión de 431 personas.</w:t>
      </w:r>
    </w:p>
    <w:p w14:paraId="744C094A" w14:textId="77777777" w:rsidR="001F600C" w:rsidRPr="00285D58" w:rsidRDefault="001F600C" w:rsidP="008D1FFF">
      <w:pPr>
        <w:spacing w:line="276" w:lineRule="auto"/>
        <w:jc w:val="both"/>
        <w:rPr>
          <w:rFonts w:asciiTheme="minorHAnsi" w:eastAsia="Calibri" w:hAnsiTheme="minorHAnsi" w:cstheme="minorHAnsi"/>
        </w:rPr>
      </w:pPr>
    </w:p>
    <w:p w14:paraId="240D550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Finalmente, las Estaciones de Llegada de Abra Choquequirao y de Unión cuentan con distintas áreas según el aforo requerido y el diseño específico del sistema de transporte por cable para cada línea.</w:t>
      </w:r>
    </w:p>
    <w:p w14:paraId="2E8455E6" w14:textId="77777777" w:rsidR="001F600C" w:rsidRDefault="001F600C" w:rsidP="008D1FFF">
      <w:pPr>
        <w:spacing w:line="276" w:lineRule="auto"/>
        <w:ind w:firstLine="567"/>
        <w:jc w:val="both"/>
        <w:rPr>
          <w:rFonts w:asciiTheme="minorHAnsi" w:eastAsia="Calibri" w:hAnsiTheme="minorHAnsi" w:cstheme="minorHAnsi"/>
        </w:rPr>
      </w:pPr>
    </w:p>
    <w:p w14:paraId="53C19894" w14:textId="77777777" w:rsidR="00664F9A" w:rsidRDefault="00664F9A" w:rsidP="008D1FFF">
      <w:pPr>
        <w:spacing w:line="276" w:lineRule="auto"/>
        <w:ind w:firstLine="567"/>
        <w:jc w:val="both"/>
        <w:rPr>
          <w:rFonts w:asciiTheme="minorHAnsi" w:eastAsia="Calibri" w:hAnsiTheme="minorHAnsi" w:cstheme="minorHAnsi"/>
        </w:rPr>
      </w:pPr>
    </w:p>
    <w:p w14:paraId="4487134E" w14:textId="77777777" w:rsidR="00664F9A" w:rsidRPr="00285D58" w:rsidRDefault="00664F9A" w:rsidP="008D1FFF">
      <w:pPr>
        <w:spacing w:line="276" w:lineRule="auto"/>
        <w:ind w:firstLine="567"/>
        <w:jc w:val="both"/>
        <w:rPr>
          <w:rFonts w:asciiTheme="minorHAnsi" w:eastAsia="Calibri" w:hAnsiTheme="minorHAnsi" w:cstheme="minorHAnsi"/>
        </w:rPr>
      </w:pPr>
    </w:p>
    <w:p w14:paraId="25E0164C" w14:textId="77777777" w:rsidR="001F600C" w:rsidRPr="00285D58" w:rsidRDefault="001F600C" w:rsidP="008D1FFF">
      <w:pPr>
        <w:spacing w:line="276" w:lineRule="auto"/>
        <w:ind w:firstLine="567"/>
        <w:jc w:val="both"/>
        <w:rPr>
          <w:rFonts w:asciiTheme="minorHAnsi" w:eastAsia="Calibri" w:hAnsiTheme="minorHAnsi" w:cstheme="minorHAnsi"/>
        </w:rPr>
      </w:pPr>
    </w:p>
    <w:p w14:paraId="20C42EDD" w14:textId="335D5088"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lastRenderedPageBreak/>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38</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CALCULO DE AFORO DE LA ESTACIÓN DE LLEGADA ABRA CHOQUEQUIRAO</w:t>
      </w:r>
    </w:p>
    <w:tbl>
      <w:tblPr>
        <w:tblW w:w="9028" w:type="dxa"/>
        <w:tblLayout w:type="fixed"/>
        <w:tblLook w:val="0400" w:firstRow="0" w:lastRow="0" w:firstColumn="0" w:lastColumn="0" w:noHBand="0" w:noVBand="1"/>
      </w:tblPr>
      <w:tblGrid>
        <w:gridCol w:w="1457"/>
        <w:gridCol w:w="665"/>
        <w:gridCol w:w="2229"/>
        <w:gridCol w:w="889"/>
        <w:gridCol w:w="567"/>
        <w:gridCol w:w="1843"/>
        <w:gridCol w:w="1378"/>
      </w:tblGrid>
      <w:tr w:rsidR="001F600C" w:rsidRPr="00285D58" w14:paraId="2B62A389"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2146922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ELL01 - ESTACIÓN DE LLEGADA ABRA CHOQUEQUIRAO</w:t>
            </w:r>
          </w:p>
        </w:tc>
      </w:tr>
      <w:tr w:rsidR="001F600C" w:rsidRPr="00285D58" w14:paraId="5FFEF27C" w14:textId="77777777" w:rsidTr="00242093">
        <w:trPr>
          <w:trHeight w:val="399"/>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02289AC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665" w:type="dxa"/>
            <w:tcBorders>
              <w:top w:val="nil"/>
              <w:left w:val="nil"/>
              <w:bottom w:val="single" w:sz="4" w:space="0" w:color="1072BD"/>
              <w:right w:val="single" w:sz="4" w:space="0" w:color="1072BD"/>
            </w:tcBorders>
            <w:shd w:val="clear" w:color="auto" w:fill="E7E6E6" w:themeFill="background2"/>
          </w:tcPr>
          <w:p w14:paraId="6AC6C69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229" w:type="dxa"/>
            <w:tcBorders>
              <w:top w:val="nil"/>
              <w:left w:val="nil"/>
              <w:bottom w:val="single" w:sz="4" w:space="0" w:color="1072BD"/>
              <w:right w:val="single" w:sz="4" w:space="0" w:color="1072BD"/>
            </w:tcBorders>
            <w:shd w:val="clear" w:color="auto" w:fill="E7E6E6" w:themeFill="background2"/>
          </w:tcPr>
          <w:p w14:paraId="66BD8A3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889" w:type="dxa"/>
            <w:tcBorders>
              <w:top w:val="nil"/>
              <w:left w:val="nil"/>
              <w:bottom w:val="single" w:sz="4" w:space="0" w:color="1072BD"/>
              <w:right w:val="single" w:sz="4" w:space="0" w:color="1072BD"/>
            </w:tcBorders>
            <w:shd w:val="clear" w:color="auto" w:fill="E7E6E6" w:themeFill="background2"/>
          </w:tcPr>
          <w:p w14:paraId="106B439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410" w:type="dxa"/>
            <w:gridSpan w:val="2"/>
            <w:tcBorders>
              <w:top w:val="single" w:sz="4" w:space="0" w:color="1072BD"/>
              <w:left w:val="nil"/>
              <w:bottom w:val="single" w:sz="4" w:space="0" w:color="1072BD"/>
              <w:right w:val="single" w:sz="4" w:space="0" w:color="1072BD"/>
            </w:tcBorders>
            <w:shd w:val="clear" w:color="auto" w:fill="E7E6E6" w:themeFill="background2"/>
          </w:tcPr>
          <w:p w14:paraId="7E0D67EC"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378" w:type="dxa"/>
            <w:tcBorders>
              <w:top w:val="nil"/>
              <w:left w:val="nil"/>
              <w:bottom w:val="single" w:sz="4" w:space="0" w:color="1072BD"/>
              <w:right w:val="single" w:sz="4" w:space="0" w:color="1072BD"/>
            </w:tcBorders>
            <w:shd w:val="clear" w:color="auto" w:fill="E7E6E6" w:themeFill="background2"/>
          </w:tcPr>
          <w:p w14:paraId="6358C80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44935E2C" w14:textId="77777777" w:rsidTr="00242093">
        <w:trPr>
          <w:trHeight w:val="240"/>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52A96A7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2894" w:type="dxa"/>
            <w:gridSpan w:val="2"/>
            <w:tcBorders>
              <w:top w:val="single" w:sz="4" w:space="0" w:color="1072BD"/>
              <w:left w:val="nil"/>
              <w:bottom w:val="single" w:sz="4" w:space="0" w:color="1072BD"/>
              <w:right w:val="single" w:sz="4" w:space="0" w:color="1072BD"/>
            </w:tcBorders>
            <w:shd w:val="clear" w:color="auto" w:fill="E7E6E6" w:themeFill="background2"/>
          </w:tcPr>
          <w:p w14:paraId="48674FB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single" w:sz="4" w:space="0" w:color="1072BD"/>
              <w:right w:val="single" w:sz="4" w:space="0" w:color="1072BD"/>
            </w:tcBorders>
            <w:shd w:val="clear" w:color="auto" w:fill="E7E6E6" w:themeFill="background2"/>
          </w:tcPr>
          <w:p w14:paraId="3E6B2269"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372</w:t>
            </w:r>
          </w:p>
        </w:tc>
        <w:tc>
          <w:tcPr>
            <w:tcW w:w="2410" w:type="dxa"/>
            <w:gridSpan w:val="2"/>
            <w:tcBorders>
              <w:top w:val="single" w:sz="4" w:space="0" w:color="1072BD"/>
              <w:left w:val="nil"/>
              <w:bottom w:val="nil"/>
              <w:right w:val="single" w:sz="4" w:space="0" w:color="1072BD"/>
            </w:tcBorders>
            <w:shd w:val="clear" w:color="auto" w:fill="E7E6E6" w:themeFill="background2"/>
          </w:tcPr>
          <w:p w14:paraId="2F13EFA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2ADEE8B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1358.11 m2</w:t>
            </w:r>
          </w:p>
        </w:tc>
      </w:tr>
      <w:tr w:rsidR="001F600C" w:rsidRPr="00285D58" w14:paraId="1D6F8953"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64908A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665" w:type="dxa"/>
            <w:tcBorders>
              <w:top w:val="nil"/>
              <w:left w:val="nil"/>
              <w:bottom w:val="single" w:sz="4" w:space="0" w:color="1072BD"/>
              <w:right w:val="single" w:sz="4" w:space="0" w:color="1072BD"/>
            </w:tcBorders>
          </w:tcPr>
          <w:p w14:paraId="182641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0EBD25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889" w:type="dxa"/>
            <w:tcBorders>
              <w:top w:val="nil"/>
              <w:left w:val="nil"/>
              <w:bottom w:val="single" w:sz="4" w:space="0" w:color="1072BD"/>
              <w:right w:val="nil"/>
            </w:tcBorders>
          </w:tcPr>
          <w:p w14:paraId="095B37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567" w:type="dxa"/>
            <w:tcBorders>
              <w:top w:val="single" w:sz="4" w:space="0" w:color="1072BD"/>
              <w:left w:val="single" w:sz="4" w:space="0" w:color="1072BD"/>
              <w:bottom w:val="single" w:sz="4" w:space="0" w:color="1072BD"/>
              <w:right w:val="nil"/>
            </w:tcBorders>
          </w:tcPr>
          <w:p w14:paraId="0B62ED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843" w:type="dxa"/>
            <w:tcBorders>
              <w:top w:val="single" w:sz="4" w:space="0" w:color="1072BD"/>
              <w:left w:val="nil"/>
              <w:bottom w:val="single" w:sz="4" w:space="0" w:color="1072BD"/>
              <w:right w:val="single" w:sz="4" w:space="0" w:color="1072BD"/>
            </w:tcBorders>
          </w:tcPr>
          <w:p w14:paraId="6D39BA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5ABCF0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8.22 m2</w:t>
            </w:r>
          </w:p>
        </w:tc>
      </w:tr>
      <w:tr w:rsidR="001F600C" w:rsidRPr="00285D58" w14:paraId="42D6536C"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AF3F13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5B7ACB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0D5A1B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889" w:type="dxa"/>
            <w:tcBorders>
              <w:top w:val="nil"/>
              <w:left w:val="nil"/>
              <w:bottom w:val="single" w:sz="4" w:space="0" w:color="1072BD"/>
              <w:right w:val="single" w:sz="4" w:space="0" w:color="1072BD"/>
            </w:tcBorders>
          </w:tcPr>
          <w:p w14:paraId="6EA996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AEEC0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843" w:type="dxa"/>
            <w:tcBorders>
              <w:top w:val="nil"/>
              <w:left w:val="nil"/>
              <w:bottom w:val="single" w:sz="4" w:space="0" w:color="1072BD"/>
              <w:right w:val="single" w:sz="4" w:space="0" w:color="1072BD"/>
            </w:tcBorders>
          </w:tcPr>
          <w:p w14:paraId="345E9C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378" w:type="dxa"/>
            <w:tcBorders>
              <w:top w:val="nil"/>
              <w:left w:val="nil"/>
              <w:bottom w:val="single" w:sz="4" w:space="0" w:color="1072BD"/>
              <w:right w:val="single" w:sz="4" w:space="0" w:color="1072BD"/>
            </w:tcBorders>
          </w:tcPr>
          <w:p w14:paraId="2CA4A1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3.05 m2</w:t>
            </w:r>
          </w:p>
        </w:tc>
      </w:tr>
      <w:tr w:rsidR="001F600C" w:rsidRPr="00285D58" w14:paraId="1056D36D"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334B2EB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64C5C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A94E0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889" w:type="dxa"/>
            <w:tcBorders>
              <w:top w:val="nil"/>
              <w:left w:val="nil"/>
              <w:bottom w:val="single" w:sz="4" w:space="0" w:color="1072BD"/>
              <w:right w:val="single" w:sz="4" w:space="0" w:color="1072BD"/>
            </w:tcBorders>
          </w:tcPr>
          <w:p w14:paraId="5C7F60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D9F0E9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79FEB64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BA3A7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9.77 m2</w:t>
            </w:r>
          </w:p>
        </w:tc>
      </w:tr>
      <w:tr w:rsidR="001F600C" w:rsidRPr="00285D58" w14:paraId="279345A6"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6DF9BF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665" w:type="dxa"/>
            <w:tcBorders>
              <w:top w:val="nil"/>
              <w:left w:val="nil"/>
              <w:bottom w:val="single" w:sz="4" w:space="0" w:color="1072BD"/>
              <w:right w:val="single" w:sz="4" w:space="0" w:color="1072BD"/>
            </w:tcBorders>
          </w:tcPr>
          <w:p w14:paraId="21431F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271419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889" w:type="dxa"/>
            <w:tcBorders>
              <w:top w:val="nil"/>
              <w:left w:val="nil"/>
              <w:bottom w:val="single" w:sz="4" w:space="0" w:color="1072BD"/>
              <w:right w:val="single" w:sz="4" w:space="0" w:color="1072BD"/>
            </w:tcBorders>
          </w:tcPr>
          <w:p w14:paraId="492E7EA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567" w:type="dxa"/>
            <w:tcBorders>
              <w:top w:val="nil"/>
              <w:left w:val="nil"/>
              <w:bottom w:val="single" w:sz="4" w:space="0" w:color="1072BD"/>
              <w:right w:val="nil"/>
            </w:tcBorders>
          </w:tcPr>
          <w:p w14:paraId="17BC9FF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843" w:type="dxa"/>
            <w:tcBorders>
              <w:top w:val="nil"/>
              <w:left w:val="nil"/>
              <w:bottom w:val="single" w:sz="4" w:space="0" w:color="1072BD"/>
              <w:right w:val="single" w:sz="4" w:space="0" w:color="1072BD"/>
            </w:tcBorders>
          </w:tcPr>
          <w:p w14:paraId="3A5160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378" w:type="dxa"/>
            <w:tcBorders>
              <w:top w:val="nil"/>
              <w:left w:val="nil"/>
              <w:bottom w:val="single" w:sz="4" w:space="0" w:color="1072BD"/>
              <w:right w:val="single" w:sz="4" w:space="0" w:color="1072BD"/>
            </w:tcBorders>
          </w:tcPr>
          <w:p w14:paraId="5EDEE20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12.24 m2</w:t>
            </w:r>
          </w:p>
        </w:tc>
      </w:tr>
      <w:tr w:rsidR="001F600C" w:rsidRPr="00285D58" w14:paraId="5EF75EDD"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7E3AFDE"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54DECB3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0225CDB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889" w:type="dxa"/>
            <w:tcBorders>
              <w:top w:val="nil"/>
              <w:left w:val="nil"/>
              <w:bottom w:val="single" w:sz="4" w:space="0" w:color="1072BD"/>
              <w:right w:val="single" w:sz="4" w:space="0" w:color="1072BD"/>
            </w:tcBorders>
          </w:tcPr>
          <w:p w14:paraId="7F5211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A76D09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843" w:type="dxa"/>
            <w:tcBorders>
              <w:top w:val="nil"/>
              <w:left w:val="nil"/>
              <w:bottom w:val="single" w:sz="4" w:space="0" w:color="1072BD"/>
              <w:right w:val="single" w:sz="4" w:space="0" w:color="1072BD"/>
            </w:tcBorders>
          </w:tcPr>
          <w:p w14:paraId="0B2D27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5E4A2EE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19.28 m2</w:t>
            </w:r>
          </w:p>
        </w:tc>
      </w:tr>
      <w:tr w:rsidR="001F600C" w:rsidRPr="00285D58" w14:paraId="261F47F9"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52FF2E88"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22A906F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497D6A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889" w:type="dxa"/>
            <w:tcBorders>
              <w:top w:val="nil"/>
              <w:left w:val="nil"/>
              <w:bottom w:val="single" w:sz="4" w:space="0" w:color="1072BD"/>
              <w:right w:val="single" w:sz="4" w:space="0" w:color="1072BD"/>
            </w:tcBorders>
          </w:tcPr>
          <w:p w14:paraId="6B5A6E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75304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843" w:type="dxa"/>
            <w:tcBorders>
              <w:top w:val="nil"/>
              <w:left w:val="nil"/>
              <w:bottom w:val="single" w:sz="4" w:space="0" w:color="1072BD"/>
              <w:right w:val="single" w:sz="4" w:space="0" w:color="1072BD"/>
            </w:tcBorders>
          </w:tcPr>
          <w:p w14:paraId="16E5954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378" w:type="dxa"/>
            <w:tcBorders>
              <w:top w:val="nil"/>
              <w:left w:val="nil"/>
              <w:bottom w:val="single" w:sz="4" w:space="0" w:color="1072BD"/>
              <w:right w:val="single" w:sz="4" w:space="0" w:color="1072BD"/>
            </w:tcBorders>
          </w:tcPr>
          <w:p w14:paraId="009D1AF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18.23 m2</w:t>
            </w:r>
          </w:p>
        </w:tc>
      </w:tr>
      <w:tr w:rsidR="001F600C" w:rsidRPr="00285D58" w14:paraId="0A320615"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1918ECAF"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C3CB0A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6F51EC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889" w:type="dxa"/>
            <w:tcBorders>
              <w:top w:val="nil"/>
              <w:left w:val="nil"/>
              <w:bottom w:val="single" w:sz="4" w:space="0" w:color="1072BD"/>
              <w:right w:val="single" w:sz="4" w:space="0" w:color="1072BD"/>
            </w:tcBorders>
          </w:tcPr>
          <w:p w14:paraId="34E1DD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57E8ED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843" w:type="dxa"/>
            <w:tcBorders>
              <w:top w:val="nil"/>
              <w:left w:val="nil"/>
              <w:bottom w:val="single" w:sz="4" w:space="0" w:color="1072BD"/>
              <w:right w:val="single" w:sz="4" w:space="0" w:color="1072BD"/>
            </w:tcBorders>
          </w:tcPr>
          <w:p w14:paraId="1DEA061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378" w:type="dxa"/>
            <w:tcBorders>
              <w:top w:val="nil"/>
              <w:left w:val="nil"/>
              <w:bottom w:val="single" w:sz="4" w:space="0" w:color="1072BD"/>
              <w:right w:val="single" w:sz="4" w:space="0" w:color="1072BD"/>
            </w:tcBorders>
          </w:tcPr>
          <w:p w14:paraId="35F81B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5.70 m2</w:t>
            </w:r>
          </w:p>
        </w:tc>
      </w:tr>
      <w:tr w:rsidR="001F600C" w:rsidRPr="00285D58" w14:paraId="343D4B52"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3C2016F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665" w:type="dxa"/>
            <w:tcBorders>
              <w:top w:val="nil"/>
              <w:left w:val="nil"/>
              <w:bottom w:val="single" w:sz="4" w:space="0" w:color="1072BD"/>
              <w:right w:val="single" w:sz="4" w:space="0" w:color="1072BD"/>
            </w:tcBorders>
          </w:tcPr>
          <w:p w14:paraId="361ECD1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229" w:type="dxa"/>
            <w:tcBorders>
              <w:top w:val="nil"/>
              <w:left w:val="nil"/>
              <w:bottom w:val="single" w:sz="4" w:space="0" w:color="1072BD"/>
              <w:right w:val="single" w:sz="4" w:space="0" w:color="1072BD"/>
            </w:tcBorders>
          </w:tcPr>
          <w:p w14:paraId="56ADC0E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62CDE21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F6852F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3043C52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2EFCA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191.09 m2</w:t>
            </w:r>
          </w:p>
        </w:tc>
      </w:tr>
      <w:tr w:rsidR="001F600C" w:rsidRPr="00285D58" w14:paraId="395CF125"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E7F518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656829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229" w:type="dxa"/>
            <w:tcBorders>
              <w:top w:val="nil"/>
              <w:left w:val="nil"/>
              <w:bottom w:val="single" w:sz="4" w:space="0" w:color="1072BD"/>
              <w:right w:val="single" w:sz="4" w:space="0" w:color="1072BD"/>
            </w:tcBorders>
          </w:tcPr>
          <w:p w14:paraId="68128B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2A73828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C62CB0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6512E96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19056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130.65 m2</w:t>
            </w:r>
          </w:p>
        </w:tc>
      </w:tr>
      <w:tr w:rsidR="001F600C" w:rsidRPr="00285D58" w14:paraId="05A4915E"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3D9BF9C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23C9F8E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229" w:type="dxa"/>
            <w:tcBorders>
              <w:top w:val="nil"/>
              <w:left w:val="nil"/>
              <w:bottom w:val="single" w:sz="4" w:space="0" w:color="1072BD"/>
              <w:right w:val="single" w:sz="4" w:space="0" w:color="1072BD"/>
            </w:tcBorders>
          </w:tcPr>
          <w:p w14:paraId="165E4C7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89" w:type="dxa"/>
            <w:tcBorders>
              <w:top w:val="nil"/>
              <w:left w:val="nil"/>
              <w:bottom w:val="single" w:sz="4" w:space="0" w:color="1072BD"/>
              <w:right w:val="single" w:sz="4" w:space="0" w:color="1072BD"/>
            </w:tcBorders>
          </w:tcPr>
          <w:p w14:paraId="3AA88B4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EF4346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298A444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86B40E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39.42 m2</w:t>
            </w:r>
          </w:p>
        </w:tc>
      </w:tr>
      <w:tr w:rsidR="001F600C" w:rsidRPr="00285D58" w14:paraId="44FE29D7"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15697B4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665" w:type="dxa"/>
            <w:tcBorders>
              <w:top w:val="nil"/>
              <w:left w:val="nil"/>
              <w:bottom w:val="single" w:sz="4" w:space="0" w:color="1072BD"/>
              <w:right w:val="single" w:sz="4" w:space="0" w:color="1072BD"/>
            </w:tcBorders>
          </w:tcPr>
          <w:p w14:paraId="0AAAE1C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58A475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889" w:type="dxa"/>
            <w:tcBorders>
              <w:top w:val="nil"/>
              <w:left w:val="nil"/>
              <w:bottom w:val="single" w:sz="4" w:space="0" w:color="1072BD"/>
              <w:right w:val="single" w:sz="4" w:space="0" w:color="1072BD"/>
            </w:tcBorders>
          </w:tcPr>
          <w:p w14:paraId="3844F94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167</w:t>
            </w:r>
          </w:p>
        </w:tc>
        <w:tc>
          <w:tcPr>
            <w:tcW w:w="567" w:type="dxa"/>
            <w:tcBorders>
              <w:top w:val="nil"/>
              <w:left w:val="nil"/>
              <w:bottom w:val="single" w:sz="4" w:space="0" w:color="1072BD"/>
              <w:right w:val="nil"/>
            </w:tcBorders>
          </w:tcPr>
          <w:p w14:paraId="491CB03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843" w:type="dxa"/>
            <w:tcBorders>
              <w:top w:val="nil"/>
              <w:left w:val="nil"/>
              <w:bottom w:val="single" w:sz="4" w:space="0" w:color="1072BD"/>
              <w:right w:val="single" w:sz="4" w:space="0" w:color="1072BD"/>
            </w:tcBorders>
          </w:tcPr>
          <w:p w14:paraId="6CA07B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63A827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333.03 m2</w:t>
            </w:r>
          </w:p>
        </w:tc>
      </w:tr>
      <w:tr w:rsidR="001F600C" w:rsidRPr="00285D58" w14:paraId="0313D541"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6597E662"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0F6E302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113AB10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889" w:type="dxa"/>
            <w:tcBorders>
              <w:top w:val="nil"/>
              <w:left w:val="nil"/>
              <w:bottom w:val="single" w:sz="4" w:space="0" w:color="1072BD"/>
              <w:right w:val="single" w:sz="4" w:space="0" w:color="1072BD"/>
            </w:tcBorders>
          </w:tcPr>
          <w:p w14:paraId="13A6E18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04265B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843" w:type="dxa"/>
            <w:tcBorders>
              <w:top w:val="nil"/>
              <w:left w:val="nil"/>
              <w:bottom w:val="single" w:sz="4" w:space="0" w:color="1072BD"/>
              <w:right w:val="single" w:sz="4" w:space="0" w:color="1072BD"/>
            </w:tcBorders>
          </w:tcPr>
          <w:p w14:paraId="4E9988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731EE3B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156.86 m2</w:t>
            </w:r>
          </w:p>
        </w:tc>
      </w:tr>
      <w:tr w:rsidR="001F600C" w:rsidRPr="00285D58" w14:paraId="071144FB"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AE8E16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431AF3A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7C01F4A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889" w:type="dxa"/>
            <w:tcBorders>
              <w:top w:val="nil"/>
              <w:left w:val="nil"/>
              <w:bottom w:val="single" w:sz="4" w:space="0" w:color="1072BD"/>
              <w:right w:val="single" w:sz="4" w:space="0" w:color="1072BD"/>
            </w:tcBorders>
          </w:tcPr>
          <w:p w14:paraId="7212AFB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51EBB0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843" w:type="dxa"/>
            <w:tcBorders>
              <w:top w:val="nil"/>
              <w:left w:val="nil"/>
              <w:bottom w:val="single" w:sz="4" w:space="0" w:color="1072BD"/>
              <w:right w:val="single" w:sz="4" w:space="0" w:color="1072BD"/>
            </w:tcBorders>
          </w:tcPr>
          <w:p w14:paraId="59D5B7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378" w:type="dxa"/>
            <w:tcBorders>
              <w:top w:val="nil"/>
              <w:left w:val="nil"/>
              <w:bottom w:val="single" w:sz="4" w:space="0" w:color="1072BD"/>
              <w:right w:val="single" w:sz="4" w:space="0" w:color="1072BD"/>
            </w:tcBorders>
          </w:tcPr>
          <w:p w14:paraId="76E9EC0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101.41 m2</w:t>
            </w:r>
          </w:p>
        </w:tc>
      </w:tr>
      <w:tr w:rsidR="001F600C" w:rsidRPr="00285D58" w14:paraId="6C46D16B"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3C9002B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665" w:type="dxa"/>
            <w:tcBorders>
              <w:top w:val="nil"/>
              <w:left w:val="nil"/>
              <w:bottom w:val="single" w:sz="4" w:space="0" w:color="1072BD"/>
              <w:right w:val="single" w:sz="4" w:space="0" w:color="1072BD"/>
            </w:tcBorders>
          </w:tcPr>
          <w:p w14:paraId="7BC4DC6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4A49396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889" w:type="dxa"/>
            <w:tcBorders>
              <w:top w:val="nil"/>
              <w:left w:val="nil"/>
              <w:bottom w:val="single" w:sz="4" w:space="0" w:color="1072BD"/>
              <w:right w:val="single" w:sz="4" w:space="0" w:color="1072BD"/>
            </w:tcBorders>
          </w:tcPr>
          <w:p w14:paraId="762C35B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9151BF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59DDFFE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34B058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185.69 m2</w:t>
            </w:r>
          </w:p>
        </w:tc>
      </w:tr>
      <w:tr w:rsidR="001F600C" w:rsidRPr="00285D58" w14:paraId="6C5F94B6"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73DCD74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7A3B9DB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229" w:type="dxa"/>
            <w:tcBorders>
              <w:top w:val="nil"/>
              <w:left w:val="nil"/>
              <w:bottom w:val="single" w:sz="4" w:space="0" w:color="1072BD"/>
              <w:right w:val="single" w:sz="4" w:space="0" w:color="1072BD"/>
            </w:tcBorders>
          </w:tcPr>
          <w:p w14:paraId="5C1EC7C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23E3FE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CAA5E4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2EF1082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6FD2284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82.74 m2</w:t>
            </w:r>
          </w:p>
        </w:tc>
      </w:tr>
      <w:tr w:rsidR="001F600C" w:rsidRPr="00285D58" w14:paraId="3EBBDE01"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29D90C6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06BE39E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229" w:type="dxa"/>
            <w:tcBorders>
              <w:top w:val="nil"/>
              <w:left w:val="nil"/>
              <w:bottom w:val="single" w:sz="4" w:space="0" w:color="1072BD"/>
              <w:right w:val="single" w:sz="4" w:space="0" w:color="1072BD"/>
            </w:tcBorders>
          </w:tcPr>
          <w:p w14:paraId="4AC0A61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5BAFAEC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DD0982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466AE3A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0DACF19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31.05 m2</w:t>
            </w:r>
          </w:p>
        </w:tc>
      </w:tr>
      <w:tr w:rsidR="001F600C" w:rsidRPr="00285D58" w14:paraId="093347F8"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4840AB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73F2A2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229" w:type="dxa"/>
            <w:tcBorders>
              <w:top w:val="nil"/>
              <w:left w:val="nil"/>
              <w:bottom w:val="single" w:sz="4" w:space="0" w:color="1072BD"/>
              <w:right w:val="single" w:sz="4" w:space="0" w:color="1072BD"/>
            </w:tcBorders>
          </w:tcPr>
          <w:p w14:paraId="3E3EBC7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89" w:type="dxa"/>
            <w:tcBorders>
              <w:top w:val="nil"/>
              <w:left w:val="nil"/>
              <w:bottom w:val="single" w:sz="4" w:space="0" w:color="1072BD"/>
              <w:right w:val="single" w:sz="4" w:space="0" w:color="1072BD"/>
            </w:tcBorders>
          </w:tcPr>
          <w:p w14:paraId="07D1C8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15F55161"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7F3FACD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48D75D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29.68 m2</w:t>
            </w:r>
          </w:p>
        </w:tc>
      </w:tr>
      <w:tr w:rsidR="001F600C" w:rsidRPr="00285D58" w14:paraId="55239C06" w14:textId="77777777" w:rsidTr="00242093">
        <w:trPr>
          <w:trHeight w:val="240"/>
        </w:trPr>
        <w:tc>
          <w:tcPr>
            <w:tcW w:w="1457" w:type="dxa"/>
            <w:tcBorders>
              <w:top w:val="nil"/>
              <w:left w:val="single" w:sz="4" w:space="0" w:color="1072BD"/>
              <w:bottom w:val="single" w:sz="4" w:space="0" w:color="1072BD"/>
              <w:right w:val="single" w:sz="4" w:space="0" w:color="1072BD"/>
            </w:tcBorders>
            <w:shd w:val="clear" w:color="auto" w:fill="E7E6E6" w:themeFill="background2"/>
          </w:tcPr>
          <w:p w14:paraId="0F5CACB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2894" w:type="dxa"/>
            <w:gridSpan w:val="2"/>
            <w:tcBorders>
              <w:top w:val="single" w:sz="4" w:space="0" w:color="1072BD"/>
              <w:left w:val="nil"/>
              <w:bottom w:val="single" w:sz="4" w:space="0" w:color="1072BD"/>
              <w:right w:val="single" w:sz="4" w:space="0" w:color="1072BD"/>
            </w:tcBorders>
            <w:shd w:val="clear" w:color="auto" w:fill="E7E6E6" w:themeFill="background2"/>
          </w:tcPr>
          <w:p w14:paraId="7159D398"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single" w:sz="4" w:space="0" w:color="1072BD"/>
              <w:right w:val="single" w:sz="4" w:space="0" w:color="1072BD"/>
            </w:tcBorders>
            <w:shd w:val="clear" w:color="auto" w:fill="E7E6E6" w:themeFill="background2"/>
          </w:tcPr>
          <w:p w14:paraId="1E17717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159</w:t>
            </w:r>
          </w:p>
        </w:tc>
        <w:tc>
          <w:tcPr>
            <w:tcW w:w="2410" w:type="dxa"/>
            <w:gridSpan w:val="2"/>
            <w:tcBorders>
              <w:top w:val="single" w:sz="4" w:space="0" w:color="1072BD"/>
              <w:left w:val="nil"/>
              <w:bottom w:val="single" w:sz="4" w:space="0" w:color="1072BD"/>
              <w:right w:val="single" w:sz="4" w:space="0" w:color="1072BD"/>
            </w:tcBorders>
            <w:shd w:val="clear" w:color="auto" w:fill="E7E6E6" w:themeFill="background2"/>
          </w:tcPr>
          <w:p w14:paraId="0469D19C"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single" w:sz="4" w:space="0" w:color="1072BD"/>
              <w:right w:val="single" w:sz="4" w:space="0" w:color="1072BD"/>
            </w:tcBorders>
            <w:shd w:val="clear" w:color="auto" w:fill="E7E6E6" w:themeFill="background2"/>
          </w:tcPr>
          <w:p w14:paraId="6A9AF130"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339.54 m2</w:t>
            </w:r>
          </w:p>
        </w:tc>
      </w:tr>
      <w:tr w:rsidR="001F600C" w:rsidRPr="00285D58" w14:paraId="5B01E1A6" w14:textId="77777777" w:rsidTr="00242093">
        <w:trPr>
          <w:trHeight w:val="240"/>
        </w:trPr>
        <w:tc>
          <w:tcPr>
            <w:tcW w:w="1457" w:type="dxa"/>
            <w:vMerge w:val="restart"/>
            <w:tcBorders>
              <w:top w:val="nil"/>
              <w:left w:val="single" w:sz="4" w:space="0" w:color="1072BD"/>
              <w:bottom w:val="single" w:sz="4" w:space="0" w:color="1072BD"/>
              <w:right w:val="single" w:sz="4" w:space="0" w:color="1072BD"/>
            </w:tcBorders>
          </w:tcPr>
          <w:p w14:paraId="522566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665" w:type="dxa"/>
            <w:tcBorders>
              <w:top w:val="nil"/>
              <w:left w:val="nil"/>
              <w:bottom w:val="single" w:sz="4" w:space="0" w:color="1072BD"/>
              <w:right w:val="single" w:sz="4" w:space="0" w:color="1072BD"/>
            </w:tcBorders>
          </w:tcPr>
          <w:p w14:paraId="7FED36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229" w:type="dxa"/>
            <w:tcBorders>
              <w:top w:val="nil"/>
              <w:left w:val="nil"/>
              <w:bottom w:val="single" w:sz="4" w:space="0" w:color="1072BD"/>
              <w:right w:val="single" w:sz="4" w:space="0" w:color="1072BD"/>
            </w:tcBorders>
          </w:tcPr>
          <w:p w14:paraId="4A43572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mirador</w:t>
            </w:r>
          </w:p>
        </w:tc>
        <w:tc>
          <w:tcPr>
            <w:tcW w:w="889" w:type="dxa"/>
            <w:tcBorders>
              <w:top w:val="nil"/>
              <w:left w:val="nil"/>
              <w:bottom w:val="single" w:sz="4" w:space="0" w:color="1072BD"/>
              <w:right w:val="single" w:sz="4" w:space="0" w:color="1072BD"/>
            </w:tcBorders>
          </w:tcPr>
          <w:p w14:paraId="147242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159</w:t>
            </w:r>
          </w:p>
        </w:tc>
        <w:tc>
          <w:tcPr>
            <w:tcW w:w="567" w:type="dxa"/>
            <w:tcBorders>
              <w:top w:val="nil"/>
              <w:left w:val="nil"/>
              <w:bottom w:val="single" w:sz="4" w:space="0" w:color="1072BD"/>
              <w:right w:val="nil"/>
            </w:tcBorders>
          </w:tcPr>
          <w:p w14:paraId="7E64E3C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843" w:type="dxa"/>
            <w:tcBorders>
              <w:top w:val="nil"/>
              <w:left w:val="nil"/>
              <w:bottom w:val="single" w:sz="4" w:space="0" w:color="1072BD"/>
              <w:right w:val="single" w:sz="4" w:space="0" w:color="1072BD"/>
            </w:tcBorders>
          </w:tcPr>
          <w:p w14:paraId="7F83F2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378" w:type="dxa"/>
            <w:tcBorders>
              <w:top w:val="nil"/>
              <w:left w:val="nil"/>
              <w:bottom w:val="single" w:sz="4" w:space="0" w:color="1072BD"/>
              <w:right w:val="single" w:sz="4" w:space="0" w:color="1072BD"/>
            </w:tcBorders>
          </w:tcPr>
          <w:p w14:paraId="0401FAD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318.43 m2</w:t>
            </w:r>
          </w:p>
        </w:tc>
      </w:tr>
      <w:tr w:rsidR="001F600C" w:rsidRPr="00285D58" w14:paraId="7C2E01F9" w14:textId="77777777" w:rsidTr="00242093">
        <w:trPr>
          <w:trHeight w:val="240"/>
        </w:trPr>
        <w:tc>
          <w:tcPr>
            <w:tcW w:w="1457" w:type="dxa"/>
            <w:vMerge/>
            <w:tcBorders>
              <w:top w:val="nil"/>
              <w:left w:val="single" w:sz="4" w:space="0" w:color="1072BD"/>
              <w:bottom w:val="single" w:sz="4" w:space="0" w:color="1072BD"/>
              <w:right w:val="single" w:sz="4" w:space="0" w:color="1072BD"/>
            </w:tcBorders>
          </w:tcPr>
          <w:p w14:paraId="723A96B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665" w:type="dxa"/>
            <w:tcBorders>
              <w:top w:val="nil"/>
              <w:left w:val="nil"/>
              <w:bottom w:val="single" w:sz="4" w:space="0" w:color="1072BD"/>
              <w:right w:val="single" w:sz="4" w:space="0" w:color="1072BD"/>
            </w:tcBorders>
          </w:tcPr>
          <w:p w14:paraId="4CB3C1A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229" w:type="dxa"/>
            <w:tcBorders>
              <w:top w:val="nil"/>
              <w:left w:val="nil"/>
              <w:bottom w:val="single" w:sz="4" w:space="0" w:color="1072BD"/>
              <w:right w:val="single" w:sz="4" w:space="0" w:color="1072BD"/>
            </w:tcBorders>
          </w:tcPr>
          <w:p w14:paraId="27198DF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889" w:type="dxa"/>
            <w:tcBorders>
              <w:top w:val="nil"/>
              <w:left w:val="nil"/>
              <w:bottom w:val="single" w:sz="4" w:space="0" w:color="1072BD"/>
              <w:right w:val="single" w:sz="4" w:space="0" w:color="1072BD"/>
            </w:tcBorders>
          </w:tcPr>
          <w:p w14:paraId="1A683C9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BE80F2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843" w:type="dxa"/>
            <w:tcBorders>
              <w:top w:val="nil"/>
              <w:left w:val="nil"/>
              <w:bottom w:val="single" w:sz="4" w:space="0" w:color="1072BD"/>
              <w:right w:val="single" w:sz="4" w:space="0" w:color="1072BD"/>
            </w:tcBorders>
          </w:tcPr>
          <w:p w14:paraId="0099C61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378" w:type="dxa"/>
            <w:tcBorders>
              <w:top w:val="nil"/>
              <w:left w:val="nil"/>
              <w:bottom w:val="single" w:sz="4" w:space="0" w:color="1072BD"/>
              <w:right w:val="single" w:sz="4" w:space="0" w:color="1072BD"/>
            </w:tcBorders>
          </w:tcPr>
          <w:p w14:paraId="2650934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21.11 m2</w:t>
            </w:r>
          </w:p>
        </w:tc>
      </w:tr>
      <w:tr w:rsidR="001F600C" w:rsidRPr="00285D58" w14:paraId="5964CA07" w14:textId="77777777" w:rsidTr="00242093">
        <w:trPr>
          <w:trHeight w:val="240"/>
        </w:trPr>
        <w:tc>
          <w:tcPr>
            <w:tcW w:w="1457" w:type="dxa"/>
            <w:tcBorders>
              <w:top w:val="nil"/>
              <w:left w:val="single" w:sz="4" w:space="0" w:color="1072BD"/>
              <w:bottom w:val="nil"/>
              <w:right w:val="single" w:sz="4" w:space="0" w:color="1072BD"/>
            </w:tcBorders>
            <w:shd w:val="clear" w:color="auto" w:fill="E7E6E6" w:themeFill="background2"/>
          </w:tcPr>
          <w:p w14:paraId="0C0E9F3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2894" w:type="dxa"/>
            <w:gridSpan w:val="2"/>
            <w:tcBorders>
              <w:top w:val="single" w:sz="4" w:space="0" w:color="1072BD"/>
              <w:left w:val="nil"/>
              <w:bottom w:val="nil"/>
              <w:right w:val="single" w:sz="4" w:space="0" w:color="1072BD"/>
            </w:tcBorders>
            <w:shd w:val="clear" w:color="auto" w:fill="E7E6E6" w:themeFill="background2"/>
          </w:tcPr>
          <w:p w14:paraId="27FFA713"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89" w:type="dxa"/>
            <w:tcBorders>
              <w:top w:val="nil"/>
              <w:left w:val="nil"/>
              <w:bottom w:val="nil"/>
              <w:right w:val="single" w:sz="4" w:space="0" w:color="1072BD"/>
            </w:tcBorders>
            <w:shd w:val="clear" w:color="auto" w:fill="E7E6E6" w:themeFill="background2"/>
          </w:tcPr>
          <w:p w14:paraId="15B95B6C"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531</w:t>
            </w:r>
          </w:p>
        </w:tc>
        <w:tc>
          <w:tcPr>
            <w:tcW w:w="2410" w:type="dxa"/>
            <w:gridSpan w:val="2"/>
            <w:tcBorders>
              <w:top w:val="single" w:sz="4" w:space="0" w:color="1072BD"/>
              <w:left w:val="nil"/>
              <w:bottom w:val="nil"/>
              <w:right w:val="single" w:sz="4" w:space="0" w:color="1072BD"/>
            </w:tcBorders>
            <w:shd w:val="clear" w:color="auto" w:fill="E7E6E6" w:themeFill="background2"/>
          </w:tcPr>
          <w:p w14:paraId="02F4F7B5"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378" w:type="dxa"/>
            <w:tcBorders>
              <w:top w:val="nil"/>
              <w:left w:val="nil"/>
              <w:bottom w:val="nil"/>
              <w:right w:val="single" w:sz="4" w:space="0" w:color="1072BD"/>
            </w:tcBorders>
            <w:shd w:val="clear" w:color="auto" w:fill="E7E6E6" w:themeFill="background2"/>
          </w:tcPr>
          <w:p w14:paraId="0ACF9A72"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1697.65 m2</w:t>
            </w:r>
          </w:p>
        </w:tc>
      </w:tr>
      <w:tr w:rsidR="001F600C" w:rsidRPr="00285D58" w14:paraId="4F034816"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tcPr>
          <w:p w14:paraId="0AA74B6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06ECCBE5"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BF1664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2C6F4ADD"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556C27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0EE8A2B3"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4497CEE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29367FD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0DB6646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2.00 m2 por persona para el cálculo de aforo de las plazas exteriores al edificio.</w:t>
            </w:r>
          </w:p>
        </w:tc>
      </w:tr>
      <w:tr w:rsidR="001F600C" w:rsidRPr="00285D58" w14:paraId="57F530AA"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2AD2117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0B859F92"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7458BE33"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6A62C6BA"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20474D07"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6A6ECED2" w14:textId="05C14C2E"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304EC7" w:rsidRPr="00285D58">
        <w:rPr>
          <w:rFonts w:asciiTheme="minorHAnsi" w:eastAsia="Calibri" w:hAnsiTheme="minorHAnsi" w:cstheme="minorHAnsi"/>
        </w:rPr>
        <w:t>.</w:t>
      </w:r>
    </w:p>
    <w:p w14:paraId="380134CB" w14:textId="77777777" w:rsidR="001F600C" w:rsidRPr="00285D58" w:rsidRDefault="001F600C" w:rsidP="008D1FFF">
      <w:pPr>
        <w:spacing w:line="276" w:lineRule="auto"/>
        <w:jc w:val="both"/>
        <w:rPr>
          <w:rFonts w:asciiTheme="minorHAnsi" w:eastAsia="Calibri" w:hAnsiTheme="minorHAnsi" w:cstheme="minorHAnsi"/>
        </w:rPr>
      </w:pPr>
    </w:p>
    <w:p w14:paraId="215315CE" w14:textId="77777777" w:rsidR="001F600C" w:rsidRPr="00285D58" w:rsidRDefault="001F600C" w:rsidP="008D1FFF">
      <w:pPr>
        <w:spacing w:line="276" w:lineRule="auto"/>
        <w:jc w:val="both"/>
        <w:rPr>
          <w:rFonts w:asciiTheme="minorHAnsi" w:eastAsia="Calibri" w:hAnsiTheme="minorHAnsi" w:cstheme="minorHAnsi"/>
        </w:rPr>
      </w:pPr>
    </w:p>
    <w:p w14:paraId="0B78534F" w14:textId="26D045B2"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lastRenderedPageBreak/>
        <w:t xml:space="preserve">Tabla </w:t>
      </w:r>
      <w:r w:rsidR="00F20B19" w:rsidRPr="00285D58">
        <w:rPr>
          <w:rFonts w:asciiTheme="minorHAnsi" w:hAnsiTheme="minorHAnsi" w:cstheme="minorHAnsi"/>
          <w:sz w:val="22"/>
          <w:szCs w:val="24"/>
        </w:rPr>
        <w:fldChar w:fldCharType="begin"/>
      </w:r>
      <w:r w:rsidR="00F20B19" w:rsidRPr="00285D58">
        <w:rPr>
          <w:rFonts w:asciiTheme="minorHAnsi" w:hAnsiTheme="minorHAnsi" w:cstheme="minorHAnsi"/>
          <w:sz w:val="22"/>
          <w:szCs w:val="24"/>
        </w:rPr>
        <w:instrText xml:space="preserve"> SEQ Tabla \* ARABIC </w:instrText>
      </w:r>
      <w:r w:rsidR="00F20B19"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39</w:t>
      </w:r>
      <w:r w:rsidR="00F20B19"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CALCULO DE AFORO DE LA ESTACIÓN DE LLEGADA UNIÓN</w:t>
      </w:r>
    </w:p>
    <w:tbl>
      <w:tblPr>
        <w:tblW w:w="9028" w:type="dxa"/>
        <w:tblLayout w:type="fixed"/>
        <w:tblLook w:val="0400" w:firstRow="0" w:lastRow="0" w:firstColumn="0" w:lastColumn="0" w:noHBand="0" w:noVBand="1"/>
      </w:tblPr>
      <w:tblGrid>
        <w:gridCol w:w="1271"/>
        <w:gridCol w:w="709"/>
        <w:gridCol w:w="2697"/>
        <w:gridCol w:w="847"/>
        <w:gridCol w:w="567"/>
        <w:gridCol w:w="1701"/>
        <w:gridCol w:w="1236"/>
      </w:tblGrid>
      <w:tr w:rsidR="001F600C" w:rsidRPr="00285D58" w14:paraId="5D3985FF" w14:textId="77777777" w:rsidTr="00242093">
        <w:trPr>
          <w:trHeight w:val="399"/>
        </w:trPr>
        <w:tc>
          <w:tcPr>
            <w:tcW w:w="9028" w:type="dxa"/>
            <w:gridSpan w:val="7"/>
            <w:tcBorders>
              <w:top w:val="single" w:sz="4" w:space="0" w:color="1072BD"/>
              <w:left w:val="single" w:sz="4" w:space="0" w:color="1072BD"/>
              <w:bottom w:val="single" w:sz="4" w:space="0" w:color="1072BD"/>
              <w:right w:val="single" w:sz="4" w:space="0" w:color="1072BD"/>
            </w:tcBorders>
            <w:shd w:val="clear" w:color="auto" w:fill="E7E6E6" w:themeFill="background2"/>
          </w:tcPr>
          <w:p w14:paraId="2220BE8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ELL02 - ESTACIÓN DE LLEGADA UNIÓN</w:t>
            </w:r>
          </w:p>
        </w:tc>
      </w:tr>
      <w:tr w:rsidR="001F600C" w:rsidRPr="00285D58" w14:paraId="6AD91FFC" w14:textId="77777777" w:rsidTr="00242093">
        <w:trPr>
          <w:trHeight w:val="399"/>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02D682B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PROGRAMA</w:t>
            </w:r>
          </w:p>
        </w:tc>
        <w:tc>
          <w:tcPr>
            <w:tcW w:w="709" w:type="dxa"/>
            <w:tcBorders>
              <w:top w:val="nil"/>
              <w:left w:val="nil"/>
              <w:bottom w:val="single" w:sz="4" w:space="0" w:color="1072BD"/>
              <w:right w:val="single" w:sz="4" w:space="0" w:color="1072BD"/>
            </w:tcBorders>
            <w:shd w:val="clear" w:color="auto" w:fill="E7E6E6" w:themeFill="background2"/>
          </w:tcPr>
          <w:p w14:paraId="7A629D91"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NIVEL</w:t>
            </w:r>
          </w:p>
        </w:tc>
        <w:tc>
          <w:tcPr>
            <w:tcW w:w="2697" w:type="dxa"/>
            <w:tcBorders>
              <w:top w:val="nil"/>
              <w:left w:val="nil"/>
              <w:bottom w:val="single" w:sz="4" w:space="0" w:color="1072BD"/>
              <w:right w:val="single" w:sz="4" w:space="0" w:color="1072BD"/>
            </w:tcBorders>
            <w:shd w:val="clear" w:color="auto" w:fill="E7E6E6" w:themeFill="background2"/>
          </w:tcPr>
          <w:p w14:paraId="3443CF1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NOMBRE DE AMBIENTE</w:t>
            </w:r>
          </w:p>
        </w:tc>
        <w:tc>
          <w:tcPr>
            <w:tcW w:w="847" w:type="dxa"/>
            <w:tcBorders>
              <w:top w:val="nil"/>
              <w:left w:val="nil"/>
              <w:bottom w:val="single" w:sz="4" w:space="0" w:color="1072BD"/>
              <w:right w:val="single" w:sz="4" w:space="0" w:color="1072BD"/>
            </w:tcBorders>
            <w:shd w:val="clear" w:color="auto" w:fill="E7E6E6" w:themeFill="background2"/>
          </w:tcPr>
          <w:p w14:paraId="286DA404"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AFORO</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1139F96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ÍNDICE</w:t>
            </w:r>
          </w:p>
        </w:tc>
        <w:tc>
          <w:tcPr>
            <w:tcW w:w="1236" w:type="dxa"/>
            <w:tcBorders>
              <w:top w:val="nil"/>
              <w:left w:val="nil"/>
              <w:bottom w:val="single" w:sz="8" w:space="0" w:color="1072BD"/>
              <w:right w:val="single" w:sz="8" w:space="0" w:color="1072BD"/>
            </w:tcBorders>
            <w:shd w:val="clear" w:color="auto" w:fill="E7E6E6" w:themeFill="background2"/>
          </w:tcPr>
          <w:p w14:paraId="7822D1D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 CONSTRUIDA</w:t>
            </w:r>
          </w:p>
        </w:tc>
      </w:tr>
      <w:tr w:rsidR="001F600C" w:rsidRPr="00285D58" w14:paraId="4342695D"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26AD02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interiores</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5647CCBD"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1B864F9F"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365</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0AA93BE4"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single" w:sz="4" w:space="0" w:color="1072BD"/>
              <w:left w:val="nil"/>
              <w:bottom w:val="single" w:sz="4" w:space="0" w:color="1072BD"/>
              <w:right w:val="single" w:sz="4" w:space="0" w:color="1072BD"/>
            </w:tcBorders>
            <w:shd w:val="clear" w:color="auto" w:fill="E7E6E6" w:themeFill="background2"/>
          </w:tcPr>
          <w:p w14:paraId="196B44F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1366.65 m2</w:t>
            </w:r>
          </w:p>
        </w:tc>
      </w:tr>
      <w:tr w:rsidR="001F600C" w:rsidRPr="00285D58" w14:paraId="6BF5BAFD"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65D0EB4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Administración y mantenimiento</w:t>
            </w:r>
          </w:p>
        </w:tc>
        <w:tc>
          <w:tcPr>
            <w:tcW w:w="709" w:type="dxa"/>
            <w:tcBorders>
              <w:top w:val="nil"/>
              <w:left w:val="nil"/>
              <w:bottom w:val="single" w:sz="4" w:space="0" w:color="1072BD"/>
              <w:right w:val="single" w:sz="4" w:space="0" w:color="1072BD"/>
            </w:tcBorders>
          </w:tcPr>
          <w:p w14:paraId="1ADDE7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4E0B6B6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xml:space="preserve">Local de Mando </w:t>
            </w:r>
          </w:p>
        </w:tc>
        <w:tc>
          <w:tcPr>
            <w:tcW w:w="847" w:type="dxa"/>
            <w:tcBorders>
              <w:top w:val="nil"/>
              <w:left w:val="nil"/>
              <w:bottom w:val="single" w:sz="4" w:space="0" w:color="1072BD"/>
              <w:right w:val="single" w:sz="4" w:space="0" w:color="1072BD"/>
            </w:tcBorders>
          </w:tcPr>
          <w:p w14:paraId="2724CB9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w:t>
            </w:r>
          </w:p>
        </w:tc>
        <w:tc>
          <w:tcPr>
            <w:tcW w:w="567" w:type="dxa"/>
            <w:tcBorders>
              <w:top w:val="nil"/>
              <w:left w:val="nil"/>
              <w:bottom w:val="single" w:sz="4" w:space="0" w:color="1072BD"/>
              <w:right w:val="nil"/>
            </w:tcBorders>
          </w:tcPr>
          <w:p w14:paraId="49A3A3B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701" w:type="dxa"/>
            <w:tcBorders>
              <w:top w:val="nil"/>
              <w:left w:val="nil"/>
              <w:bottom w:val="single" w:sz="4" w:space="0" w:color="1072BD"/>
              <w:right w:val="single" w:sz="4" w:space="0" w:color="1072BD"/>
            </w:tcBorders>
          </w:tcPr>
          <w:p w14:paraId="25CC9C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236" w:type="dxa"/>
            <w:tcBorders>
              <w:top w:val="nil"/>
              <w:left w:val="nil"/>
              <w:bottom w:val="single" w:sz="4" w:space="0" w:color="1072BD"/>
              <w:right w:val="single" w:sz="4" w:space="0" w:color="1072BD"/>
            </w:tcBorders>
          </w:tcPr>
          <w:p w14:paraId="35968EE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7.89 m2</w:t>
            </w:r>
          </w:p>
        </w:tc>
      </w:tr>
      <w:tr w:rsidR="001F600C" w:rsidRPr="00285D58" w14:paraId="679CA70F"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D13722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7E0EE78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1CD624E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de Administración</w:t>
            </w:r>
          </w:p>
        </w:tc>
        <w:tc>
          <w:tcPr>
            <w:tcW w:w="847" w:type="dxa"/>
            <w:tcBorders>
              <w:top w:val="nil"/>
              <w:left w:val="nil"/>
              <w:bottom w:val="single" w:sz="4" w:space="0" w:color="1072BD"/>
              <w:right w:val="single" w:sz="4" w:space="0" w:color="1072BD"/>
            </w:tcBorders>
          </w:tcPr>
          <w:p w14:paraId="5E53792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435AC97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701" w:type="dxa"/>
            <w:tcBorders>
              <w:top w:val="nil"/>
              <w:left w:val="nil"/>
              <w:bottom w:val="single" w:sz="4" w:space="0" w:color="1072BD"/>
              <w:right w:val="single" w:sz="4" w:space="0" w:color="1072BD"/>
            </w:tcBorders>
          </w:tcPr>
          <w:p w14:paraId="0CEEE7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1</w:t>
            </w:r>
          </w:p>
        </w:tc>
        <w:tc>
          <w:tcPr>
            <w:tcW w:w="1236" w:type="dxa"/>
            <w:tcBorders>
              <w:top w:val="nil"/>
              <w:left w:val="nil"/>
              <w:bottom w:val="single" w:sz="4" w:space="0" w:color="1072BD"/>
              <w:right w:val="single" w:sz="4" w:space="0" w:color="1072BD"/>
            </w:tcBorders>
          </w:tcPr>
          <w:p w14:paraId="444008C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3.05 m2</w:t>
            </w:r>
          </w:p>
        </w:tc>
      </w:tr>
      <w:tr w:rsidR="001F600C" w:rsidRPr="00285D58" w14:paraId="457B022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7FC1C73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4804378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64D26E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Depósito</w:t>
            </w:r>
          </w:p>
        </w:tc>
        <w:tc>
          <w:tcPr>
            <w:tcW w:w="847" w:type="dxa"/>
            <w:tcBorders>
              <w:top w:val="nil"/>
              <w:left w:val="nil"/>
              <w:bottom w:val="single" w:sz="4" w:space="0" w:color="1072BD"/>
              <w:right w:val="single" w:sz="4" w:space="0" w:color="1072BD"/>
            </w:tcBorders>
          </w:tcPr>
          <w:p w14:paraId="77F0F8D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2868E6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2F11872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4E7A50C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9.76 m2</w:t>
            </w:r>
          </w:p>
        </w:tc>
      </w:tr>
      <w:tr w:rsidR="001F600C" w:rsidRPr="00285D58" w14:paraId="2D7F6C98"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1B0E235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w:t>
            </w:r>
          </w:p>
        </w:tc>
        <w:tc>
          <w:tcPr>
            <w:tcW w:w="709" w:type="dxa"/>
            <w:tcBorders>
              <w:top w:val="nil"/>
              <w:left w:val="nil"/>
              <w:bottom w:val="single" w:sz="4" w:space="0" w:color="1072BD"/>
              <w:right w:val="single" w:sz="4" w:space="0" w:color="1072BD"/>
            </w:tcBorders>
          </w:tcPr>
          <w:p w14:paraId="086E17D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2959A8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Tópico</w:t>
            </w:r>
          </w:p>
        </w:tc>
        <w:tc>
          <w:tcPr>
            <w:tcW w:w="847" w:type="dxa"/>
            <w:tcBorders>
              <w:top w:val="nil"/>
              <w:left w:val="nil"/>
              <w:bottom w:val="single" w:sz="4" w:space="0" w:color="1072BD"/>
              <w:right w:val="single" w:sz="4" w:space="0" w:color="1072BD"/>
            </w:tcBorders>
          </w:tcPr>
          <w:p w14:paraId="405502F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w:t>
            </w:r>
          </w:p>
        </w:tc>
        <w:tc>
          <w:tcPr>
            <w:tcW w:w="567" w:type="dxa"/>
            <w:tcBorders>
              <w:top w:val="nil"/>
              <w:left w:val="nil"/>
              <w:bottom w:val="single" w:sz="4" w:space="0" w:color="1072BD"/>
              <w:right w:val="nil"/>
            </w:tcBorders>
          </w:tcPr>
          <w:p w14:paraId="185F3E6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4.00</w:t>
            </w:r>
          </w:p>
        </w:tc>
        <w:tc>
          <w:tcPr>
            <w:tcW w:w="1701" w:type="dxa"/>
            <w:tcBorders>
              <w:top w:val="nil"/>
              <w:left w:val="nil"/>
              <w:bottom w:val="single" w:sz="4" w:space="0" w:color="1072BD"/>
              <w:right w:val="single" w:sz="4" w:space="0" w:color="1072BD"/>
            </w:tcBorders>
          </w:tcPr>
          <w:p w14:paraId="18E9FE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1</w:t>
            </w:r>
          </w:p>
        </w:tc>
        <w:tc>
          <w:tcPr>
            <w:tcW w:w="1236" w:type="dxa"/>
            <w:tcBorders>
              <w:top w:val="nil"/>
              <w:left w:val="nil"/>
              <w:bottom w:val="single" w:sz="4" w:space="0" w:color="1072BD"/>
              <w:right w:val="single" w:sz="4" w:space="0" w:color="1072BD"/>
            </w:tcBorders>
          </w:tcPr>
          <w:p w14:paraId="63D996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12.32 m2</w:t>
            </w:r>
          </w:p>
        </w:tc>
      </w:tr>
      <w:tr w:rsidR="001F600C" w:rsidRPr="00285D58" w14:paraId="0B84FEFF"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0C75D80B"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FEDC2C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7F5679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Hombres</w:t>
            </w:r>
          </w:p>
        </w:tc>
        <w:tc>
          <w:tcPr>
            <w:tcW w:w="847" w:type="dxa"/>
            <w:tcBorders>
              <w:top w:val="nil"/>
              <w:left w:val="nil"/>
              <w:bottom w:val="single" w:sz="4" w:space="0" w:color="1072BD"/>
              <w:right w:val="single" w:sz="4" w:space="0" w:color="1072BD"/>
            </w:tcBorders>
          </w:tcPr>
          <w:p w14:paraId="3392474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DC6734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01" w:type="dxa"/>
            <w:tcBorders>
              <w:top w:val="nil"/>
              <w:left w:val="nil"/>
              <w:bottom w:val="single" w:sz="4" w:space="0" w:color="1072BD"/>
              <w:right w:val="single" w:sz="4" w:space="0" w:color="1072BD"/>
            </w:tcBorders>
          </w:tcPr>
          <w:p w14:paraId="1141FD0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236" w:type="dxa"/>
            <w:tcBorders>
              <w:top w:val="nil"/>
              <w:left w:val="nil"/>
              <w:bottom w:val="single" w:sz="4" w:space="0" w:color="1072BD"/>
              <w:right w:val="single" w:sz="4" w:space="0" w:color="1072BD"/>
            </w:tcBorders>
          </w:tcPr>
          <w:p w14:paraId="2B94EE4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19.28 m2</w:t>
            </w:r>
          </w:p>
        </w:tc>
      </w:tr>
      <w:tr w:rsidR="001F600C" w:rsidRPr="00285D58" w14:paraId="4B5CDB6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083725C7"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46B0EC0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C5CA7B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Mujeres</w:t>
            </w:r>
          </w:p>
        </w:tc>
        <w:tc>
          <w:tcPr>
            <w:tcW w:w="847" w:type="dxa"/>
            <w:tcBorders>
              <w:top w:val="nil"/>
              <w:left w:val="nil"/>
              <w:bottom w:val="single" w:sz="4" w:space="0" w:color="1072BD"/>
              <w:right w:val="single" w:sz="4" w:space="0" w:color="1072BD"/>
            </w:tcBorders>
          </w:tcPr>
          <w:p w14:paraId="599B982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412A287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1701" w:type="dxa"/>
            <w:tcBorders>
              <w:top w:val="nil"/>
              <w:left w:val="nil"/>
              <w:bottom w:val="single" w:sz="4" w:space="0" w:color="1072BD"/>
              <w:right w:val="single" w:sz="4" w:space="0" w:color="1072BD"/>
            </w:tcBorders>
          </w:tcPr>
          <w:p w14:paraId="095EBA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2</w:t>
            </w:r>
          </w:p>
        </w:tc>
        <w:tc>
          <w:tcPr>
            <w:tcW w:w="1236" w:type="dxa"/>
            <w:tcBorders>
              <w:top w:val="nil"/>
              <w:left w:val="nil"/>
              <w:bottom w:val="single" w:sz="4" w:space="0" w:color="1072BD"/>
              <w:right w:val="single" w:sz="4" w:space="0" w:color="1072BD"/>
            </w:tcBorders>
          </w:tcPr>
          <w:p w14:paraId="122FB5C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15.77 m2</w:t>
            </w:r>
          </w:p>
        </w:tc>
      </w:tr>
      <w:tr w:rsidR="001F600C" w:rsidRPr="00285D58" w14:paraId="1CE52A08"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4599E90"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D24D13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487B92E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Servicios Higiénicos Discapacitados</w:t>
            </w:r>
          </w:p>
        </w:tc>
        <w:tc>
          <w:tcPr>
            <w:tcW w:w="847" w:type="dxa"/>
            <w:tcBorders>
              <w:top w:val="nil"/>
              <w:left w:val="nil"/>
              <w:bottom w:val="single" w:sz="4" w:space="0" w:color="1072BD"/>
              <w:right w:val="single" w:sz="4" w:space="0" w:color="1072BD"/>
            </w:tcBorders>
          </w:tcPr>
          <w:p w14:paraId="47BEC8C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7D28A07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1701" w:type="dxa"/>
            <w:tcBorders>
              <w:top w:val="nil"/>
              <w:left w:val="nil"/>
              <w:bottom w:val="single" w:sz="4" w:space="0" w:color="1072BD"/>
              <w:right w:val="single" w:sz="4" w:space="0" w:color="1072BD"/>
            </w:tcBorders>
          </w:tcPr>
          <w:p w14:paraId="1AA0642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bloques de aparatos 3</w:t>
            </w:r>
          </w:p>
        </w:tc>
        <w:tc>
          <w:tcPr>
            <w:tcW w:w="1236" w:type="dxa"/>
            <w:tcBorders>
              <w:top w:val="nil"/>
              <w:left w:val="nil"/>
              <w:bottom w:val="single" w:sz="4" w:space="0" w:color="1072BD"/>
              <w:right w:val="single" w:sz="4" w:space="0" w:color="1072BD"/>
            </w:tcBorders>
          </w:tcPr>
          <w:p w14:paraId="162ECFC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5.70 m2</w:t>
            </w:r>
          </w:p>
        </w:tc>
      </w:tr>
      <w:tr w:rsidR="001F600C" w:rsidRPr="00285D58" w14:paraId="3A9D2B75"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1E8A459B"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maquinas</w:t>
            </w:r>
          </w:p>
        </w:tc>
        <w:tc>
          <w:tcPr>
            <w:tcW w:w="709" w:type="dxa"/>
            <w:tcBorders>
              <w:top w:val="nil"/>
              <w:left w:val="nil"/>
              <w:bottom w:val="single" w:sz="4" w:space="0" w:color="1072BD"/>
              <w:right w:val="single" w:sz="4" w:space="0" w:color="1072BD"/>
            </w:tcBorders>
          </w:tcPr>
          <w:p w14:paraId="399D16D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697" w:type="dxa"/>
            <w:tcBorders>
              <w:top w:val="nil"/>
              <w:left w:val="nil"/>
              <w:bottom w:val="single" w:sz="4" w:space="0" w:color="1072BD"/>
              <w:right w:val="single" w:sz="4" w:space="0" w:color="1072BD"/>
            </w:tcBorders>
          </w:tcPr>
          <w:p w14:paraId="5A81ED2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4574C4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2BA6CE9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39513D3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7CA7560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171.28 m2</w:t>
            </w:r>
          </w:p>
        </w:tc>
      </w:tr>
      <w:tr w:rsidR="001F600C" w:rsidRPr="00285D58" w14:paraId="45355414"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3A98EF5C"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8237DA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697" w:type="dxa"/>
            <w:tcBorders>
              <w:top w:val="nil"/>
              <w:left w:val="nil"/>
              <w:bottom w:val="single" w:sz="4" w:space="0" w:color="1072BD"/>
              <w:right w:val="single" w:sz="4" w:space="0" w:color="1072BD"/>
            </w:tcBorders>
          </w:tcPr>
          <w:p w14:paraId="24994D3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2833D1A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6FEE6F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5BF019E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51F84C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151.89 m2</w:t>
            </w:r>
          </w:p>
        </w:tc>
      </w:tr>
      <w:tr w:rsidR="001F600C" w:rsidRPr="00285D58" w14:paraId="65600D02"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29E76D4A"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2E588A8C"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697" w:type="dxa"/>
            <w:tcBorders>
              <w:top w:val="nil"/>
              <w:left w:val="nil"/>
              <w:bottom w:val="single" w:sz="4" w:space="0" w:color="1072BD"/>
              <w:right w:val="single" w:sz="4" w:space="0" w:color="1072BD"/>
            </w:tcBorders>
          </w:tcPr>
          <w:p w14:paraId="15C7EE7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máquinas</w:t>
            </w:r>
          </w:p>
        </w:tc>
        <w:tc>
          <w:tcPr>
            <w:tcW w:w="847" w:type="dxa"/>
            <w:tcBorders>
              <w:top w:val="nil"/>
              <w:left w:val="nil"/>
              <w:bottom w:val="single" w:sz="4" w:space="0" w:color="1072BD"/>
              <w:right w:val="single" w:sz="4" w:space="0" w:color="1072BD"/>
            </w:tcBorders>
          </w:tcPr>
          <w:p w14:paraId="3213D0E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3D42E67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4A8F6EC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7B9A313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68.05 m2</w:t>
            </w:r>
          </w:p>
        </w:tc>
      </w:tr>
      <w:tr w:rsidR="001F600C" w:rsidRPr="00285D58" w14:paraId="6D444362"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30DFFEB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Zonas de espera y abordaje</w:t>
            </w:r>
          </w:p>
        </w:tc>
        <w:tc>
          <w:tcPr>
            <w:tcW w:w="709" w:type="dxa"/>
            <w:tcBorders>
              <w:top w:val="nil"/>
              <w:left w:val="nil"/>
              <w:bottom w:val="single" w:sz="4" w:space="0" w:color="1072BD"/>
              <w:right w:val="single" w:sz="4" w:space="0" w:color="1072BD"/>
            </w:tcBorders>
          </w:tcPr>
          <w:p w14:paraId="1C3C59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5244353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espera</w:t>
            </w:r>
          </w:p>
        </w:tc>
        <w:tc>
          <w:tcPr>
            <w:tcW w:w="847" w:type="dxa"/>
            <w:tcBorders>
              <w:top w:val="nil"/>
              <w:left w:val="nil"/>
              <w:bottom w:val="single" w:sz="4" w:space="0" w:color="1072BD"/>
              <w:right w:val="single" w:sz="4" w:space="0" w:color="1072BD"/>
            </w:tcBorders>
          </w:tcPr>
          <w:p w14:paraId="1DBB35C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160</w:t>
            </w:r>
          </w:p>
        </w:tc>
        <w:tc>
          <w:tcPr>
            <w:tcW w:w="567" w:type="dxa"/>
            <w:tcBorders>
              <w:top w:val="nil"/>
              <w:left w:val="nil"/>
              <w:bottom w:val="single" w:sz="4" w:space="0" w:color="1072BD"/>
              <w:right w:val="nil"/>
            </w:tcBorders>
          </w:tcPr>
          <w:p w14:paraId="320B249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701" w:type="dxa"/>
            <w:tcBorders>
              <w:top w:val="nil"/>
              <w:left w:val="nil"/>
              <w:bottom w:val="single" w:sz="4" w:space="0" w:color="1072BD"/>
              <w:right w:val="single" w:sz="4" w:space="0" w:color="1072BD"/>
            </w:tcBorders>
          </w:tcPr>
          <w:p w14:paraId="7087235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0B62EDA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319.33 m2</w:t>
            </w:r>
          </w:p>
        </w:tc>
      </w:tr>
      <w:tr w:rsidR="001F600C" w:rsidRPr="00285D58" w14:paraId="1AB5B6C0"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6EDA026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C9A462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581932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embarque</w:t>
            </w:r>
          </w:p>
        </w:tc>
        <w:tc>
          <w:tcPr>
            <w:tcW w:w="847" w:type="dxa"/>
            <w:tcBorders>
              <w:top w:val="nil"/>
              <w:left w:val="nil"/>
              <w:bottom w:val="single" w:sz="4" w:space="0" w:color="1072BD"/>
              <w:right w:val="single" w:sz="4" w:space="0" w:color="1072BD"/>
            </w:tcBorders>
          </w:tcPr>
          <w:p w14:paraId="56F6B18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510585F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701" w:type="dxa"/>
            <w:tcBorders>
              <w:top w:val="nil"/>
              <w:left w:val="nil"/>
              <w:bottom w:val="single" w:sz="4" w:space="0" w:color="1072BD"/>
              <w:right w:val="single" w:sz="4" w:space="0" w:color="1072BD"/>
            </w:tcBorders>
          </w:tcPr>
          <w:p w14:paraId="5BF26E70"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7E83A09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153.00 m2</w:t>
            </w:r>
          </w:p>
        </w:tc>
      </w:tr>
      <w:tr w:rsidR="001F600C" w:rsidRPr="00285D58" w14:paraId="6F0DA210"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4830A636"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D6543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00E9D58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Área de desembarque</w:t>
            </w:r>
          </w:p>
        </w:tc>
        <w:tc>
          <w:tcPr>
            <w:tcW w:w="847" w:type="dxa"/>
            <w:tcBorders>
              <w:top w:val="nil"/>
              <w:left w:val="nil"/>
              <w:bottom w:val="single" w:sz="4" w:space="0" w:color="1072BD"/>
              <w:right w:val="single" w:sz="4" w:space="0" w:color="1072BD"/>
            </w:tcBorders>
          </w:tcPr>
          <w:p w14:paraId="25B2284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100</w:t>
            </w:r>
          </w:p>
        </w:tc>
        <w:tc>
          <w:tcPr>
            <w:tcW w:w="567" w:type="dxa"/>
            <w:tcBorders>
              <w:top w:val="nil"/>
              <w:left w:val="nil"/>
              <w:bottom w:val="single" w:sz="4" w:space="0" w:color="1072BD"/>
              <w:right w:val="nil"/>
            </w:tcBorders>
          </w:tcPr>
          <w:p w14:paraId="3EC05CD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0.80</w:t>
            </w:r>
          </w:p>
        </w:tc>
        <w:tc>
          <w:tcPr>
            <w:tcW w:w="1701" w:type="dxa"/>
            <w:tcBorders>
              <w:top w:val="nil"/>
              <w:left w:val="nil"/>
              <w:bottom w:val="single" w:sz="4" w:space="0" w:color="1072BD"/>
              <w:right w:val="single" w:sz="4" w:space="0" w:color="1072BD"/>
            </w:tcBorders>
          </w:tcPr>
          <w:p w14:paraId="74B6DE7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4</w:t>
            </w:r>
          </w:p>
        </w:tc>
        <w:tc>
          <w:tcPr>
            <w:tcW w:w="1236" w:type="dxa"/>
            <w:tcBorders>
              <w:top w:val="nil"/>
              <w:left w:val="nil"/>
              <w:bottom w:val="single" w:sz="4" w:space="0" w:color="1072BD"/>
              <w:right w:val="single" w:sz="4" w:space="0" w:color="1072BD"/>
            </w:tcBorders>
          </w:tcPr>
          <w:p w14:paraId="268247E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111.55 m2</w:t>
            </w:r>
          </w:p>
        </w:tc>
      </w:tr>
      <w:tr w:rsidR="001F600C" w:rsidRPr="00285D58" w14:paraId="754D027C"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790F39A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y estructuras</w:t>
            </w:r>
          </w:p>
        </w:tc>
        <w:tc>
          <w:tcPr>
            <w:tcW w:w="709" w:type="dxa"/>
            <w:tcBorders>
              <w:top w:val="nil"/>
              <w:left w:val="nil"/>
              <w:bottom w:val="single" w:sz="4" w:space="0" w:color="1072BD"/>
              <w:right w:val="single" w:sz="4" w:space="0" w:color="1072BD"/>
            </w:tcBorders>
          </w:tcPr>
          <w:p w14:paraId="582356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5EB15B1F"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ingreso</w:t>
            </w:r>
          </w:p>
        </w:tc>
        <w:tc>
          <w:tcPr>
            <w:tcW w:w="847" w:type="dxa"/>
            <w:tcBorders>
              <w:top w:val="nil"/>
              <w:left w:val="nil"/>
              <w:bottom w:val="single" w:sz="4" w:space="0" w:color="1072BD"/>
              <w:right w:val="single" w:sz="4" w:space="0" w:color="1072BD"/>
            </w:tcBorders>
          </w:tcPr>
          <w:p w14:paraId="5501AE18"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3C80B5E5"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30CEF09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0DF118B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195.83 m2</w:t>
            </w:r>
          </w:p>
        </w:tc>
      </w:tr>
      <w:tr w:rsidR="001F600C" w:rsidRPr="00285D58" w14:paraId="7A9EA7A5"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26653421"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138D8AD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-4.50</w:t>
            </w:r>
          </w:p>
        </w:tc>
        <w:tc>
          <w:tcPr>
            <w:tcW w:w="2697" w:type="dxa"/>
            <w:tcBorders>
              <w:top w:val="nil"/>
              <w:left w:val="nil"/>
              <w:bottom w:val="single" w:sz="4" w:space="0" w:color="1072BD"/>
              <w:right w:val="single" w:sz="4" w:space="0" w:color="1072BD"/>
            </w:tcBorders>
          </w:tcPr>
          <w:p w14:paraId="3813299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522EC85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7C8869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12DF8E7F"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56A507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71.84 m2</w:t>
            </w:r>
          </w:p>
        </w:tc>
      </w:tr>
      <w:tr w:rsidR="001F600C" w:rsidRPr="00285D58" w14:paraId="1C44EB84"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339255C9"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FF1C8C7"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-6.00</w:t>
            </w:r>
          </w:p>
        </w:tc>
        <w:tc>
          <w:tcPr>
            <w:tcW w:w="2697" w:type="dxa"/>
            <w:tcBorders>
              <w:top w:val="nil"/>
              <w:left w:val="nil"/>
              <w:bottom w:val="single" w:sz="4" w:space="0" w:color="1072BD"/>
              <w:right w:val="single" w:sz="4" w:space="0" w:color="1072BD"/>
            </w:tcBorders>
          </w:tcPr>
          <w:p w14:paraId="49B03C1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08FDB78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0876EE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55AEDF2D"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30B49F02"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7.87 m2</w:t>
            </w:r>
          </w:p>
        </w:tc>
      </w:tr>
      <w:tr w:rsidR="001F600C" w:rsidRPr="00285D58" w14:paraId="164C575D"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1B0BEDF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33B5BDE1"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-9.10</w:t>
            </w:r>
          </w:p>
        </w:tc>
        <w:tc>
          <w:tcPr>
            <w:tcW w:w="2697" w:type="dxa"/>
            <w:tcBorders>
              <w:top w:val="nil"/>
              <w:left w:val="nil"/>
              <w:bottom w:val="single" w:sz="4" w:space="0" w:color="1072BD"/>
              <w:right w:val="single" w:sz="4" w:space="0" w:color="1072BD"/>
            </w:tcBorders>
          </w:tcPr>
          <w:p w14:paraId="5E4238B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Nivel de máquinas</w:t>
            </w:r>
          </w:p>
        </w:tc>
        <w:tc>
          <w:tcPr>
            <w:tcW w:w="847" w:type="dxa"/>
            <w:tcBorders>
              <w:top w:val="nil"/>
              <w:left w:val="nil"/>
              <w:bottom w:val="single" w:sz="4" w:space="0" w:color="1072BD"/>
              <w:right w:val="single" w:sz="4" w:space="0" w:color="1072BD"/>
            </w:tcBorders>
          </w:tcPr>
          <w:p w14:paraId="2D8634A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nil"/>
              <w:right w:val="nil"/>
            </w:tcBorders>
          </w:tcPr>
          <w:p w14:paraId="109F77D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nil"/>
              <w:right w:val="single" w:sz="4" w:space="0" w:color="1072BD"/>
            </w:tcBorders>
          </w:tcPr>
          <w:p w14:paraId="50C42B6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10C2A54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42.24 m2</w:t>
            </w:r>
          </w:p>
        </w:tc>
      </w:tr>
      <w:tr w:rsidR="001F600C" w:rsidRPr="00285D58" w14:paraId="0704B5C2"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09C03CD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Áreas exteriores</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2EEAC478"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7F800A8E"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67</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6E21D70E"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nil"/>
              <w:left w:val="nil"/>
              <w:bottom w:val="single" w:sz="4" w:space="0" w:color="1072BD"/>
              <w:right w:val="single" w:sz="4" w:space="0" w:color="1072BD"/>
            </w:tcBorders>
            <w:shd w:val="clear" w:color="auto" w:fill="E7E6E6" w:themeFill="background2"/>
          </w:tcPr>
          <w:p w14:paraId="23441C7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154.67 m2</w:t>
            </w:r>
          </w:p>
        </w:tc>
      </w:tr>
      <w:tr w:rsidR="001F600C" w:rsidRPr="00285D58" w14:paraId="637AB36D" w14:textId="77777777" w:rsidTr="00242093">
        <w:trPr>
          <w:trHeight w:val="240"/>
        </w:trPr>
        <w:tc>
          <w:tcPr>
            <w:tcW w:w="1271" w:type="dxa"/>
            <w:vMerge w:val="restart"/>
            <w:tcBorders>
              <w:top w:val="nil"/>
              <w:left w:val="single" w:sz="4" w:space="0" w:color="1072BD"/>
              <w:bottom w:val="single" w:sz="4" w:space="0" w:color="1072BD"/>
              <w:right w:val="single" w:sz="4" w:space="0" w:color="1072BD"/>
            </w:tcBorders>
          </w:tcPr>
          <w:p w14:paraId="5ABD939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Visitantes</w:t>
            </w:r>
          </w:p>
        </w:tc>
        <w:tc>
          <w:tcPr>
            <w:tcW w:w="709" w:type="dxa"/>
            <w:tcBorders>
              <w:top w:val="nil"/>
              <w:left w:val="nil"/>
              <w:bottom w:val="single" w:sz="4" w:space="0" w:color="1072BD"/>
              <w:right w:val="single" w:sz="4" w:space="0" w:color="1072BD"/>
            </w:tcBorders>
          </w:tcPr>
          <w:p w14:paraId="35D4DA75"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-3.00</w:t>
            </w:r>
          </w:p>
        </w:tc>
        <w:tc>
          <w:tcPr>
            <w:tcW w:w="2697" w:type="dxa"/>
            <w:tcBorders>
              <w:top w:val="nil"/>
              <w:left w:val="nil"/>
              <w:bottom w:val="single" w:sz="4" w:space="0" w:color="1072BD"/>
              <w:right w:val="single" w:sz="4" w:space="0" w:color="1072BD"/>
            </w:tcBorders>
          </w:tcPr>
          <w:p w14:paraId="41CD8DF9"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Plaza mirador</w:t>
            </w:r>
          </w:p>
        </w:tc>
        <w:tc>
          <w:tcPr>
            <w:tcW w:w="847" w:type="dxa"/>
            <w:tcBorders>
              <w:top w:val="nil"/>
              <w:left w:val="nil"/>
              <w:bottom w:val="single" w:sz="4" w:space="0" w:color="1072BD"/>
              <w:right w:val="single" w:sz="4" w:space="0" w:color="1072BD"/>
            </w:tcBorders>
          </w:tcPr>
          <w:p w14:paraId="05CC70A3"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67</w:t>
            </w:r>
          </w:p>
        </w:tc>
        <w:tc>
          <w:tcPr>
            <w:tcW w:w="567" w:type="dxa"/>
            <w:tcBorders>
              <w:top w:val="nil"/>
              <w:left w:val="nil"/>
              <w:bottom w:val="single" w:sz="4" w:space="0" w:color="1072BD"/>
              <w:right w:val="nil"/>
            </w:tcBorders>
          </w:tcPr>
          <w:p w14:paraId="0F09D544"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2.00</w:t>
            </w:r>
          </w:p>
        </w:tc>
        <w:tc>
          <w:tcPr>
            <w:tcW w:w="1701" w:type="dxa"/>
            <w:tcBorders>
              <w:top w:val="nil"/>
              <w:left w:val="nil"/>
              <w:bottom w:val="single" w:sz="4" w:space="0" w:color="1072BD"/>
              <w:right w:val="single" w:sz="4" w:space="0" w:color="1072BD"/>
            </w:tcBorders>
          </w:tcPr>
          <w:p w14:paraId="07474016"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m2 por persona 5</w:t>
            </w:r>
          </w:p>
        </w:tc>
        <w:tc>
          <w:tcPr>
            <w:tcW w:w="1236" w:type="dxa"/>
            <w:tcBorders>
              <w:top w:val="nil"/>
              <w:left w:val="nil"/>
              <w:bottom w:val="single" w:sz="4" w:space="0" w:color="1072BD"/>
              <w:right w:val="single" w:sz="4" w:space="0" w:color="1072BD"/>
            </w:tcBorders>
          </w:tcPr>
          <w:p w14:paraId="5372502D"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133.56 m2</w:t>
            </w:r>
          </w:p>
        </w:tc>
      </w:tr>
      <w:tr w:rsidR="001F600C" w:rsidRPr="00285D58" w14:paraId="539BF331" w14:textId="77777777" w:rsidTr="00242093">
        <w:trPr>
          <w:trHeight w:val="240"/>
        </w:trPr>
        <w:tc>
          <w:tcPr>
            <w:tcW w:w="1271" w:type="dxa"/>
            <w:vMerge/>
            <w:tcBorders>
              <w:top w:val="nil"/>
              <w:left w:val="single" w:sz="4" w:space="0" w:color="1072BD"/>
              <w:bottom w:val="single" w:sz="4" w:space="0" w:color="1072BD"/>
              <w:right w:val="single" w:sz="4" w:space="0" w:color="1072BD"/>
            </w:tcBorders>
          </w:tcPr>
          <w:p w14:paraId="754237B5"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sz w:val="18"/>
                <w:szCs w:val="18"/>
              </w:rPr>
            </w:pPr>
          </w:p>
        </w:tc>
        <w:tc>
          <w:tcPr>
            <w:tcW w:w="709" w:type="dxa"/>
            <w:tcBorders>
              <w:top w:val="nil"/>
              <w:left w:val="nil"/>
              <w:bottom w:val="single" w:sz="4" w:space="0" w:color="1072BD"/>
              <w:right w:val="single" w:sz="4" w:space="0" w:color="1072BD"/>
            </w:tcBorders>
          </w:tcPr>
          <w:p w14:paraId="0860162A"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0.00</w:t>
            </w:r>
          </w:p>
        </w:tc>
        <w:tc>
          <w:tcPr>
            <w:tcW w:w="2697" w:type="dxa"/>
            <w:tcBorders>
              <w:top w:val="nil"/>
              <w:left w:val="nil"/>
              <w:bottom w:val="single" w:sz="4" w:space="0" w:color="1072BD"/>
              <w:right w:val="single" w:sz="4" w:space="0" w:color="1072BD"/>
            </w:tcBorders>
          </w:tcPr>
          <w:p w14:paraId="693F0306"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Circulación exterior</w:t>
            </w:r>
          </w:p>
        </w:tc>
        <w:tc>
          <w:tcPr>
            <w:tcW w:w="847" w:type="dxa"/>
            <w:tcBorders>
              <w:top w:val="nil"/>
              <w:left w:val="nil"/>
              <w:bottom w:val="single" w:sz="4" w:space="0" w:color="1072BD"/>
              <w:right w:val="single" w:sz="4" w:space="0" w:color="1072BD"/>
            </w:tcBorders>
          </w:tcPr>
          <w:p w14:paraId="3163FF1B"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567" w:type="dxa"/>
            <w:tcBorders>
              <w:top w:val="nil"/>
              <w:left w:val="nil"/>
              <w:bottom w:val="single" w:sz="4" w:space="0" w:color="1072BD"/>
              <w:right w:val="nil"/>
            </w:tcBorders>
          </w:tcPr>
          <w:p w14:paraId="643E874C"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w:t>
            </w:r>
          </w:p>
        </w:tc>
        <w:tc>
          <w:tcPr>
            <w:tcW w:w="1701" w:type="dxa"/>
            <w:tcBorders>
              <w:top w:val="nil"/>
              <w:left w:val="nil"/>
              <w:bottom w:val="single" w:sz="4" w:space="0" w:color="1072BD"/>
              <w:right w:val="single" w:sz="4" w:space="0" w:color="1072BD"/>
            </w:tcBorders>
          </w:tcPr>
          <w:p w14:paraId="4DD95C4E"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w:t>
            </w:r>
          </w:p>
        </w:tc>
        <w:tc>
          <w:tcPr>
            <w:tcW w:w="1236" w:type="dxa"/>
            <w:tcBorders>
              <w:top w:val="nil"/>
              <w:left w:val="nil"/>
              <w:bottom w:val="single" w:sz="4" w:space="0" w:color="1072BD"/>
              <w:right w:val="single" w:sz="4" w:space="0" w:color="1072BD"/>
            </w:tcBorders>
          </w:tcPr>
          <w:p w14:paraId="26B6F32E" w14:textId="77777777" w:rsidR="001F600C" w:rsidRPr="00285D58" w:rsidRDefault="001F600C" w:rsidP="008D1FFF">
            <w:pPr>
              <w:spacing w:line="276" w:lineRule="auto"/>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21.11 m2</w:t>
            </w:r>
          </w:p>
        </w:tc>
      </w:tr>
      <w:tr w:rsidR="001F600C" w:rsidRPr="00285D58" w14:paraId="0DF73D2D" w14:textId="77777777" w:rsidTr="00242093">
        <w:trPr>
          <w:trHeight w:val="240"/>
        </w:trPr>
        <w:tc>
          <w:tcPr>
            <w:tcW w:w="1271" w:type="dxa"/>
            <w:tcBorders>
              <w:top w:val="nil"/>
              <w:left w:val="single" w:sz="4" w:space="0" w:color="1072BD"/>
              <w:bottom w:val="single" w:sz="4" w:space="0" w:color="1072BD"/>
              <w:right w:val="single" w:sz="4" w:space="0" w:color="1072BD"/>
            </w:tcBorders>
            <w:shd w:val="clear" w:color="auto" w:fill="E7E6E6" w:themeFill="background2"/>
          </w:tcPr>
          <w:p w14:paraId="20CD8395"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TOTAL</w:t>
            </w:r>
          </w:p>
        </w:tc>
        <w:tc>
          <w:tcPr>
            <w:tcW w:w="3406" w:type="dxa"/>
            <w:gridSpan w:val="2"/>
            <w:tcBorders>
              <w:top w:val="single" w:sz="4" w:space="0" w:color="1072BD"/>
              <w:left w:val="nil"/>
              <w:bottom w:val="single" w:sz="4" w:space="0" w:color="1072BD"/>
              <w:right w:val="single" w:sz="4" w:space="0" w:color="1072BD"/>
            </w:tcBorders>
            <w:shd w:val="clear" w:color="auto" w:fill="E7E6E6" w:themeFill="background2"/>
          </w:tcPr>
          <w:p w14:paraId="073DAA5F"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847" w:type="dxa"/>
            <w:tcBorders>
              <w:top w:val="nil"/>
              <w:left w:val="nil"/>
              <w:bottom w:val="single" w:sz="4" w:space="0" w:color="1072BD"/>
              <w:right w:val="single" w:sz="4" w:space="0" w:color="1072BD"/>
            </w:tcBorders>
            <w:shd w:val="clear" w:color="auto" w:fill="E7E6E6" w:themeFill="background2"/>
          </w:tcPr>
          <w:p w14:paraId="63BDBDAD"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431</w:t>
            </w:r>
          </w:p>
        </w:tc>
        <w:tc>
          <w:tcPr>
            <w:tcW w:w="2268" w:type="dxa"/>
            <w:gridSpan w:val="2"/>
            <w:tcBorders>
              <w:top w:val="single" w:sz="4" w:space="0" w:color="1072BD"/>
              <w:left w:val="nil"/>
              <w:bottom w:val="single" w:sz="4" w:space="0" w:color="1072BD"/>
              <w:right w:val="single" w:sz="4" w:space="0" w:color="1072BD"/>
            </w:tcBorders>
            <w:shd w:val="clear" w:color="auto" w:fill="E7E6E6" w:themeFill="background2"/>
          </w:tcPr>
          <w:p w14:paraId="01227469" w14:textId="77777777" w:rsidR="001F600C" w:rsidRPr="00285D58" w:rsidRDefault="001F600C" w:rsidP="008D1FFF">
            <w:pPr>
              <w:spacing w:line="276" w:lineRule="auto"/>
              <w:ind w:firstLine="567"/>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 </w:t>
            </w:r>
          </w:p>
        </w:tc>
        <w:tc>
          <w:tcPr>
            <w:tcW w:w="1236" w:type="dxa"/>
            <w:tcBorders>
              <w:top w:val="nil"/>
              <w:left w:val="nil"/>
              <w:bottom w:val="single" w:sz="4" w:space="0" w:color="1072BD"/>
              <w:right w:val="single" w:sz="4" w:space="0" w:color="1072BD"/>
            </w:tcBorders>
            <w:shd w:val="clear" w:color="auto" w:fill="E7E6E6" w:themeFill="background2"/>
          </w:tcPr>
          <w:p w14:paraId="21D89C77" w14:textId="77777777" w:rsidR="001F600C" w:rsidRPr="00285D58" w:rsidRDefault="001F600C" w:rsidP="008D1FFF">
            <w:pPr>
              <w:spacing w:line="276" w:lineRule="auto"/>
              <w:jc w:val="both"/>
              <w:rPr>
                <w:rFonts w:asciiTheme="minorHAnsi" w:eastAsia="Calibri" w:hAnsiTheme="minorHAnsi" w:cstheme="minorHAnsi"/>
                <w:b/>
                <w:bCs/>
                <w:sz w:val="18"/>
                <w:szCs w:val="18"/>
              </w:rPr>
            </w:pPr>
            <w:r w:rsidRPr="00285D58">
              <w:rPr>
                <w:rFonts w:asciiTheme="minorHAnsi" w:eastAsia="Calibri" w:hAnsiTheme="minorHAnsi" w:cstheme="minorHAnsi"/>
                <w:b/>
                <w:bCs/>
                <w:sz w:val="18"/>
                <w:szCs w:val="18"/>
              </w:rPr>
              <w:t>1521.32 m2</w:t>
            </w:r>
          </w:p>
        </w:tc>
      </w:tr>
      <w:tr w:rsidR="001F600C" w:rsidRPr="00285D58" w14:paraId="59AF89C7" w14:textId="77777777" w:rsidTr="00242093">
        <w:trPr>
          <w:trHeight w:val="399"/>
        </w:trPr>
        <w:tc>
          <w:tcPr>
            <w:tcW w:w="9028" w:type="dxa"/>
            <w:gridSpan w:val="7"/>
            <w:tcBorders>
              <w:top w:val="single" w:sz="4" w:space="0" w:color="1072BD"/>
              <w:left w:val="single" w:sz="4" w:space="0" w:color="1072BD"/>
              <w:bottom w:val="nil"/>
              <w:right w:val="single" w:sz="4" w:space="0" w:color="1072BD"/>
            </w:tcBorders>
            <w:shd w:val="clear" w:color="auto" w:fill="E7E6E6" w:themeFill="background2"/>
          </w:tcPr>
          <w:p w14:paraId="60F2B2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1. El cálculo de aforo de estos espacios se ha determinado según la espacialidad y distribución del programa propuesto en el expediente de arquitectura. Dichos ambientes se han dimensionado según los requerimientos funcionales de la totalidad del edificio</w:t>
            </w:r>
          </w:p>
        </w:tc>
      </w:tr>
      <w:tr w:rsidR="001F600C" w:rsidRPr="00285D58" w14:paraId="0DBAE15B"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3E45903A"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2. Según el artículo 7 de la Norma A.110 Transportes y Comunicaciones - RNE, se requerirán tres (3) sistemas de aparatos completos correspondientes el aforo máximo estimado.</w:t>
            </w:r>
          </w:p>
        </w:tc>
      </w:tr>
      <w:tr w:rsidR="001F600C" w:rsidRPr="00285D58" w14:paraId="7DA70569"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55642332"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3. Según el artículo 15 de la Norma A.120 Accesibilidad para personas con discapacidad y de las personas adultas mayores - RNE, se requerirá un (1) sistema de aparatos sanitarios adicionales en cada batería de baños</w:t>
            </w:r>
          </w:p>
        </w:tc>
      </w:tr>
      <w:tr w:rsidR="001F600C" w:rsidRPr="00285D58" w14:paraId="679D1FCD"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0B877B98"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4. Las áreas de embarque y desembarque funcionan de manera intermitente por lo que el cálculo de áreas con el factor de aforo se divide a la mitad. Este aforo debe ser suficiente para cubrir el aforo de 80 pasajeros que permite la cabina.</w:t>
            </w:r>
          </w:p>
        </w:tc>
      </w:tr>
      <w:tr w:rsidR="001F600C" w:rsidRPr="00285D58" w14:paraId="71821A1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11D9F46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5. Se ha tomado un estimado de 2.00 m2 por persona para el cálculo de aforo de las plazas exteriores al edificio.</w:t>
            </w:r>
          </w:p>
        </w:tc>
      </w:tr>
      <w:tr w:rsidR="001F600C" w:rsidRPr="00285D58" w14:paraId="47BAEA50" w14:textId="77777777" w:rsidTr="00242093">
        <w:trPr>
          <w:trHeight w:val="240"/>
        </w:trPr>
        <w:tc>
          <w:tcPr>
            <w:tcW w:w="9028" w:type="dxa"/>
            <w:gridSpan w:val="7"/>
            <w:tcBorders>
              <w:top w:val="nil"/>
              <w:left w:val="single" w:sz="4" w:space="0" w:color="1072BD"/>
              <w:bottom w:val="nil"/>
              <w:right w:val="single" w:sz="4" w:space="0" w:color="1072BD"/>
            </w:tcBorders>
            <w:shd w:val="clear" w:color="auto" w:fill="E7E6E6" w:themeFill="background2"/>
          </w:tcPr>
          <w:p w14:paraId="272EC150"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complementarias o de servicio que no se dimensionan respecto al aforo</w:t>
            </w:r>
          </w:p>
        </w:tc>
      </w:tr>
      <w:tr w:rsidR="001F600C" w:rsidRPr="00285D58" w14:paraId="06D3A63E" w14:textId="77777777" w:rsidTr="00242093">
        <w:trPr>
          <w:trHeight w:val="399"/>
        </w:trPr>
        <w:tc>
          <w:tcPr>
            <w:tcW w:w="9028" w:type="dxa"/>
            <w:gridSpan w:val="7"/>
            <w:tcBorders>
              <w:top w:val="nil"/>
              <w:left w:val="single" w:sz="4" w:space="0" w:color="1072BD"/>
              <w:bottom w:val="nil"/>
              <w:right w:val="single" w:sz="4" w:space="0" w:color="1072BD"/>
            </w:tcBorders>
            <w:shd w:val="clear" w:color="auto" w:fill="E7E6E6" w:themeFill="background2"/>
          </w:tcPr>
          <w:p w14:paraId="68BBC724"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Las áreas que albergan la maquinaria requerida por el sistema de transporte de cable se encuentran detalladas en el Estudio Específico N°9 Ingeniería de Diseño, del presente informe.</w:t>
            </w:r>
          </w:p>
        </w:tc>
      </w:tr>
      <w:tr w:rsidR="001F600C" w:rsidRPr="00285D58" w14:paraId="300BB00F" w14:textId="77777777" w:rsidTr="00242093">
        <w:trPr>
          <w:trHeight w:val="201"/>
        </w:trPr>
        <w:tc>
          <w:tcPr>
            <w:tcW w:w="9028" w:type="dxa"/>
            <w:gridSpan w:val="7"/>
            <w:tcBorders>
              <w:top w:val="nil"/>
              <w:left w:val="single" w:sz="4" w:space="0" w:color="1072BD"/>
              <w:bottom w:val="single" w:sz="4" w:space="0" w:color="1072BD"/>
              <w:right w:val="single" w:sz="4" w:space="0" w:color="1072BD"/>
            </w:tcBorders>
            <w:shd w:val="clear" w:color="auto" w:fill="E7E6E6" w:themeFill="background2"/>
          </w:tcPr>
          <w:p w14:paraId="009D5D29" w14:textId="77777777" w:rsidR="001F600C" w:rsidRPr="00285D58" w:rsidRDefault="001F600C" w:rsidP="008D1FFF">
            <w:pPr>
              <w:spacing w:line="276" w:lineRule="auto"/>
              <w:ind w:firstLine="567"/>
              <w:jc w:val="both"/>
              <w:rPr>
                <w:rFonts w:asciiTheme="minorHAnsi" w:eastAsia="Calibri" w:hAnsiTheme="minorHAnsi" w:cstheme="minorHAnsi"/>
                <w:sz w:val="18"/>
                <w:szCs w:val="18"/>
              </w:rPr>
            </w:pPr>
            <w:r w:rsidRPr="00285D58">
              <w:rPr>
                <w:rFonts w:asciiTheme="minorHAnsi" w:eastAsia="Calibri" w:hAnsiTheme="minorHAnsi" w:cstheme="minorHAnsi"/>
                <w:sz w:val="18"/>
                <w:szCs w:val="18"/>
              </w:rPr>
              <w:t>*** Áreas de transición y circulación que se dimensionan a partir de la propuesta de arquitectura</w:t>
            </w:r>
          </w:p>
        </w:tc>
      </w:tr>
    </w:tbl>
    <w:p w14:paraId="3BB486C0" w14:textId="77777777" w:rsidR="00304EC7" w:rsidRPr="00285D58" w:rsidRDefault="00304EC7" w:rsidP="008D1FFF">
      <w:pPr>
        <w:spacing w:line="276" w:lineRule="auto"/>
        <w:jc w:val="both"/>
        <w:rPr>
          <w:rFonts w:asciiTheme="minorHAnsi" w:eastAsia="Calibri" w:hAnsiTheme="minorHAnsi" w:cstheme="minorHAnsi"/>
        </w:rPr>
      </w:pPr>
    </w:p>
    <w:p w14:paraId="4A75D548" w14:textId="77777777" w:rsidR="00304EC7" w:rsidRPr="00285D58" w:rsidRDefault="00304EC7" w:rsidP="008D1FFF">
      <w:pPr>
        <w:spacing w:line="276" w:lineRule="auto"/>
        <w:jc w:val="both"/>
        <w:rPr>
          <w:rFonts w:asciiTheme="minorHAnsi" w:eastAsia="Calibri" w:hAnsiTheme="minorHAnsi" w:cstheme="minorHAnsi"/>
        </w:rPr>
      </w:pPr>
    </w:p>
    <w:p w14:paraId="57B19A6D" w14:textId="77777777" w:rsidR="00304EC7" w:rsidRPr="00285D58" w:rsidRDefault="00304EC7" w:rsidP="008D1FFF">
      <w:pPr>
        <w:spacing w:line="276" w:lineRule="auto"/>
        <w:jc w:val="both"/>
        <w:rPr>
          <w:rFonts w:asciiTheme="minorHAnsi" w:eastAsia="Calibri" w:hAnsiTheme="minorHAnsi" w:cstheme="minorHAnsi"/>
        </w:rPr>
      </w:pPr>
    </w:p>
    <w:p w14:paraId="79FC464A" w14:textId="77777777" w:rsidR="00304EC7" w:rsidRPr="00285D58" w:rsidRDefault="00304EC7" w:rsidP="008D1FFF">
      <w:pPr>
        <w:spacing w:line="276" w:lineRule="auto"/>
        <w:jc w:val="both"/>
        <w:rPr>
          <w:rFonts w:asciiTheme="minorHAnsi" w:eastAsia="Calibri" w:hAnsiTheme="minorHAnsi" w:cstheme="minorHAnsi"/>
        </w:rPr>
      </w:pPr>
    </w:p>
    <w:p w14:paraId="440490E2" w14:textId="77777777" w:rsidR="00304EC7" w:rsidRPr="00285D58" w:rsidRDefault="00304EC7" w:rsidP="008D1FFF">
      <w:pPr>
        <w:spacing w:line="276" w:lineRule="auto"/>
        <w:jc w:val="both"/>
        <w:rPr>
          <w:rFonts w:asciiTheme="minorHAnsi" w:eastAsia="Calibri" w:hAnsiTheme="minorHAnsi" w:cstheme="minorHAnsi"/>
        </w:rPr>
      </w:pPr>
    </w:p>
    <w:p w14:paraId="4B6DF1D6" w14:textId="5E21714D"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N°42: Plano de distribución de Estación de Llegada Unión</w:t>
      </w:r>
    </w:p>
    <w:p w14:paraId="53E3818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28AE1B65" wp14:editId="3A5DB37B">
            <wp:extent cx="5400675" cy="4724400"/>
            <wp:effectExtent l="0" t="0" r="0" b="0"/>
            <wp:docPr id="2133617428" name="image73.jpg" descr="../../../../Desktop/ES_%20ESTACIONES%20TELEFÉRICO/ES-49%20Estacion%20Llegada%20Luc"/>
            <wp:cNvGraphicFramePr/>
            <a:graphic xmlns:a="http://schemas.openxmlformats.org/drawingml/2006/main">
              <a:graphicData uri="http://schemas.openxmlformats.org/drawingml/2006/picture">
                <pic:pic xmlns:pic="http://schemas.openxmlformats.org/drawingml/2006/picture">
                  <pic:nvPicPr>
                    <pic:cNvPr id="0" name="image73.jpg" descr="../../../../Desktop/ES_%20ESTACIONES%20TELEFÉRICO/ES-49%20Estacion%20Llegada%20Luc"/>
                    <pic:cNvPicPr preferRelativeResize="0"/>
                  </pic:nvPicPr>
                  <pic:blipFill>
                    <a:blip r:embed="rId110"/>
                    <a:srcRect/>
                    <a:stretch>
                      <a:fillRect/>
                    </a:stretch>
                  </pic:blipFill>
                  <pic:spPr>
                    <a:xfrm>
                      <a:off x="0" y="0"/>
                      <a:ext cx="5400675" cy="4724400"/>
                    </a:xfrm>
                    <a:prstGeom prst="rect">
                      <a:avLst/>
                    </a:prstGeom>
                    <a:ln/>
                  </pic:spPr>
                </pic:pic>
              </a:graphicData>
            </a:graphic>
          </wp:inline>
        </w:drawing>
      </w:r>
    </w:p>
    <w:p w14:paraId="59ED3E62" w14:textId="77777777" w:rsidR="001F600C" w:rsidRPr="00285D58" w:rsidRDefault="001F600C" w:rsidP="008D1FFF">
      <w:pPr>
        <w:spacing w:line="276" w:lineRule="auto"/>
        <w:jc w:val="center"/>
        <w:rPr>
          <w:rFonts w:asciiTheme="minorHAnsi" w:eastAsia="Calibri" w:hAnsiTheme="minorHAnsi" w:cstheme="minorHAnsi"/>
        </w:rPr>
      </w:pPr>
    </w:p>
    <w:p w14:paraId="02061E1C" w14:textId="77777777" w:rsidR="00A77713" w:rsidRPr="00285D58" w:rsidRDefault="00A77713" w:rsidP="008D1FFF">
      <w:pPr>
        <w:spacing w:line="276" w:lineRule="auto"/>
        <w:jc w:val="center"/>
        <w:rPr>
          <w:rFonts w:asciiTheme="minorHAnsi" w:eastAsia="Calibri" w:hAnsiTheme="minorHAnsi" w:cstheme="minorHAnsi"/>
        </w:rPr>
      </w:pPr>
    </w:p>
    <w:p w14:paraId="718A9656" w14:textId="77777777" w:rsidR="00A77713" w:rsidRPr="00285D58" w:rsidRDefault="00A77713" w:rsidP="008D1FFF">
      <w:pPr>
        <w:spacing w:line="276" w:lineRule="auto"/>
        <w:jc w:val="center"/>
        <w:rPr>
          <w:rFonts w:asciiTheme="minorHAnsi" w:eastAsia="Calibri" w:hAnsiTheme="minorHAnsi" w:cstheme="minorHAnsi"/>
        </w:rPr>
      </w:pPr>
    </w:p>
    <w:p w14:paraId="28A8E810" w14:textId="77777777" w:rsidR="00A77713" w:rsidRPr="00285D58" w:rsidRDefault="00A77713" w:rsidP="008D1FFF">
      <w:pPr>
        <w:spacing w:line="276" w:lineRule="auto"/>
        <w:jc w:val="center"/>
        <w:rPr>
          <w:rFonts w:asciiTheme="minorHAnsi" w:eastAsia="Calibri" w:hAnsiTheme="minorHAnsi" w:cstheme="minorHAnsi"/>
        </w:rPr>
      </w:pPr>
    </w:p>
    <w:p w14:paraId="65D11E4F" w14:textId="77777777" w:rsidR="00A77713" w:rsidRPr="00285D58" w:rsidRDefault="00A77713" w:rsidP="008D1FFF">
      <w:pPr>
        <w:spacing w:line="276" w:lineRule="auto"/>
        <w:jc w:val="center"/>
        <w:rPr>
          <w:rFonts w:asciiTheme="minorHAnsi" w:eastAsia="Calibri" w:hAnsiTheme="minorHAnsi" w:cstheme="minorHAnsi"/>
        </w:rPr>
      </w:pPr>
    </w:p>
    <w:p w14:paraId="592D3D24" w14:textId="77777777" w:rsidR="00A77713" w:rsidRPr="00285D58" w:rsidRDefault="00A77713" w:rsidP="008D1FFF">
      <w:pPr>
        <w:spacing w:line="276" w:lineRule="auto"/>
        <w:jc w:val="center"/>
        <w:rPr>
          <w:rFonts w:asciiTheme="minorHAnsi" w:eastAsia="Calibri" w:hAnsiTheme="minorHAnsi" w:cstheme="minorHAnsi"/>
        </w:rPr>
      </w:pPr>
    </w:p>
    <w:p w14:paraId="152AA1AE" w14:textId="77777777" w:rsidR="00A77713" w:rsidRPr="00285D58" w:rsidRDefault="00A77713" w:rsidP="008D1FFF">
      <w:pPr>
        <w:spacing w:line="276" w:lineRule="auto"/>
        <w:jc w:val="center"/>
        <w:rPr>
          <w:rFonts w:asciiTheme="minorHAnsi" w:eastAsia="Calibri" w:hAnsiTheme="minorHAnsi" w:cstheme="minorHAnsi"/>
        </w:rPr>
      </w:pPr>
    </w:p>
    <w:p w14:paraId="742F57FB" w14:textId="77777777" w:rsidR="00A77713" w:rsidRPr="00285D58" w:rsidRDefault="00A77713" w:rsidP="008D1FFF">
      <w:pPr>
        <w:spacing w:line="276" w:lineRule="auto"/>
        <w:jc w:val="center"/>
        <w:rPr>
          <w:rFonts w:asciiTheme="minorHAnsi" w:eastAsia="Calibri" w:hAnsiTheme="minorHAnsi" w:cstheme="minorHAnsi"/>
        </w:rPr>
      </w:pPr>
    </w:p>
    <w:p w14:paraId="12E2DA5B" w14:textId="77777777" w:rsidR="00A77713" w:rsidRPr="00285D58" w:rsidRDefault="00A77713" w:rsidP="008D1FFF">
      <w:pPr>
        <w:spacing w:line="276" w:lineRule="auto"/>
        <w:jc w:val="center"/>
        <w:rPr>
          <w:rFonts w:asciiTheme="minorHAnsi" w:eastAsia="Calibri" w:hAnsiTheme="minorHAnsi" w:cstheme="minorHAnsi"/>
        </w:rPr>
      </w:pPr>
    </w:p>
    <w:p w14:paraId="533D8DA7" w14:textId="77777777" w:rsidR="00A77713" w:rsidRPr="00285D58" w:rsidRDefault="00A77713" w:rsidP="008D1FFF">
      <w:pPr>
        <w:spacing w:line="276" w:lineRule="auto"/>
        <w:jc w:val="center"/>
        <w:rPr>
          <w:rFonts w:asciiTheme="minorHAnsi" w:eastAsia="Calibri" w:hAnsiTheme="minorHAnsi" w:cstheme="minorHAnsi"/>
        </w:rPr>
      </w:pPr>
    </w:p>
    <w:p w14:paraId="19BCDD4D" w14:textId="77777777" w:rsidR="00A77713" w:rsidRPr="00285D58" w:rsidRDefault="00A77713" w:rsidP="008D1FFF">
      <w:pPr>
        <w:spacing w:line="276" w:lineRule="auto"/>
        <w:jc w:val="center"/>
        <w:rPr>
          <w:rFonts w:asciiTheme="minorHAnsi" w:eastAsia="Calibri" w:hAnsiTheme="minorHAnsi" w:cstheme="minorHAnsi"/>
        </w:rPr>
      </w:pPr>
    </w:p>
    <w:p w14:paraId="16D0D465" w14:textId="77777777" w:rsidR="00A77713" w:rsidRPr="00285D58" w:rsidRDefault="00A77713" w:rsidP="008D1FFF">
      <w:pPr>
        <w:spacing w:line="276" w:lineRule="auto"/>
        <w:jc w:val="center"/>
        <w:rPr>
          <w:rFonts w:asciiTheme="minorHAnsi" w:eastAsia="Calibri" w:hAnsiTheme="minorHAnsi" w:cstheme="minorHAnsi"/>
        </w:rPr>
      </w:pPr>
    </w:p>
    <w:p w14:paraId="5B935115" w14:textId="77777777" w:rsidR="00A77713" w:rsidRPr="00285D58" w:rsidRDefault="00A77713" w:rsidP="008D1FFF">
      <w:pPr>
        <w:spacing w:line="276" w:lineRule="auto"/>
        <w:jc w:val="center"/>
        <w:rPr>
          <w:rFonts w:asciiTheme="minorHAnsi" w:eastAsia="Calibri" w:hAnsiTheme="minorHAnsi" w:cstheme="minorHAnsi"/>
        </w:rPr>
      </w:pPr>
    </w:p>
    <w:p w14:paraId="67BBCF36" w14:textId="77777777" w:rsidR="00A77713" w:rsidRPr="00285D58" w:rsidRDefault="00A77713" w:rsidP="008D1FFF">
      <w:pPr>
        <w:spacing w:line="276" w:lineRule="auto"/>
        <w:jc w:val="center"/>
        <w:rPr>
          <w:rFonts w:asciiTheme="minorHAnsi" w:eastAsia="Calibri" w:hAnsiTheme="minorHAnsi" w:cstheme="minorHAnsi"/>
        </w:rPr>
      </w:pPr>
    </w:p>
    <w:p w14:paraId="1E20B09E" w14:textId="77777777" w:rsidR="00A77713" w:rsidRPr="00285D58" w:rsidRDefault="00A77713" w:rsidP="008D1FFF">
      <w:pPr>
        <w:spacing w:line="276" w:lineRule="auto"/>
        <w:jc w:val="center"/>
        <w:rPr>
          <w:rFonts w:asciiTheme="minorHAnsi" w:eastAsia="Calibri" w:hAnsiTheme="minorHAnsi" w:cstheme="minorHAnsi"/>
        </w:rPr>
      </w:pPr>
    </w:p>
    <w:p w14:paraId="7D7F18BA" w14:textId="2B094820"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Figura N°43: Plano de elevación lateral de Estación de Llegada Unión.</w:t>
      </w:r>
    </w:p>
    <w:p w14:paraId="0FE4A3B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7BB3B98" wp14:editId="24E9FBC1">
            <wp:extent cx="5400675" cy="3000375"/>
            <wp:effectExtent l="0" t="0" r="0" b="0"/>
            <wp:docPr id="2133617418" name="image61.jpg" descr="../../../../Desktop/ES_%20ESTACIONES%20TELEFÉRICO/ES-53%20Estacion%20Llegada%20Luc"/>
            <wp:cNvGraphicFramePr/>
            <a:graphic xmlns:a="http://schemas.openxmlformats.org/drawingml/2006/main">
              <a:graphicData uri="http://schemas.openxmlformats.org/drawingml/2006/picture">
                <pic:pic xmlns:pic="http://schemas.openxmlformats.org/drawingml/2006/picture">
                  <pic:nvPicPr>
                    <pic:cNvPr id="0" name="image61.jpg" descr="../../../../Desktop/ES_%20ESTACIONES%20TELEFÉRICO/ES-53%20Estacion%20Llegada%20Luc"/>
                    <pic:cNvPicPr preferRelativeResize="0"/>
                  </pic:nvPicPr>
                  <pic:blipFill>
                    <a:blip r:embed="rId109"/>
                    <a:srcRect/>
                    <a:stretch>
                      <a:fillRect/>
                    </a:stretch>
                  </pic:blipFill>
                  <pic:spPr>
                    <a:xfrm>
                      <a:off x="0" y="0"/>
                      <a:ext cx="5400675" cy="3000375"/>
                    </a:xfrm>
                    <a:prstGeom prst="rect">
                      <a:avLst/>
                    </a:prstGeom>
                    <a:ln/>
                  </pic:spPr>
                </pic:pic>
              </a:graphicData>
            </a:graphic>
          </wp:inline>
        </w:drawing>
      </w:r>
    </w:p>
    <w:p w14:paraId="2CD869B1" w14:textId="77777777" w:rsidR="001F600C" w:rsidRPr="00285D58" w:rsidRDefault="001F600C" w:rsidP="008D1FFF">
      <w:pPr>
        <w:keepNext/>
        <w:keepLines/>
        <w:widowControl/>
        <w:pBdr>
          <w:top w:val="nil"/>
          <w:left w:val="nil"/>
          <w:bottom w:val="nil"/>
          <w:right w:val="nil"/>
          <w:between w:val="nil"/>
        </w:pBdr>
        <w:spacing w:before="240" w:after="120" w:line="276" w:lineRule="auto"/>
        <w:ind w:left="720" w:hanging="720"/>
        <w:jc w:val="both"/>
        <w:rPr>
          <w:rFonts w:asciiTheme="minorHAnsi" w:eastAsia="Calibri" w:hAnsiTheme="minorHAnsi" w:cstheme="minorHAnsi"/>
        </w:rPr>
      </w:pPr>
      <w:r w:rsidRPr="00285D58">
        <w:rPr>
          <w:rFonts w:asciiTheme="minorHAnsi" w:eastAsia="Calibri" w:hAnsiTheme="minorHAnsi" w:cstheme="minorHAnsi"/>
          <w:b/>
          <w:color w:val="000000"/>
        </w:rPr>
        <w:t>Tecnología</w:t>
      </w:r>
    </w:p>
    <w:p w14:paraId="055B867E" w14:textId="77777777" w:rsidR="001F600C" w:rsidRPr="00285D58" w:rsidRDefault="001F600C" w:rsidP="008D1FFF">
      <w:pPr>
        <w:spacing w:line="276" w:lineRule="auto"/>
        <w:jc w:val="both"/>
        <w:rPr>
          <w:rFonts w:asciiTheme="minorHAnsi" w:eastAsia="Calibri" w:hAnsiTheme="minorHAnsi" w:cstheme="minorHAnsi"/>
        </w:rPr>
      </w:pPr>
    </w:p>
    <w:p w14:paraId="2343456D" w14:textId="77777777" w:rsidR="001F600C" w:rsidRPr="00285D58" w:rsidRDefault="001F600C" w:rsidP="008D1FFF">
      <w:p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diseño preliminar de las estaciones de salida recomienda un sistema constructivo mixto, detallado en la siguiente tabla:</w:t>
      </w:r>
    </w:p>
    <w:p w14:paraId="66CB1C2B" w14:textId="77777777" w:rsidR="001F600C" w:rsidRPr="00285D58" w:rsidRDefault="001F600C" w:rsidP="008D1FFF">
      <w:pPr>
        <w:pBdr>
          <w:top w:val="nil"/>
          <w:left w:val="nil"/>
          <w:bottom w:val="nil"/>
          <w:right w:val="nil"/>
          <w:between w:val="nil"/>
        </w:pBdr>
        <w:spacing w:line="276" w:lineRule="auto"/>
        <w:ind w:left="566"/>
        <w:jc w:val="both"/>
        <w:rPr>
          <w:rFonts w:asciiTheme="minorHAnsi" w:eastAsia="Calibri" w:hAnsiTheme="minorHAnsi" w:cstheme="minorHAnsi"/>
          <w:color w:val="000000"/>
        </w:rPr>
      </w:pPr>
    </w:p>
    <w:p w14:paraId="190498F5" w14:textId="77777777" w:rsidR="001F600C" w:rsidRPr="00285D58" w:rsidRDefault="001F600C" w:rsidP="008D1FFF">
      <w:pPr>
        <w:pBdr>
          <w:top w:val="nil"/>
          <w:left w:val="nil"/>
          <w:bottom w:val="nil"/>
          <w:right w:val="nil"/>
          <w:between w:val="nil"/>
        </w:pBdr>
        <w:spacing w:line="276" w:lineRule="auto"/>
        <w:ind w:left="566"/>
        <w:jc w:val="both"/>
        <w:rPr>
          <w:rFonts w:asciiTheme="minorHAnsi" w:eastAsia="Calibri" w:hAnsiTheme="minorHAnsi" w:cstheme="minorHAnsi"/>
          <w:color w:val="000000"/>
        </w:rPr>
      </w:pPr>
    </w:p>
    <w:p w14:paraId="606CA1BB" w14:textId="1E94C04F" w:rsidR="001F600C" w:rsidRPr="00285D58" w:rsidRDefault="001F600C" w:rsidP="008D1FFF">
      <w:pPr>
        <w:pStyle w:val="Descripcin"/>
        <w:spacing w:line="276" w:lineRule="auto"/>
        <w:jc w:val="center"/>
        <w:rPr>
          <w:rFonts w:asciiTheme="minorHAnsi" w:eastAsia="Calibri" w:hAnsiTheme="minorHAnsi" w:cstheme="minorHAnsi"/>
          <w:sz w:val="32"/>
          <w:szCs w:val="32"/>
        </w:rPr>
      </w:pPr>
      <w:r w:rsidRPr="00285D58">
        <w:rPr>
          <w:rFonts w:asciiTheme="minorHAnsi" w:hAnsiTheme="minorHAnsi" w:cstheme="minorHAnsi"/>
          <w:sz w:val="22"/>
          <w:szCs w:val="24"/>
        </w:rPr>
        <w:t xml:space="preserve">Tabla </w:t>
      </w:r>
      <w:r w:rsidRPr="00285D58">
        <w:rPr>
          <w:rFonts w:asciiTheme="minorHAnsi" w:hAnsiTheme="minorHAnsi" w:cstheme="minorHAnsi"/>
          <w:sz w:val="22"/>
          <w:szCs w:val="24"/>
        </w:rPr>
        <w:fldChar w:fldCharType="begin"/>
      </w:r>
      <w:r w:rsidRPr="00285D58">
        <w:rPr>
          <w:rFonts w:asciiTheme="minorHAnsi" w:hAnsiTheme="minorHAnsi" w:cstheme="minorHAnsi"/>
          <w:sz w:val="22"/>
          <w:szCs w:val="24"/>
        </w:rPr>
        <w:instrText xml:space="preserve"> SEQ Tabla \* ARABIC </w:instrText>
      </w:r>
      <w:r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40</w:t>
      </w:r>
      <w:r w:rsidRPr="00285D58">
        <w:rPr>
          <w:rFonts w:asciiTheme="minorHAnsi" w:hAnsiTheme="minorHAnsi" w:cstheme="minorHAnsi"/>
          <w:noProof/>
          <w:sz w:val="22"/>
          <w:szCs w:val="24"/>
        </w:rPr>
        <w:fldChar w:fldCharType="end"/>
      </w:r>
      <w:r w:rsidRPr="00285D58">
        <w:rPr>
          <w:rFonts w:asciiTheme="minorHAnsi" w:hAnsiTheme="minorHAnsi" w:cstheme="minorHAnsi"/>
          <w:sz w:val="22"/>
          <w:szCs w:val="24"/>
        </w:rPr>
        <w:t>. TECNOLOGÍA CONSTRUCTIVA DE LAS ESTACIONES DE LLEGADA</w:t>
      </w:r>
    </w:p>
    <w:tbl>
      <w:tblPr>
        <w:tblW w:w="8596" w:type="dxa"/>
        <w:tblInd w:w="-5" w:type="dxa"/>
        <w:tblLayout w:type="fixed"/>
        <w:tblLook w:val="0400" w:firstRow="0" w:lastRow="0" w:firstColumn="0" w:lastColumn="0" w:noHBand="0" w:noVBand="1"/>
      </w:tblPr>
      <w:tblGrid>
        <w:gridCol w:w="3119"/>
        <w:gridCol w:w="5477"/>
      </w:tblGrid>
      <w:tr w:rsidR="001F600C" w:rsidRPr="00285D58" w14:paraId="1119CB8B"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42855BA6"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3FDC17D0" w14:textId="77777777" w:rsidTr="00242093">
        <w:trPr>
          <w:trHeight w:val="244"/>
        </w:trPr>
        <w:tc>
          <w:tcPr>
            <w:tcW w:w="3119" w:type="dxa"/>
            <w:tcBorders>
              <w:top w:val="nil"/>
              <w:left w:val="single" w:sz="4" w:space="0" w:color="1072BD"/>
              <w:bottom w:val="single" w:sz="4" w:space="0" w:color="1072BD"/>
              <w:right w:val="single" w:sz="4" w:space="0" w:color="1072BD"/>
            </w:tcBorders>
            <w:shd w:val="clear" w:color="auto" w:fill="E7E6E6" w:themeFill="background2"/>
          </w:tcPr>
          <w:p w14:paraId="25A25DF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Componentes</w:t>
            </w:r>
          </w:p>
        </w:tc>
        <w:tc>
          <w:tcPr>
            <w:tcW w:w="5477" w:type="dxa"/>
            <w:tcBorders>
              <w:top w:val="nil"/>
              <w:left w:val="nil"/>
              <w:bottom w:val="single" w:sz="4" w:space="0" w:color="1072BD"/>
              <w:right w:val="single" w:sz="4" w:space="0" w:color="1072BD"/>
            </w:tcBorders>
            <w:shd w:val="clear" w:color="auto" w:fill="E7E6E6" w:themeFill="background2"/>
          </w:tcPr>
          <w:p w14:paraId="60FC086D"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2996C1F4"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798A54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Cubierta</w:t>
            </w:r>
          </w:p>
        </w:tc>
        <w:tc>
          <w:tcPr>
            <w:tcW w:w="5477" w:type="dxa"/>
            <w:tcBorders>
              <w:top w:val="nil"/>
              <w:left w:val="nil"/>
              <w:bottom w:val="single" w:sz="4" w:space="0" w:color="1072BD"/>
              <w:right w:val="single" w:sz="4" w:space="0" w:color="1072BD"/>
            </w:tcBorders>
          </w:tcPr>
          <w:p w14:paraId="4AE0B54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Tecno techo con aislamiento térmico </w:t>
            </w:r>
          </w:p>
        </w:tc>
      </w:tr>
      <w:tr w:rsidR="001F600C" w:rsidRPr="00285D58" w14:paraId="168CB35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79B75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Vigas</w:t>
            </w:r>
          </w:p>
        </w:tc>
        <w:tc>
          <w:tcPr>
            <w:tcW w:w="5477" w:type="dxa"/>
            <w:tcBorders>
              <w:top w:val="nil"/>
              <w:left w:val="nil"/>
              <w:bottom w:val="single" w:sz="4" w:space="0" w:color="1072BD"/>
              <w:right w:val="single" w:sz="4" w:space="0" w:color="1072BD"/>
            </w:tcBorders>
          </w:tcPr>
          <w:p w14:paraId="42000A0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Laminada</w:t>
            </w:r>
          </w:p>
        </w:tc>
      </w:tr>
      <w:tr w:rsidR="001F600C" w:rsidRPr="00285D58" w14:paraId="39C4C50D"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EC9B8F3"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Columnas</w:t>
            </w:r>
          </w:p>
        </w:tc>
        <w:tc>
          <w:tcPr>
            <w:tcW w:w="5477" w:type="dxa"/>
            <w:tcBorders>
              <w:top w:val="nil"/>
              <w:left w:val="nil"/>
              <w:bottom w:val="single" w:sz="4" w:space="0" w:color="1072BD"/>
              <w:right w:val="single" w:sz="4" w:space="0" w:color="1072BD"/>
            </w:tcBorders>
          </w:tcPr>
          <w:p w14:paraId="0BC904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Madera Compuesta</w:t>
            </w:r>
          </w:p>
        </w:tc>
      </w:tr>
      <w:tr w:rsidR="001F600C" w:rsidRPr="00285D58" w14:paraId="71ED02B1"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4CC84EA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Muros</w:t>
            </w:r>
          </w:p>
        </w:tc>
        <w:tc>
          <w:tcPr>
            <w:tcW w:w="5477" w:type="dxa"/>
            <w:tcBorders>
              <w:top w:val="nil"/>
              <w:left w:val="nil"/>
              <w:bottom w:val="single" w:sz="4" w:space="0" w:color="1072BD"/>
              <w:right w:val="single" w:sz="4" w:space="0" w:color="1072BD"/>
            </w:tcBorders>
          </w:tcPr>
          <w:p w14:paraId="3B7E28B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77F530CE"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2C8D371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Piso</w:t>
            </w:r>
          </w:p>
        </w:tc>
        <w:tc>
          <w:tcPr>
            <w:tcW w:w="5477" w:type="dxa"/>
            <w:tcBorders>
              <w:top w:val="nil"/>
              <w:left w:val="nil"/>
              <w:bottom w:val="single" w:sz="4" w:space="0" w:color="1072BD"/>
              <w:right w:val="single" w:sz="4" w:space="0" w:color="1072BD"/>
            </w:tcBorders>
          </w:tcPr>
          <w:p w14:paraId="408636E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47C3175" w14:textId="77777777" w:rsidTr="00242093">
        <w:trPr>
          <w:trHeight w:val="244"/>
        </w:trPr>
        <w:tc>
          <w:tcPr>
            <w:tcW w:w="3119" w:type="dxa"/>
            <w:tcBorders>
              <w:top w:val="nil"/>
              <w:left w:val="single" w:sz="4" w:space="0" w:color="1072BD"/>
              <w:bottom w:val="single" w:sz="4" w:space="0" w:color="1072BD"/>
              <w:right w:val="single" w:sz="4" w:space="0" w:color="1072BD"/>
            </w:tcBorders>
          </w:tcPr>
          <w:p w14:paraId="145E367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Cimentaciones</w:t>
            </w:r>
          </w:p>
        </w:tc>
        <w:tc>
          <w:tcPr>
            <w:tcW w:w="5477" w:type="dxa"/>
            <w:tcBorders>
              <w:top w:val="nil"/>
              <w:left w:val="nil"/>
              <w:bottom w:val="single" w:sz="4" w:space="0" w:color="1072BD"/>
              <w:right w:val="single" w:sz="4" w:space="0" w:color="1072BD"/>
            </w:tcBorders>
          </w:tcPr>
          <w:p w14:paraId="7D5C2EC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Concreto Armado</w:t>
            </w:r>
          </w:p>
        </w:tc>
      </w:tr>
      <w:tr w:rsidR="001F600C" w:rsidRPr="00285D58" w14:paraId="5DAA6B19" w14:textId="77777777" w:rsidTr="00242093">
        <w:trPr>
          <w:trHeight w:val="552"/>
        </w:trPr>
        <w:tc>
          <w:tcPr>
            <w:tcW w:w="3119" w:type="dxa"/>
            <w:tcBorders>
              <w:top w:val="nil"/>
              <w:left w:val="single" w:sz="4" w:space="0" w:color="1072BD"/>
              <w:bottom w:val="single" w:sz="4" w:space="0" w:color="1072BD"/>
              <w:right w:val="single" w:sz="4" w:space="0" w:color="1072BD"/>
            </w:tcBorders>
          </w:tcPr>
          <w:p w14:paraId="3B823E5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Tratamiento exterior</w:t>
            </w:r>
          </w:p>
        </w:tc>
        <w:tc>
          <w:tcPr>
            <w:tcW w:w="5477" w:type="dxa"/>
            <w:tcBorders>
              <w:top w:val="nil"/>
              <w:left w:val="nil"/>
              <w:bottom w:val="single" w:sz="4" w:space="0" w:color="1072BD"/>
              <w:right w:val="single" w:sz="4" w:space="0" w:color="1072BD"/>
            </w:tcBorders>
          </w:tcPr>
          <w:p w14:paraId="0E9DFAC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Contención de taludes con Geo celdas, Pavimentos de piedra, Vegetación arbórea y arbustiva.</w:t>
            </w:r>
          </w:p>
        </w:tc>
      </w:tr>
    </w:tbl>
    <w:p w14:paraId="6DDB90DF" w14:textId="09F390EE"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Elaboración: Consorcio Choquequirao</w:t>
      </w:r>
      <w:r w:rsidR="00304EC7" w:rsidRPr="00285D58">
        <w:rPr>
          <w:rFonts w:asciiTheme="minorHAnsi" w:eastAsia="Calibri" w:hAnsiTheme="minorHAnsi" w:cstheme="minorHAnsi"/>
        </w:rPr>
        <w:t>.</w:t>
      </w:r>
    </w:p>
    <w:p w14:paraId="1B519F58" w14:textId="39C34F50" w:rsidR="001F600C" w:rsidRPr="00285D58" w:rsidRDefault="001F600C" w:rsidP="008D1FFF">
      <w:pPr>
        <w:spacing w:line="276" w:lineRule="auto"/>
        <w:jc w:val="both"/>
        <w:rPr>
          <w:rFonts w:asciiTheme="minorHAnsi" w:eastAsia="Calibri" w:hAnsiTheme="minorHAnsi" w:cstheme="minorHAnsi"/>
        </w:rPr>
      </w:pPr>
    </w:p>
    <w:p w14:paraId="2A594030" w14:textId="53F07C21" w:rsidR="007B3AA9" w:rsidRPr="00285D58" w:rsidRDefault="007B3AA9" w:rsidP="008D1FFF">
      <w:pPr>
        <w:spacing w:line="276" w:lineRule="auto"/>
        <w:jc w:val="both"/>
        <w:rPr>
          <w:rFonts w:asciiTheme="minorHAnsi" w:eastAsia="Calibri" w:hAnsiTheme="minorHAnsi" w:cstheme="minorHAnsi"/>
          <w:sz w:val="24"/>
          <w:szCs w:val="24"/>
        </w:rPr>
      </w:pPr>
      <w:r w:rsidRPr="00285D58">
        <w:rPr>
          <w:rFonts w:asciiTheme="minorHAnsi" w:hAnsiTheme="minorHAnsi" w:cstheme="minorHAnsi"/>
          <w:b/>
          <w:bCs/>
          <w:color w:val="1F3864" w:themeColor="accent1" w:themeShade="80"/>
          <w:sz w:val="24"/>
          <w:szCs w:val="24"/>
        </w:rPr>
        <w:t>SECCIÓN 5: CAMINOS PEATONALES</w:t>
      </w:r>
    </w:p>
    <w:p w14:paraId="4D24D592" w14:textId="77777777" w:rsidR="008A3E5B" w:rsidRPr="00285D58" w:rsidRDefault="008C68D9" w:rsidP="007B3AA9">
      <w:pPr>
        <w:spacing w:line="276" w:lineRule="auto"/>
        <w:jc w:val="both"/>
        <w:rPr>
          <w:rFonts w:asciiTheme="minorHAnsi" w:eastAsia="Calibri" w:hAnsiTheme="minorHAnsi" w:cstheme="minorHAnsi"/>
        </w:rPr>
      </w:pPr>
      <w:r w:rsidRPr="00285D58">
        <w:rPr>
          <w:rFonts w:asciiTheme="minorHAnsi" w:eastAsia="Calibri" w:hAnsiTheme="minorHAnsi" w:cstheme="minorHAnsi"/>
        </w:rPr>
        <w:t>Se propone la construcción de dos nuevos caminos peatonales que conectarán las futuras estaciones de llegada del transporte por cable, con los recorridos internos existentes.</w:t>
      </w:r>
      <w:r w:rsidR="008A3E5B" w:rsidRPr="00285D58">
        <w:rPr>
          <w:rFonts w:asciiTheme="minorHAnsi" w:eastAsia="Calibri" w:hAnsiTheme="minorHAnsi" w:cstheme="minorHAnsi"/>
        </w:rPr>
        <w:t xml:space="preserve"> </w:t>
      </w:r>
    </w:p>
    <w:p w14:paraId="4AD6CC75" w14:textId="77777777" w:rsidR="008A3E5B" w:rsidRPr="00285D58" w:rsidRDefault="008A3E5B" w:rsidP="007B3AA9">
      <w:pPr>
        <w:spacing w:line="276" w:lineRule="auto"/>
        <w:jc w:val="both"/>
        <w:rPr>
          <w:rFonts w:asciiTheme="minorHAnsi" w:eastAsia="Calibri" w:hAnsiTheme="minorHAnsi" w:cstheme="minorHAnsi"/>
        </w:rPr>
      </w:pPr>
    </w:p>
    <w:p w14:paraId="054D3664" w14:textId="26946AB1" w:rsidR="00B87D5A" w:rsidRPr="00285D58" w:rsidRDefault="008A3E5B"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primer tramo inicia en la Estación de Llegada Abra Choquequirao y desciende con un desarrollo de aproximadamente 2.5 km hasta conectarse con el camino de herradura Yanama – Pinchaynuyoc </w:t>
      </w:r>
      <w:r w:rsidR="00D07CEE" w:rsidRPr="00285D58">
        <w:rPr>
          <w:rFonts w:asciiTheme="minorHAnsi" w:eastAsia="Calibri" w:hAnsiTheme="minorHAnsi" w:cstheme="minorHAnsi"/>
        </w:rPr>
        <w:t>–</w:t>
      </w:r>
      <w:r w:rsidRPr="00285D58">
        <w:rPr>
          <w:rFonts w:asciiTheme="minorHAnsi" w:eastAsia="Calibri" w:hAnsiTheme="minorHAnsi" w:cstheme="minorHAnsi"/>
        </w:rPr>
        <w:t xml:space="preserve"> Mach</w:t>
      </w:r>
      <w:r w:rsidR="00D07CEE" w:rsidRPr="00285D58">
        <w:rPr>
          <w:rFonts w:asciiTheme="minorHAnsi" w:eastAsia="Calibri" w:hAnsiTheme="minorHAnsi" w:cstheme="minorHAnsi"/>
        </w:rPr>
        <w:t xml:space="preserve">, por la zona norte. </w:t>
      </w:r>
      <w:r w:rsidR="00B87D5A" w:rsidRPr="00285D58">
        <w:rPr>
          <w:rFonts w:asciiTheme="minorHAnsi" w:eastAsia="Calibri" w:hAnsiTheme="minorHAnsi" w:cstheme="minorHAnsi"/>
        </w:rPr>
        <w:t>Este tramo, será diseñado con un ancho de entre 1.0 a 1.5 metros, utilizando principalmente materiales naturales</w:t>
      </w:r>
      <w:r w:rsidR="00427157" w:rsidRPr="00285D58">
        <w:rPr>
          <w:rFonts w:asciiTheme="minorHAnsi" w:eastAsia="Calibri" w:hAnsiTheme="minorHAnsi" w:cstheme="minorHAnsi"/>
        </w:rPr>
        <w:t xml:space="preserve"> de la zona, </w:t>
      </w:r>
      <w:r w:rsidR="00B87D5A" w:rsidRPr="00285D58">
        <w:rPr>
          <w:rFonts w:asciiTheme="minorHAnsi" w:eastAsia="Calibri" w:hAnsiTheme="minorHAnsi" w:cstheme="minorHAnsi"/>
        </w:rPr>
        <w:t>como piedra y tierra compactada</w:t>
      </w:r>
      <w:r w:rsidR="00427157" w:rsidRPr="00285D58">
        <w:rPr>
          <w:rFonts w:asciiTheme="minorHAnsi" w:eastAsia="Calibri" w:hAnsiTheme="minorHAnsi" w:cstheme="minorHAnsi"/>
        </w:rPr>
        <w:t xml:space="preserve">. Su </w:t>
      </w:r>
      <w:r w:rsidR="00B87D5A" w:rsidRPr="00285D58">
        <w:rPr>
          <w:rFonts w:asciiTheme="minorHAnsi" w:eastAsia="Calibri" w:hAnsiTheme="minorHAnsi" w:cstheme="minorHAnsi"/>
        </w:rPr>
        <w:t xml:space="preserve">diseño </w:t>
      </w:r>
      <w:r w:rsidR="00427157" w:rsidRPr="00285D58">
        <w:rPr>
          <w:rFonts w:asciiTheme="minorHAnsi" w:eastAsia="Calibri" w:hAnsiTheme="minorHAnsi" w:cstheme="minorHAnsi"/>
        </w:rPr>
        <w:t>deberá m</w:t>
      </w:r>
      <w:r w:rsidR="00B87D5A" w:rsidRPr="00285D58">
        <w:rPr>
          <w:rFonts w:asciiTheme="minorHAnsi" w:eastAsia="Calibri" w:hAnsiTheme="minorHAnsi" w:cstheme="minorHAnsi"/>
        </w:rPr>
        <w:t>inimi</w:t>
      </w:r>
      <w:r w:rsidR="00427157" w:rsidRPr="00285D58">
        <w:rPr>
          <w:rFonts w:asciiTheme="minorHAnsi" w:eastAsia="Calibri" w:hAnsiTheme="minorHAnsi" w:cstheme="minorHAnsi"/>
        </w:rPr>
        <w:t xml:space="preserve">zar </w:t>
      </w:r>
      <w:r w:rsidR="00B87D5A" w:rsidRPr="00285D58">
        <w:rPr>
          <w:rFonts w:asciiTheme="minorHAnsi" w:eastAsia="Calibri" w:hAnsiTheme="minorHAnsi" w:cstheme="minorHAnsi"/>
        </w:rPr>
        <w:t>la intervención</w:t>
      </w:r>
      <w:r w:rsidR="00427157" w:rsidRPr="00285D58">
        <w:rPr>
          <w:rFonts w:asciiTheme="minorHAnsi" w:eastAsia="Calibri" w:hAnsiTheme="minorHAnsi" w:cstheme="minorHAnsi"/>
        </w:rPr>
        <w:t xml:space="preserve"> sobre el</w:t>
      </w:r>
      <w:r w:rsidR="00B87D5A" w:rsidRPr="00285D58">
        <w:rPr>
          <w:rFonts w:asciiTheme="minorHAnsi" w:eastAsia="Calibri" w:hAnsiTheme="minorHAnsi" w:cstheme="minorHAnsi"/>
        </w:rPr>
        <w:t xml:space="preserve"> terreno y respet</w:t>
      </w:r>
      <w:r w:rsidR="00427157" w:rsidRPr="00285D58">
        <w:rPr>
          <w:rFonts w:asciiTheme="minorHAnsi" w:eastAsia="Calibri" w:hAnsiTheme="minorHAnsi" w:cstheme="minorHAnsi"/>
        </w:rPr>
        <w:t xml:space="preserve">ar una pendiente </w:t>
      </w:r>
      <w:r w:rsidR="00B87D5A" w:rsidRPr="00285D58">
        <w:rPr>
          <w:rFonts w:asciiTheme="minorHAnsi" w:eastAsia="Calibri" w:hAnsiTheme="minorHAnsi" w:cstheme="minorHAnsi"/>
        </w:rPr>
        <w:t>preferentemente menor al 10%, con máximos de 12%</w:t>
      </w:r>
      <w:r w:rsidR="00427157" w:rsidRPr="00285D58">
        <w:rPr>
          <w:rFonts w:asciiTheme="minorHAnsi" w:eastAsia="Calibri" w:hAnsiTheme="minorHAnsi" w:cstheme="minorHAnsi"/>
        </w:rPr>
        <w:t xml:space="preserve"> hasta 15%</w:t>
      </w:r>
      <w:r w:rsidR="00B87D5A" w:rsidRPr="00285D58">
        <w:rPr>
          <w:rFonts w:asciiTheme="minorHAnsi" w:eastAsia="Calibri" w:hAnsiTheme="minorHAnsi" w:cstheme="minorHAnsi"/>
        </w:rPr>
        <w:t xml:space="preserve"> en tramos cortos. Se incluirán sistemas de drenaje a lo largo del recorrido, como cunetas revestidas y pasos de agua, para evitar </w:t>
      </w:r>
      <w:r w:rsidR="00427157" w:rsidRPr="00285D58">
        <w:rPr>
          <w:rFonts w:asciiTheme="minorHAnsi" w:eastAsia="Calibri" w:hAnsiTheme="minorHAnsi" w:cstheme="minorHAnsi"/>
        </w:rPr>
        <w:t xml:space="preserve">la </w:t>
      </w:r>
      <w:r w:rsidR="00B87D5A" w:rsidRPr="00285D58">
        <w:rPr>
          <w:rFonts w:asciiTheme="minorHAnsi" w:eastAsia="Calibri" w:hAnsiTheme="minorHAnsi" w:cstheme="minorHAnsi"/>
        </w:rPr>
        <w:t xml:space="preserve">erosión durante la temporada de lluvias. En áreas sensibles, como pendientes pronunciadas, se </w:t>
      </w:r>
      <w:r w:rsidR="00427157" w:rsidRPr="00285D58">
        <w:rPr>
          <w:rFonts w:asciiTheme="minorHAnsi" w:eastAsia="Calibri" w:hAnsiTheme="minorHAnsi" w:cstheme="minorHAnsi"/>
        </w:rPr>
        <w:t>deberá prever</w:t>
      </w:r>
      <w:r w:rsidR="00B87D5A" w:rsidRPr="00285D58">
        <w:rPr>
          <w:rFonts w:asciiTheme="minorHAnsi" w:eastAsia="Calibri" w:hAnsiTheme="minorHAnsi" w:cstheme="minorHAnsi"/>
        </w:rPr>
        <w:t xml:space="preserve"> el uso de escalones o </w:t>
      </w:r>
      <w:r w:rsidR="00427157" w:rsidRPr="00285D58">
        <w:rPr>
          <w:rFonts w:asciiTheme="minorHAnsi" w:eastAsia="Calibri" w:hAnsiTheme="minorHAnsi" w:cstheme="minorHAnsi"/>
        </w:rPr>
        <w:t>elementos</w:t>
      </w:r>
      <w:r w:rsidR="00B87D5A" w:rsidRPr="00285D58">
        <w:rPr>
          <w:rFonts w:asciiTheme="minorHAnsi" w:eastAsia="Calibri" w:hAnsiTheme="minorHAnsi" w:cstheme="minorHAnsi"/>
        </w:rPr>
        <w:t xml:space="preserve"> de contención.</w:t>
      </w:r>
    </w:p>
    <w:p w14:paraId="3D03D934" w14:textId="77777777" w:rsidR="00427157" w:rsidRPr="00285D58" w:rsidRDefault="00427157" w:rsidP="00B87D5A">
      <w:pPr>
        <w:spacing w:line="276" w:lineRule="auto"/>
        <w:jc w:val="both"/>
        <w:rPr>
          <w:rFonts w:asciiTheme="minorHAnsi" w:eastAsia="Calibri" w:hAnsiTheme="minorHAnsi" w:cstheme="minorHAnsi"/>
        </w:rPr>
      </w:pPr>
    </w:p>
    <w:p w14:paraId="48D6D44F" w14:textId="29782975" w:rsidR="00427157" w:rsidRPr="00285D58" w:rsidRDefault="00427157"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se deberá implementar s</w:t>
      </w:r>
      <w:r w:rsidR="00B87D5A" w:rsidRPr="00285D58">
        <w:rPr>
          <w:rFonts w:asciiTheme="minorHAnsi" w:eastAsia="Calibri" w:hAnsiTheme="minorHAnsi" w:cstheme="minorHAnsi"/>
        </w:rPr>
        <w:t xml:space="preserve">eñalización </w:t>
      </w:r>
      <w:r w:rsidRPr="00285D58">
        <w:rPr>
          <w:rFonts w:asciiTheme="minorHAnsi" w:eastAsia="Calibri" w:hAnsiTheme="minorHAnsi" w:cstheme="minorHAnsi"/>
        </w:rPr>
        <w:t xml:space="preserve">informativa y orientativa </w:t>
      </w:r>
      <w:r w:rsidR="00B87D5A" w:rsidRPr="00285D58">
        <w:rPr>
          <w:rFonts w:asciiTheme="minorHAnsi" w:eastAsia="Calibri" w:hAnsiTheme="minorHAnsi" w:cstheme="minorHAnsi"/>
        </w:rPr>
        <w:t xml:space="preserve">para guiar a los visitantes y promover </w:t>
      </w:r>
      <w:r w:rsidRPr="00285D58">
        <w:rPr>
          <w:rFonts w:asciiTheme="minorHAnsi" w:eastAsia="Calibri" w:hAnsiTheme="minorHAnsi" w:cstheme="minorHAnsi"/>
        </w:rPr>
        <w:t xml:space="preserve">las </w:t>
      </w:r>
      <w:r w:rsidR="00B87D5A" w:rsidRPr="00285D58">
        <w:rPr>
          <w:rFonts w:asciiTheme="minorHAnsi" w:eastAsia="Calibri" w:hAnsiTheme="minorHAnsi" w:cstheme="minorHAnsi"/>
        </w:rPr>
        <w:t xml:space="preserve">buenas prácticas </w:t>
      </w:r>
      <w:r w:rsidRPr="00285D58">
        <w:rPr>
          <w:rFonts w:asciiTheme="minorHAnsi" w:eastAsia="Calibri" w:hAnsiTheme="minorHAnsi" w:cstheme="minorHAnsi"/>
        </w:rPr>
        <w:t xml:space="preserve">del Usuario en cumplimiento de las disposiciones nacionales y locales publicadas por entidades como el MINCETUR, ACR Choquequirao, MINCUL, la Dirección Desconcentrada de Cultura de Cusco, entre otros. Finalmente, se deberá contemplar la instalación de al menos dos zonas de descansos entre el inicio y final del tramo. </w:t>
      </w:r>
    </w:p>
    <w:p w14:paraId="16750C45" w14:textId="77777777" w:rsidR="00427157" w:rsidRPr="00285D58" w:rsidRDefault="00427157" w:rsidP="00B87D5A">
      <w:pPr>
        <w:spacing w:line="276" w:lineRule="auto"/>
        <w:jc w:val="both"/>
        <w:rPr>
          <w:rFonts w:asciiTheme="minorHAnsi" w:eastAsia="Calibri" w:hAnsiTheme="minorHAnsi" w:cstheme="minorHAnsi"/>
        </w:rPr>
      </w:pPr>
    </w:p>
    <w:p w14:paraId="046F8C7C" w14:textId="19D6B71A" w:rsidR="00B87D5A" w:rsidRPr="00285D58" w:rsidRDefault="00B87D5A" w:rsidP="00B87D5A">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segundo tramo inicia en la Estación de Llegada Unión y continua por la misma cota hasta </w:t>
      </w:r>
      <w:r w:rsidR="005C52DF" w:rsidRPr="00285D58">
        <w:rPr>
          <w:rFonts w:asciiTheme="minorHAnsi" w:eastAsia="Calibri" w:hAnsiTheme="minorHAnsi" w:cstheme="minorHAnsi"/>
        </w:rPr>
        <w:t>llegar al recorrido</w:t>
      </w:r>
      <w:r w:rsidRPr="00285D58">
        <w:rPr>
          <w:rFonts w:asciiTheme="minorHAnsi" w:eastAsia="Calibri" w:hAnsiTheme="minorHAnsi" w:cstheme="minorHAnsi"/>
        </w:rPr>
        <w:t xml:space="preserve"> interno del MAC</w:t>
      </w:r>
      <w:r w:rsidR="005C52DF" w:rsidRPr="00285D58">
        <w:rPr>
          <w:rFonts w:asciiTheme="minorHAnsi" w:eastAsia="Calibri" w:hAnsiTheme="minorHAnsi" w:cstheme="minorHAnsi"/>
        </w:rPr>
        <w:t xml:space="preserve">H. </w:t>
      </w:r>
      <w:r w:rsidRPr="00285D58">
        <w:rPr>
          <w:rFonts w:asciiTheme="minorHAnsi" w:eastAsia="Calibri" w:hAnsiTheme="minorHAnsi" w:cstheme="minorHAnsi"/>
        </w:rPr>
        <w:t>E</w:t>
      </w:r>
      <w:r w:rsidR="005C52DF" w:rsidRPr="00285D58">
        <w:rPr>
          <w:rFonts w:asciiTheme="minorHAnsi" w:eastAsia="Calibri" w:hAnsiTheme="minorHAnsi" w:cstheme="minorHAnsi"/>
        </w:rPr>
        <w:t>l diseño de este tramo deberá contemplar la mínima intervención sobre el suelo natural al encontrarse cerca de la zona monumental de Choquequirao. El ancho promedio será</w:t>
      </w:r>
      <w:r w:rsidRPr="00285D58">
        <w:rPr>
          <w:rFonts w:asciiTheme="minorHAnsi" w:eastAsia="Calibri" w:hAnsiTheme="minorHAnsi" w:cstheme="minorHAnsi"/>
        </w:rPr>
        <w:t xml:space="preserve"> </w:t>
      </w:r>
      <w:r w:rsidR="005C52DF" w:rsidRPr="00285D58">
        <w:rPr>
          <w:rFonts w:asciiTheme="minorHAnsi" w:eastAsia="Calibri" w:hAnsiTheme="minorHAnsi" w:cstheme="minorHAnsi"/>
        </w:rPr>
        <w:t xml:space="preserve">de 1.0 </w:t>
      </w:r>
      <w:r w:rsidRPr="00285D58">
        <w:rPr>
          <w:rFonts w:asciiTheme="minorHAnsi" w:eastAsia="Calibri" w:hAnsiTheme="minorHAnsi" w:cstheme="minorHAnsi"/>
        </w:rPr>
        <w:t xml:space="preserve">metro. </w:t>
      </w:r>
      <w:r w:rsidR="005C52DF" w:rsidRPr="00285D58">
        <w:rPr>
          <w:rFonts w:asciiTheme="minorHAnsi" w:eastAsia="Calibri" w:hAnsiTheme="minorHAnsi" w:cstheme="minorHAnsi"/>
        </w:rPr>
        <w:t xml:space="preserve">Para proteger el suelo natural, el diseño deberá contemplar el uso de sistemas de protección como el uso de pasarelas, entablados, geotextiles, plataformas u </w:t>
      </w:r>
      <w:r w:rsidR="00C26809" w:rsidRPr="00285D58">
        <w:rPr>
          <w:rFonts w:asciiTheme="minorHAnsi" w:eastAsia="Calibri" w:hAnsiTheme="minorHAnsi" w:cstheme="minorHAnsi"/>
        </w:rPr>
        <w:t xml:space="preserve">otros </w:t>
      </w:r>
      <w:r w:rsidR="005C52DF" w:rsidRPr="00285D58">
        <w:rPr>
          <w:rFonts w:asciiTheme="minorHAnsi" w:eastAsia="Calibri" w:hAnsiTheme="minorHAnsi" w:cstheme="minorHAnsi"/>
        </w:rPr>
        <w:t>elementos que permita</w:t>
      </w:r>
      <w:r w:rsidR="00C26809" w:rsidRPr="00285D58">
        <w:rPr>
          <w:rFonts w:asciiTheme="minorHAnsi" w:eastAsia="Calibri" w:hAnsiTheme="minorHAnsi" w:cstheme="minorHAnsi"/>
        </w:rPr>
        <w:t xml:space="preserve"> evitar el contacto directo del paso de los usuarios con el suelo. </w:t>
      </w:r>
      <w:r w:rsidR="005C52DF" w:rsidRPr="00285D58">
        <w:rPr>
          <w:rFonts w:asciiTheme="minorHAnsi" w:eastAsia="Calibri" w:hAnsiTheme="minorHAnsi" w:cstheme="minorHAnsi"/>
        </w:rPr>
        <w:t xml:space="preserve">  </w:t>
      </w:r>
      <w:r w:rsidRPr="00285D58">
        <w:rPr>
          <w:rFonts w:asciiTheme="minorHAnsi" w:eastAsia="Calibri" w:hAnsiTheme="minorHAnsi" w:cstheme="minorHAnsi"/>
        </w:rPr>
        <w:t xml:space="preserve">El acabado será rústico, utilizando los materiales disponibles en la zona, como piedra y grava, para mantener la armonía visual con el entorno. El trazado seguirá </w:t>
      </w:r>
      <w:r w:rsidR="00C26809" w:rsidRPr="00285D58">
        <w:rPr>
          <w:rFonts w:asciiTheme="minorHAnsi" w:eastAsia="Calibri" w:hAnsiTheme="minorHAnsi" w:cstheme="minorHAnsi"/>
        </w:rPr>
        <w:t xml:space="preserve">las </w:t>
      </w:r>
      <w:r w:rsidRPr="00285D58">
        <w:rPr>
          <w:rFonts w:asciiTheme="minorHAnsi" w:eastAsia="Calibri" w:hAnsiTheme="minorHAnsi" w:cstheme="minorHAnsi"/>
        </w:rPr>
        <w:t xml:space="preserve">curvas de nivel para reducir el impacto sobre el suelo y minimizar riesgos de deslizamiento. </w:t>
      </w:r>
      <w:r w:rsidR="00C26809" w:rsidRPr="00285D58">
        <w:rPr>
          <w:rFonts w:asciiTheme="minorHAnsi" w:eastAsia="Calibri" w:hAnsiTheme="minorHAnsi" w:cstheme="minorHAnsi"/>
        </w:rPr>
        <w:t>Asimismo, se deberá contemplar la instalación de elementos de drenaje a lo largo del camino</w:t>
      </w:r>
      <w:r w:rsidRPr="00285D58">
        <w:rPr>
          <w:rFonts w:asciiTheme="minorHAnsi" w:eastAsia="Calibri" w:hAnsiTheme="minorHAnsi" w:cstheme="minorHAnsi"/>
        </w:rPr>
        <w:t>.</w:t>
      </w:r>
    </w:p>
    <w:p w14:paraId="10182B46" w14:textId="25551561" w:rsidR="00D07CEE" w:rsidRPr="00285D58" w:rsidRDefault="00D07CEE" w:rsidP="00B87D5A">
      <w:pPr>
        <w:spacing w:line="276" w:lineRule="auto"/>
        <w:rPr>
          <w:rFonts w:asciiTheme="minorHAnsi" w:eastAsia="Calibri" w:hAnsiTheme="minorHAnsi" w:cstheme="minorHAnsi"/>
        </w:rPr>
      </w:pPr>
    </w:p>
    <w:p w14:paraId="7C2A7A66" w14:textId="77777777" w:rsidR="00A77713" w:rsidRPr="00285D58" w:rsidRDefault="00A77713" w:rsidP="00D07CEE">
      <w:pPr>
        <w:spacing w:line="276" w:lineRule="auto"/>
        <w:jc w:val="center"/>
        <w:rPr>
          <w:rFonts w:asciiTheme="minorHAnsi" w:eastAsia="Calibri" w:hAnsiTheme="minorHAnsi" w:cstheme="minorHAnsi"/>
        </w:rPr>
      </w:pPr>
    </w:p>
    <w:p w14:paraId="064308DE" w14:textId="77777777" w:rsidR="00A77713" w:rsidRPr="00285D58" w:rsidRDefault="00A77713" w:rsidP="00D07CEE">
      <w:pPr>
        <w:spacing w:line="276" w:lineRule="auto"/>
        <w:jc w:val="center"/>
        <w:rPr>
          <w:rFonts w:asciiTheme="minorHAnsi" w:eastAsia="Calibri" w:hAnsiTheme="minorHAnsi" w:cstheme="minorHAnsi"/>
        </w:rPr>
      </w:pPr>
    </w:p>
    <w:p w14:paraId="2ADC374B" w14:textId="77777777" w:rsidR="00A77713" w:rsidRPr="00285D58" w:rsidRDefault="00A77713" w:rsidP="00D07CEE">
      <w:pPr>
        <w:spacing w:line="276" w:lineRule="auto"/>
        <w:jc w:val="center"/>
        <w:rPr>
          <w:rFonts w:asciiTheme="minorHAnsi" w:eastAsia="Calibri" w:hAnsiTheme="minorHAnsi" w:cstheme="minorHAnsi"/>
        </w:rPr>
      </w:pPr>
    </w:p>
    <w:p w14:paraId="4852A378" w14:textId="77777777" w:rsidR="00A77713" w:rsidRPr="00285D58" w:rsidRDefault="00A77713" w:rsidP="00D07CEE">
      <w:pPr>
        <w:spacing w:line="276" w:lineRule="auto"/>
        <w:jc w:val="center"/>
        <w:rPr>
          <w:rFonts w:asciiTheme="minorHAnsi" w:eastAsia="Calibri" w:hAnsiTheme="minorHAnsi" w:cstheme="minorHAnsi"/>
        </w:rPr>
      </w:pPr>
    </w:p>
    <w:p w14:paraId="71A36A6F" w14:textId="77777777" w:rsidR="00A77713" w:rsidRPr="00285D58" w:rsidRDefault="00A77713" w:rsidP="00D07CEE">
      <w:pPr>
        <w:spacing w:line="276" w:lineRule="auto"/>
        <w:jc w:val="center"/>
        <w:rPr>
          <w:rFonts w:asciiTheme="minorHAnsi" w:eastAsia="Calibri" w:hAnsiTheme="minorHAnsi" w:cstheme="minorHAnsi"/>
        </w:rPr>
      </w:pPr>
    </w:p>
    <w:p w14:paraId="4BE0AA7D" w14:textId="77777777" w:rsidR="00A77713" w:rsidRPr="00285D58" w:rsidRDefault="00A77713" w:rsidP="00D07CEE">
      <w:pPr>
        <w:spacing w:line="276" w:lineRule="auto"/>
        <w:jc w:val="center"/>
        <w:rPr>
          <w:rFonts w:asciiTheme="minorHAnsi" w:eastAsia="Calibri" w:hAnsiTheme="minorHAnsi" w:cstheme="minorHAnsi"/>
        </w:rPr>
      </w:pPr>
    </w:p>
    <w:p w14:paraId="6AC638BE" w14:textId="77777777" w:rsidR="00A77713" w:rsidRPr="00285D58" w:rsidRDefault="00A77713" w:rsidP="00D07CEE">
      <w:pPr>
        <w:spacing w:line="276" w:lineRule="auto"/>
        <w:jc w:val="center"/>
        <w:rPr>
          <w:rFonts w:asciiTheme="minorHAnsi" w:eastAsia="Calibri" w:hAnsiTheme="minorHAnsi" w:cstheme="minorHAnsi"/>
        </w:rPr>
      </w:pPr>
    </w:p>
    <w:p w14:paraId="11F77F35" w14:textId="77777777" w:rsidR="00A77713" w:rsidRPr="00285D58" w:rsidRDefault="00A77713" w:rsidP="00D07CEE">
      <w:pPr>
        <w:spacing w:line="276" w:lineRule="auto"/>
        <w:jc w:val="center"/>
        <w:rPr>
          <w:rFonts w:asciiTheme="minorHAnsi" w:eastAsia="Calibri" w:hAnsiTheme="minorHAnsi" w:cstheme="minorHAnsi"/>
        </w:rPr>
      </w:pPr>
    </w:p>
    <w:p w14:paraId="1974A752" w14:textId="77777777" w:rsidR="00A77713" w:rsidRPr="00285D58" w:rsidRDefault="00A77713" w:rsidP="00D07CEE">
      <w:pPr>
        <w:spacing w:line="276" w:lineRule="auto"/>
        <w:jc w:val="center"/>
        <w:rPr>
          <w:rFonts w:asciiTheme="minorHAnsi" w:eastAsia="Calibri" w:hAnsiTheme="minorHAnsi" w:cstheme="minorHAnsi"/>
        </w:rPr>
      </w:pPr>
    </w:p>
    <w:p w14:paraId="5F755509" w14:textId="77777777" w:rsidR="00A77713" w:rsidRPr="00285D58" w:rsidRDefault="00A77713" w:rsidP="00D07CEE">
      <w:pPr>
        <w:spacing w:line="276" w:lineRule="auto"/>
        <w:jc w:val="center"/>
        <w:rPr>
          <w:rFonts w:asciiTheme="minorHAnsi" w:eastAsia="Calibri" w:hAnsiTheme="minorHAnsi" w:cstheme="minorHAnsi"/>
        </w:rPr>
      </w:pPr>
    </w:p>
    <w:p w14:paraId="0A305663" w14:textId="77777777" w:rsidR="00A77713" w:rsidRPr="00285D58" w:rsidRDefault="00A77713" w:rsidP="00D07CEE">
      <w:pPr>
        <w:spacing w:line="276" w:lineRule="auto"/>
        <w:jc w:val="center"/>
        <w:rPr>
          <w:rFonts w:asciiTheme="minorHAnsi" w:eastAsia="Calibri" w:hAnsiTheme="minorHAnsi" w:cstheme="minorHAnsi"/>
        </w:rPr>
      </w:pPr>
    </w:p>
    <w:p w14:paraId="66B1CB85" w14:textId="77777777" w:rsidR="00A77713" w:rsidRPr="00285D58" w:rsidRDefault="00A77713" w:rsidP="00D07CEE">
      <w:pPr>
        <w:spacing w:line="276" w:lineRule="auto"/>
        <w:jc w:val="center"/>
        <w:rPr>
          <w:rFonts w:asciiTheme="minorHAnsi" w:eastAsia="Calibri" w:hAnsiTheme="minorHAnsi" w:cstheme="minorHAnsi"/>
        </w:rPr>
      </w:pPr>
    </w:p>
    <w:p w14:paraId="2E874B2B" w14:textId="77777777" w:rsidR="00A77713" w:rsidRPr="00285D58" w:rsidRDefault="00A77713" w:rsidP="00D07CEE">
      <w:pPr>
        <w:spacing w:line="276" w:lineRule="auto"/>
        <w:jc w:val="center"/>
        <w:rPr>
          <w:rFonts w:asciiTheme="minorHAnsi" w:eastAsia="Calibri" w:hAnsiTheme="minorHAnsi" w:cstheme="minorHAnsi"/>
        </w:rPr>
      </w:pPr>
    </w:p>
    <w:p w14:paraId="2BF2F887" w14:textId="77777777" w:rsidR="00A77713" w:rsidRPr="00285D58" w:rsidRDefault="00A77713" w:rsidP="00D07CEE">
      <w:pPr>
        <w:spacing w:line="276" w:lineRule="auto"/>
        <w:jc w:val="center"/>
        <w:rPr>
          <w:rFonts w:asciiTheme="minorHAnsi" w:eastAsia="Calibri" w:hAnsiTheme="minorHAnsi" w:cstheme="minorHAnsi"/>
        </w:rPr>
      </w:pPr>
    </w:p>
    <w:p w14:paraId="45B7DD6F" w14:textId="77777777" w:rsidR="00A77713" w:rsidRPr="00285D58" w:rsidRDefault="00A77713" w:rsidP="00D07CEE">
      <w:pPr>
        <w:spacing w:line="276" w:lineRule="auto"/>
        <w:jc w:val="center"/>
        <w:rPr>
          <w:rFonts w:asciiTheme="minorHAnsi" w:eastAsia="Calibri" w:hAnsiTheme="minorHAnsi" w:cstheme="minorHAnsi"/>
        </w:rPr>
      </w:pPr>
    </w:p>
    <w:p w14:paraId="35155E27" w14:textId="77777777" w:rsidR="00A77713" w:rsidRPr="00285D58" w:rsidRDefault="00A77713" w:rsidP="00D07CEE">
      <w:pPr>
        <w:spacing w:line="276" w:lineRule="auto"/>
        <w:jc w:val="center"/>
        <w:rPr>
          <w:rFonts w:asciiTheme="minorHAnsi" w:eastAsia="Calibri" w:hAnsiTheme="minorHAnsi" w:cstheme="minorHAnsi"/>
        </w:rPr>
      </w:pPr>
    </w:p>
    <w:p w14:paraId="0A40CC9D" w14:textId="39B6CE4E" w:rsidR="00D07CEE" w:rsidRPr="00285D58" w:rsidRDefault="00D07CEE" w:rsidP="00D07CEE">
      <w:pPr>
        <w:spacing w:line="276" w:lineRule="auto"/>
        <w:jc w:val="center"/>
        <w:rPr>
          <w:rFonts w:asciiTheme="minorHAnsi" w:eastAsia="Calibri" w:hAnsiTheme="minorHAnsi" w:cstheme="minorHAnsi"/>
        </w:rPr>
      </w:pPr>
      <w:r w:rsidRPr="00285D58">
        <w:rPr>
          <w:rFonts w:asciiTheme="minorHAnsi" w:eastAsia="Calibri" w:hAnsiTheme="minorHAnsi" w:cstheme="minorHAnsi"/>
        </w:rPr>
        <w:t xml:space="preserve">Figura N°44: Plano de ubicación de los Caminos Peatonales. </w:t>
      </w:r>
    </w:p>
    <w:p w14:paraId="5062A308" w14:textId="2A5172AD" w:rsidR="008C68D9" w:rsidRPr="00285D58" w:rsidRDefault="008C68D9" w:rsidP="00A77713">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anchor distT="0" distB="0" distL="114300" distR="114300" simplePos="0" relativeHeight="251666944" behindDoc="0" locked="0" layoutInCell="1" allowOverlap="1" wp14:anchorId="7E619ADB" wp14:editId="7EE96379">
            <wp:simplePos x="0" y="0"/>
            <wp:positionH relativeFrom="column">
              <wp:posOffset>3347085</wp:posOffset>
            </wp:positionH>
            <wp:positionV relativeFrom="paragraph">
              <wp:posOffset>2669540</wp:posOffset>
            </wp:positionV>
            <wp:extent cx="1188720" cy="834189"/>
            <wp:effectExtent l="38100" t="38100" r="87630" b="9969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188720" cy="834189"/>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8A3E5B" w:rsidRPr="00285D58">
        <w:rPr>
          <w:rFonts w:asciiTheme="minorHAnsi" w:eastAsia="Calibri" w:hAnsiTheme="minorHAnsi" w:cstheme="minorHAnsi"/>
          <w:noProof/>
          <w:lang w:val="es-PE"/>
        </w:rPr>
        <w:drawing>
          <wp:inline distT="0" distB="0" distL="0" distR="0" wp14:anchorId="11A92E84" wp14:editId="4BD378AF">
            <wp:extent cx="3600000" cy="3542021"/>
            <wp:effectExtent l="0" t="0" r="635"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00000" cy="3542021"/>
                    </a:xfrm>
                    <a:prstGeom prst="rect">
                      <a:avLst/>
                    </a:prstGeom>
                  </pic:spPr>
                </pic:pic>
              </a:graphicData>
            </a:graphic>
          </wp:inline>
        </w:drawing>
      </w:r>
    </w:p>
    <w:p w14:paraId="118A0B6D" w14:textId="366D9DB5" w:rsidR="008C68D9" w:rsidRPr="00285D58" w:rsidRDefault="008C68D9" w:rsidP="007B3AA9">
      <w:pPr>
        <w:spacing w:line="276" w:lineRule="auto"/>
        <w:jc w:val="both"/>
        <w:rPr>
          <w:rFonts w:asciiTheme="minorHAnsi" w:eastAsia="Calibri" w:hAnsiTheme="minorHAnsi" w:cstheme="minorHAnsi"/>
        </w:rPr>
      </w:pPr>
    </w:p>
    <w:p w14:paraId="2647EC1E" w14:textId="3039F9B1" w:rsidR="00B87D5A" w:rsidRPr="00285D58" w:rsidRDefault="00B87D5A" w:rsidP="007B3AA9">
      <w:pPr>
        <w:spacing w:line="276" w:lineRule="auto"/>
        <w:jc w:val="both"/>
        <w:rPr>
          <w:rFonts w:asciiTheme="minorHAnsi" w:eastAsia="Calibri" w:hAnsiTheme="minorHAnsi" w:cstheme="minorHAnsi"/>
        </w:rPr>
      </w:pPr>
    </w:p>
    <w:p w14:paraId="3DBBCB5D" w14:textId="65AA42AD" w:rsidR="001F600C" w:rsidRPr="00285D58" w:rsidRDefault="001F600C" w:rsidP="008D1FFF">
      <w:pPr>
        <w:spacing w:line="276" w:lineRule="auto"/>
        <w:rPr>
          <w:rFonts w:asciiTheme="minorHAnsi" w:eastAsia="Times New Roman" w:hAnsiTheme="minorHAnsi" w:cstheme="minorHAnsi"/>
          <w:b/>
          <w:caps/>
          <w:color w:val="1F3864" w:themeColor="accent1" w:themeShade="80"/>
          <w:sz w:val="24"/>
          <w:szCs w:val="24"/>
          <w:lang w:val="es-PE" w:eastAsia="en-US"/>
        </w:rPr>
      </w:pPr>
      <w:r w:rsidRPr="00285D58">
        <w:rPr>
          <w:rFonts w:asciiTheme="minorHAnsi" w:eastAsia="Times New Roman" w:hAnsiTheme="minorHAnsi" w:cstheme="minorHAnsi"/>
          <w:b/>
          <w:caps/>
          <w:color w:val="1F3864" w:themeColor="accent1" w:themeShade="80"/>
          <w:sz w:val="24"/>
          <w:szCs w:val="24"/>
          <w:lang w:val="es-PE" w:eastAsia="en-US"/>
        </w:rPr>
        <w:t xml:space="preserve">SECCIÓN </w:t>
      </w:r>
      <w:r w:rsidR="007B3AA9" w:rsidRPr="00285D58">
        <w:rPr>
          <w:rFonts w:asciiTheme="minorHAnsi" w:eastAsia="Times New Roman" w:hAnsiTheme="minorHAnsi" w:cstheme="minorHAnsi"/>
          <w:b/>
          <w:caps/>
          <w:color w:val="1F3864" w:themeColor="accent1" w:themeShade="80"/>
          <w:sz w:val="24"/>
          <w:szCs w:val="24"/>
          <w:lang w:val="es-PE" w:eastAsia="en-US"/>
        </w:rPr>
        <w:t>6</w:t>
      </w:r>
      <w:r w:rsidRPr="00285D58">
        <w:rPr>
          <w:rFonts w:asciiTheme="minorHAnsi" w:eastAsia="Times New Roman" w:hAnsiTheme="minorHAnsi" w:cstheme="minorHAnsi"/>
          <w:b/>
          <w:caps/>
          <w:color w:val="1F3864" w:themeColor="accent1" w:themeShade="80"/>
          <w:sz w:val="24"/>
          <w:szCs w:val="24"/>
          <w:lang w:val="es-PE" w:eastAsia="en-US"/>
        </w:rPr>
        <w:t>: PARA LOS BUSES</w:t>
      </w:r>
    </w:p>
    <w:p w14:paraId="3C9B0455" w14:textId="77777777" w:rsidR="00A24E4B" w:rsidRPr="00285D58" w:rsidRDefault="00A24E4B" w:rsidP="008D1FFF">
      <w:pPr>
        <w:spacing w:line="276" w:lineRule="auto"/>
        <w:rPr>
          <w:rFonts w:asciiTheme="minorHAnsi" w:eastAsia="Times New Roman" w:hAnsiTheme="minorHAnsi" w:cstheme="minorHAnsi"/>
          <w:b/>
          <w:caps/>
          <w:color w:val="000000"/>
          <w:sz w:val="24"/>
          <w:szCs w:val="24"/>
          <w:lang w:val="es-PE" w:eastAsia="en-US"/>
        </w:rPr>
      </w:pPr>
    </w:p>
    <w:p w14:paraId="52927722" w14:textId="77777777" w:rsidR="007B3AA9" w:rsidRPr="00285D58" w:rsidRDefault="007B3AA9" w:rsidP="00A3732C">
      <w:pPr>
        <w:pStyle w:val="Prrafodelista"/>
        <w:numPr>
          <w:ilvl w:val="0"/>
          <w:numId w:val="228"/>
        </w:numPr>
        <w:spacing w:line="276" w:lineRule="auto"/>
        <w:rPr>
          <w:rFonts w:asciiTheme="minorHAnsi" w:eastAsia="Times New Roman" w:hAnsiTheme="minorHAnsi" w:cstheme="minorHAnsi"/>
          <w:b/>
          <w:vanish/>
          <w:color w:val="000000"/>
          <w:sz w:val="24"/>
          <w:szCs w:val="24"/>
          <w:lang w:val="es-PE" w:eastAsia="en-US"/>
        </w:rPr>
      </w:pPr>
      <w:bookmarkStart w:id="132" w:name="_Toc180162479"/>
      <w:bookmarkStart w:id="133" w:name="_Toc180162541"/>
      <w:bookmarkStart w:id="134" w:name="_Toc180162653"/>
      <w:bookmarkStart w:id="135" w:name="_Toc182581473"/>
      <w:bookmarkStart w:id="136" w:name="_Toc182582256"/>
      <w:bookmarkEnd w:id="132"/>
      <w:bookmarkEnd w:id="133"/>
      <w:bookmarkEnd w:id="134"/>
      <w:bookmarkEnd w:id="135"/>
      <w:bookmarkEnd w:id="136"/>
    </w:p>
    <w:p w14:paraId="5AD55D2B" w14:textId="77777777" w:rsidR="007B3AA9" w:rsidRPr="00285D58" w:rsidRDefault="007B3AA9" w:rsidP="00A3732C">
      <w:pPr>
        <w:pStyle w:val="Prrafodelista"/>
        <w:numPr>
          <w:ilvl w:val="0"/>
          <w:numId w:val="228"/>
        </w:numPr>
        <w:spacing w:line="276" w:lineRule="auto"/>
        <w:rPr>
          <w:rFonts w:asciiTheme="minorHAnsi" w:eastAsia="Times New Roman" w:hAnsiTheme="minorHAnsi" w:cstheme="minorHAnsi"/>
          <w:b/>
          <w:vanish/>
          <w:color w:val="000000"/>
          <w:sz w:val="24"/>
          <w:szCs w:val="24"/>
          <w:lang w:val="es-PE" w:eastAsia="en-US"/>
        </w:rPr>
      </w:pPr>
    </w:p>
    <w:p w14:paraId="7D1BD56B" w14:textId="57F13043" w:rsidR="001F600C" w:rsidRPr="00285D58" w:rsidRDefault="001F600C" w:rsidP="00A3732C">
      <w:pPr>
        <w:pStyle w:val="Prrafodelista"/>
        <w:numPr>
          <w:ilvl w:val="1"/>
          <w:numId w:val="228"/>
        </w:numPr>
        <w:spacing w:line="276" w:lineRule="auto"/>
        <w:rPr>
          <w:rFonts w:asciiTheme="minorHAnsi" w:eastAsia="Times New Roman" w:hAnsiTheme="minorHAnsi" w:cstheme="minorHAnsi"/>
          <w:b/>
          <w:color w:val="000000"/>
          <w:sz w:val="24"/>
          <w:szCs w:val="24"/>
          <w:lang w:val="es-PE" w:eastAsia="en-US"/>
        </w:rPr>
      </w:pPr>
      <w:r w:rsidRPr="00285D58">
        <w:rPr>
          <w:rFonts w:asciiTheme="minorHAnsi" w:eastAsia="Times New Roman" w:hAnsiTheme="minorHAnsi" w:cstheme="minorHAnsi"/>
          <w:b/>
          <w:color w:val="000000"/>
          <w:sz w:val="24"/>
          <w:szCs w:val="24"/>
          <w:lang w:val="es-PE" w:eastAsia="en-US"/>
        </w:rPr>
        <w:t xml:space="preserve">ASPECTOS TÉCNICOS MÍNIMOS </w:t>
      </w:r>
    </w:p>
    <w:p w14:paraId="2FD766ED"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presentan los aspectos técnicos mínimos que deberán cumplir los buses que serán adquiridos durante la Concesión, con el fin de garantizar el cumplimiento de los estándares de calidad, seguridad, eficiencia energética y accesibilidad necesarios para la operación del sistema de transporte. Los vehículos deberán encontrarse en conformidad con las normativas vigentes y responder adecuadamente a las necesidades de los usuarios.</w:t>
      </w:r>
    </w:p>
    <w:p w14:paraId="75947214" w14:textId="77777777" w:rsidR="001F600C" w:rsidRPr="00285D58" w:rsidRDefault="001F600C" w:rsidP="008D1FFF">
      <w:pPr>
        <w:spacing w:line="276" w:lineRule="auto"/>
        <w:jc w:val="both"/>
        <w:rPr>
          <w:rFonts w:asciiTheme="minorHAnsi" w:eastAsia="Calibri" w:hAnsiTheme="minorHAnsi" w:cstheme="minorHAnsi"/>
        </w:rPr>
      </w:pPr>
    </w:p>
    <w:p w14:paraId="5AE95D41" w14:textId="63918DAB" w:rsidR="001F600C" w:rsidRPr="00285D58" w:rsidRDefault="001F600C" w:rsidP="008D1FFF">
      <w:pPr>
        <w:pStyle w:val="Descripcin"/>
        <w:spacing w:line="276" w:lineRule="auto"/>
        <w:jc w:val="center"/>
        <w:rPr>
          <w:rFonts w:asciiTheme="minorHAnsi" w:hAnsiTheme="minorHAnsi" w:cstheme="minorHAnsi"/>
          <w:sz w:val="22"/>
          <w:szCs w:val="24"/>
        </w:rPr>
      </w:pPr>
      <w:r w:rsidRPr="00285D58">
        <w:rPr>
          <w:rFonts w:asciiTheme="minorHAnsi" w:hAnsiTheme="minorHAnsi" w:cstheme="minorHAnsi"/>
          <w:sz w:val="22"/>
          <w:szCs w:val="24"/>
        </w:rPr>
        <w:t xml:space="preserve">Tabla </w:t>
      </w:r>
      <w:r w:rsidRPr="00285D58">
        <w:rPr>
          <w:rFonts w:asciiTheme="minorHAnsi" w:hAnsiTheme="minorHAnsi" w:cstheme="minorHAnsi"/>
          <w:sz w:val="22"/>
          <w:szCs w:val="24"/>
        </w:rPr>
        <w:fldChar w:fldCharType="begin"/>
      </w:r>
      <w:r w:rsidRPr="00285D58">
        <w:rPr>
          <w:rFonts w:asciiTheme="minorHAnsi" w:hAnsiTheme="minorHAnsi" w:cstheme="minorHAnsi"/>
          <w:sz w:val="22"/>
          <w:szCs w:val="24"/>
        </w:rPr>
        <w:instrText xml:space="preserve"> SEQ Tabla \* ARABIC </w:instrText>
      </w:r>
      <w:r w:rsidRPr="00285D58">
        <w:rPr>
          <w:rFonts w:asciiTheme="minorHAnsi" w:hAnsiTheme="minorHAnsi" w:cstheme="minorHAnsi"/>
          <w:sz w:val="22"/>
          <w:szCs w:val="24"/>
        </w:rPr>
        <w:fldChar w:fldCharType="separate"/>
      </w:r>
      <w:r w:rsidR="007E3A44" w:rsidRPr="00285D58">
        <w:rPr>
          <w:rFonts w:asciiTheme="minorHAnsi" w:hAnsiTheme="minorHAnsi" w:cstheme="minorHAnsi"/>
          <w:noProof/>
          <w:sz w:val="22"/>
          <w:szCs w:val="24"/>
        </w:rPr>
        <w:t>41</w:t>
      </w:r>
      <w:r w:rsidRPr="00285D58">
        <w:rPr>
          <w:rFonts w:asciiTheme="minorHAnsi" w:hAnsiTheme="minorHAnsi" w:cstheme="minorHAnsi"/>
          <w:sz w:val="22"/>
          <w:szCs w:val="24"/>
        </w:rPr>
        <w:fldChar w:fldCharType="end"/>
      </w:r>
      <w:r w:rsidRPr="00285D58">
        <w:rPr>
          <w:rFonts w:asciiTheme="minorHAnsi" w:hAnsiTheme="minorHAnsi" w:cstheme="minorHAnsi"/>
          <w:sz w:val="22"/>
          <w:szCs w:val="24"/>
        </w:rPr>
        <w:t>. TECNOLOGÍA CONSTRUCTIVA DE LAS ESTACIONES DE LLEGADA</w:t>
      </w:r>
    </w:p>
    <w:tbl>
      <w:tblPr>
        <w:tblW w:w="8596" w:type="dxa"/>
        <w:tblInd w:w="-5" w:type="dxa"/>
        <w:tblLayout w:type="fixed"/>
        <w:tblLook w:val="0400" w:firstRow="0" w:lastRow="0" w:firstColumn="0" w:lastColumn="0" w:noHBand="0" w:noVBand="1"/>
      </w:tblPr>
      <w:tblGrid>
        <w:gridCol w:w="4298"/>
        <w:gridCol w:w="4298"/>
      </w:tblGrid>
      <w:tr w:rsidR="001F600C" w:rsidRPr="00285D58" w14:paraId="5BA887EA" w14:textId="77777777" w:rsidTr="00242093">
        <w:trPr>
          <w:trHeight w:val="244"/>
        </w:trPr>
        <w:tc>
          <w:tcPr>
            <w:tcW w:w="8596" w:type="dxa"/>
            <w:gridSpan w:val="2"/>
            <w:tcBorders>
              <w:top w:val="single" w:sz="4" w:space="0" w:color="1072BD"/>
              <w:left w:val="single" w:sz="4" w:space="0" w:color="1072BD"/>
              <w:bottom w:val="single" w:sz="4" w:space="0" w:color="1072BD"/>
              <w:right w:val="single" w:sz="4" w:space="0" w:color="1072BD"/>
            </w:tcBorders>
            <w:shd w:val="clear" w:color="auto" w:fill="E7E6E6" w:themeFill="background2"/>
          </w:tcPr>
          <w:p w14:paraId="45AB6758"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Estaciones Salida y Llegada - Tecnología</w:t>
            </w:r>
          </w:p>
        </w:tc>
      </w:tr>
      <w:tr w:rsidR="001F600C" w:rsidRPr="00285D58" w14:paraId="7F5A1F58"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6B72F9E4"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Motor y Suspensión </w:t>
            </w:r>
          </w:p>
        </w:tc>
        <w:tc>
          <w:tcPr>
            <w:tcW w:w="4298" w:type="dxa"/>
            <w:tcBorders>
              <w:top w:val="nil"/>
              <w:left w:val="nil"/>
              <w:bottom w:val="single" w:sz="4" w:space="0" w:color="1072BD"/>
              <w:right w:val="single" w:sz="4" w:space="0" w:color="1072BD"/>
            </w:tcBorders>
            <w:shd w:val="clear" w:color="auto" w:fill="E7E6E6" w:themeFill="background2"/>
          </w:tcPr>
          <w:p w14:paraId="34E9908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3B6AC797"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3F717BC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Torque Máximo</w:t>
            </w:r>
          </w:p>
        </w:tc>
        <w:tc>
          <w:tcPr>
            <w:tcW w:w="4298" w:type="dxa"/>
            <w:tcBorders>
              <w:top w:val="nil"/>
              <w:left w:val="nil"/>
              <w:bottom w:val="single" w:sz="4" w:space="0" w:color="1072BD"/>
              <w:right w:val="single" w:sz="4" w:space="0" w:color="1072BD"/>
            </w:tcBorders>
          </w:tcPr>
          <w:p w14:paraId="7FA6C1E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59/1400</w:t>
            </w:r>
          </w:p>
        </w:tc>
      </w:tr>
      <w:tr w:rsidR="001F600C" w:rsidRPr="00285D58" w14:paraId="4D9E7580"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0A77B6B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Tipo de Combustible</w:t>
            </w:r>
          </w:p>
        </w:tc>
        <w:tc>
          <w:tcPr>
            <w:tcW w:w="4298" w:type="dxa"/>
            <w:tcBorders>
              <w:top w:val="nil"/>
              <w:left w:val="nil"/>
              <w:bottom w:val="single" w:sz="4" w:space="0" w:color="1072BD"/>
              <w:right w:val="single" w:sz="4" w:space="0" w:color="1072BD"/>
            </w:tcBorders>
          </w:tcPr>
          <w:p w14:paraId="2DA9293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Diesel u otros</w:t>
            </w:r>
          </w:p>
        </w:tc>
      </w:tr>
      <w:tr w:rsidR="001F600C" w:rsidRPr="00285D58" w14:paraId="04846D8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30E7F86"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Cilindrada (cc)</w:t>
            </w:r>
          </w:p>
        </w:tc>
        <w:tc>
          <w:tcPr>
            <w:tcW w:w="4298" w:type="dxa"/>
            <w:tcBorders>
              <w:top w:val="nil"/>
              <w:left w:val="nil"/>
              <w:bottom w:val="single" w:sz="4" w:space="0" w:color="1072BD"/>
              <w:right w:val="single" w:sz="4" w:space="0" w:color="1072BD"/>
            </w:tcBorders>
          </w:tcPr>
          <w:p w14:paraId="6E3F1137"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3933</w:t>
            </w:r>
          </w:p>
        </w:tc>
      </w:tr>
      <w:tr w:rsidR="001F600C" w:rsidRPr="00285D58" w14:paraId="2F079596"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769D7E2"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Numero de Cilindros</w:t>
            </w:r>
          </w:p>
        </w:tc>
        <w:tc>
          <w:tcPr>
            <w:tcW w:w="4298" w:type="dxa"/>
            <w:tcBorders>
              <w:top w:val="nil"/>
              <w:left w:val="nil"/>
              <w:bottom w:val="single" w:sz="4" w:space="0" w:color="1072BD"/>
              <w:right w:val="single" w:sz="4" w:space="0" w:color="1072BD"/>
            </w:tcBorders>
          </w:tcPr>
          <w:p w14:paraId="628BFA2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4.00</w:t>
            </w:r>
          </w:p>
        </w:tc>
      </w:tr>
      <w:tr w:rsidR="001F600C" w:rsidRPr="00285D58" w14:paraId="4F927A70"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1026DEA"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Transmisión / N° de Velocidades</w:t>
            </w:r>
          </w:p>
        </w:tc>
        <w:tc>
          <w:tcPr>
            <w:tcW w:w="4298" w:type="dxa"/>
            <w:tcBorders>
              <w:top w:val="nil"/>
              <w:left w:val="nil"/>
              <w:bottom w:val="single" w:sz="4" w:space="0" w:color="1072BD"/>
              <w:right w:val="single" w:sz="4" w:space="0" w:color="1072BD"/>
            </w:tcBorders>
          </w:tcPr>
          <w:p w14:paraId="653F7C5A"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Mecánica / 5+1</w:t>
            </w:r>
          </w:p>
        </w:tc>
      </w:tr>
      <w:tr w:rsidR="001F600C" w:rsidRPr="00285D58" w14:paraId="000720F6" w14:textId="77777777" w:rsidTr="00242093">
        <w:trPr>
          <w:trHeight w:val="284"/>
        </w:trPr>
        <w:tc>
          <w:tcPr>
            <w:tcW w:w="4298" w:type="dxa"/>
            <w:tcBorders>
              <w:top w:val="nil"/>
              <w:left w:val="single" w:sz="4" w:space="0" w:color="1072BD"/>
              <w:bottom w:val="nil"/>
              <w:right w:val="single" w:sz="4" w:space="0" w:color="1072BD"/>
            </w:tcBorders>
          </w:tcPr>
          <w:p w14:paraId="416FEA3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Tracción posterior</w:t>
            </w:r>
          </w:p>
        </w:tc>
        <w:tc>
          <w:tcPr>
            <w:tcW w:w="4298" w:type="dxa"/>
            <w:tcBorders>
              <w:top w:val="nil"/>
              <w:left w:val="nil"/>
              <w:bottom w:val="nil"/>
              <w:right w:val="single" w:sz="4" w:space="0" w:color="1072BD"/>
            </w:tcBorders>
          </w:tcPr>
          <w:p w14:paraId="7D78028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4x2</w:t>
            </w:r>
          </w:p>
        </w:tc>
      </w:tr>
      <w:tr w:rsidR="001F600C" w:rsidRPr="00285D58" w14:paraId="0B7CE06D"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2C883E55"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lastRenderedPageBreak/>
              <w:t xml:space="preserve">Dimensiones  </w:t>
            </w:r>
          </w:p>
        </w:tc>
        <w:tc>
          <w:tcPr>
            <w:tcW w:w="4298" w:type="dxa"/>
            <w:tcBorders>
              <w:top w:val="nil"/>
              <w:left w:val="nil"/>
              <w:bottom w:val="single" w:sz="4" w:space="0" w:color="1072BD"/>
              <w:right w:val="single" w:sz="4" w:space="0" w:color="1072BD"/>
            </w:tcBorders>
            <w:shd w:val="clear" w:color="auto" w:fill="E7E6E6" w:themeFill="background2"/>
          </w:tcPr>
          <w:p w14:paraId="01CC08DE"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9B9F95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0BA7CC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Largo (mm)</w:t>
            </w:r>
          </w:p>
        </w:tc>
        <w:tc>
          <w:tcPr>
            <w:tcW w:w="4298" w:type="dxa"/>
            <w:tcBorders>
              <w:top w:val="nil"/>
              <w:left w:val="nil"/>
              <w:bottom w:val="single" w:sz="4" w:space="0" w:color="1072BD"/>
              <w:right w:val="single" w:sz="4" w:space="0" w:color="1072BD"/>
            </w:tcBorders>
          </w:tcPr>
          <w:p w14:paraId="1D51E48F"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7065</w:t>
            </w:r>
          </w:p>
        </w:tc>
      </w:tr>
      <w:tr w:rsidR="001F600C" w:rsidRPr="00285D58" w14:paraId="3EE37946"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E9EA18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Ancho (mm)</w:t>
            </w:r>
          </w:p>
        </w:tc>
        <w:tc>
          <w:tcPr>
            <w:tcW w:w="4298" w:type="dxa"/>
            <w:tcBorders>
              <w:top w:val="nil"/>
              <w:left w:val="nil"/>
              <w:bottom w:val="single" w:sz="4" w:space="0" w:color="1072BD"/>
              <w:right w:val="single" w:sz="4" w:space="0" w:color="1072BD"/>
            </w:tcBorders>
          </w:tcPr>
          <w:p w14:paraId="46A83AC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2035</w:t>
            </w:r>
          </w:p>
        </w:tc>
      </w:tr>
      <w:tr w:rsidR="001F600C" w:rsidRPr="00285D58" w14:paraId="743C97EB"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37B046E0"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Altura (mm)</w:t>
            </w:r>
          </w:p>
        </w:tc>
        <w:tc>
          <w:tcPr>
            <w:tcW w:w="4298" w:type="dxa"/>
            <w:tcBorders>
              <w:top w:val="nil"/>
              <w:left w:val="nil"/>
              <w:bottom w:val="single" w:sz="4" w:space="0" w:color="1072BD"/>
              <w:right w:val="single" w:sz="4" w:space="0" w:color="1072BD"/>
            </w:tcBorders>
          </w:tcPr>
          <w:p w14:paraId="009BCE0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2755</w:t>
            </w:r>
          </w:p>
        </w:tc>
      </w:tr>
      <w:tr w:rsidR="001F600C" w:rsidRPr="00285D58" w14:paraId="647317B4"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539D1259"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Carga Útil (kg)</w:t>
            </w:r>
          </w:p>
        </w:tc>
        <w:tc>
          <w:tcPr>
            <w:tcW w:w="4298" w:type="dxa"/>
            <w:tcBorders>
              <w:top w:val="nil"/>
              <w:left w:val="nil"/>
              <w:bottom w:val="single" w:sz="4" w:space="0" w:color="1072BD"/>
              <w:right w:val="single" w:sz="4" w:space="0" w:color="1072BD"/>
            </w:tcBorders>
          </w:tcPr>
          <w:p w14:paraId="4BD5CF00"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1885</w:t>
            </w:r>
          </w:p>
        </w:tc>
      </w:tr>
      <w:tr w:rsidR="001F600C" w:rsidRPr="00285D58" w14:paraId="35E2E134"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2E613307"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Pasajeros</w:t>
            </w:r>
          </w:p>
        </w:tc>
        <w:tc>
          <w:tcPr>
            <w:tcW w:w="4298" w:type="dxa"/>
            <w:tcBorders>
              <w:top w:val="nil"/>
              <w:left w:val="nil"/>
              <w:bottom w:val="single" w:sz="4" w:space="0" w:color="1072BD"/>
              <w:right w:val="single" w:sz="4" w:space="0" w:color="1072BD"/>
            </w:tcBorders>
          </w:tcPr>
          <w:p w14:paraId="61EF56D4"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25</w:t>
            </w:r>
          </w:p>
        </w:tc>
      </w:tr>
      <w:tr w:rsidR="001F600C" w:rsidRPr="00285D58" w14:paraId="2BF1CFA4"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5BE647BA"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Seguridad</w:t>
            </w:r>
          </w:p>
        </w:tc>
        <w:tc>
          <w:tcPr>
            <w:tcW w:w="4298" w:type="dxa"/>
            <w:tcBorders>
              <w:top w:val="nil"/>
              <w:left w:val="nil"/>
              <w:bottom w:val="single" w:sz="4" w:space="0" w:color="1072BD"/>
              <w:right w:val="single" w:sz="4" w:space="0" w:color="1072BD"/>
            </w:tcBorders>
            <w:shd w:val="clear" w:color="auto" w:fill="E7E6E6" w:themeFill="background2"/>
          </w:tcPr>
          <w:p w14:paraId="2C5AA17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66E71297"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76B785E4"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 de motor</w:t>
            </w:r>
          </w:p>
        </w:tc>
        <w:tc>
          <w:tcPr>
            <w:tcW w:w="4298" w:type="dxa"/>
            <w:tcBorders>
              <w:top w:val="nil"/>
              <w:left w:val="nil"/>
              <w:bottom w:val="single" w:sz="4" w:space="0" w:color="1072BD"/>
              <w:right w:val="single" w:sz="4" w:space="0" w:color="1072BD"/>
            </w:tcBorders>
          </w:tcPr>
          <w:p w14:paraId="79986852"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Con control electrónico y mando al vacío</w:t>
            </w:r>
          </w:p>
        </w:tc>
      </w:tr>
      <w:tr w:rsidR="001F600C" w:rsidRPr="00285D58" w14:paraId="23C1F113"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49C10DFC"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Frenos delanteros</w:t>
            </w:r>
          </w:p>
        </w:tc>
        <w:tc>
          <w:tcPr>
            <w:tcW w:w="4298" w:type="dxa"/>
            <w:tcBorders>
              <w:top w:val="nil"/>
              <w:left w:val="nil"/>
              <w:bottom w:val="single" w:sz="4" w:space="0" w:color="1072BD"/>
              <w:right w:val="single" w:sz="4" w:space="0" w:color="1072BD"/>
            </w:tcBorders>
          </w:tcPr>
          <w:p w14:paraId="0E42624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Tambor / Zapatas</w:t>
            </w:r>
          </w:p>
        </w:tc>
      </w:tr>
      <w:tr w:rsidR="001F600C" w:rsidRPr="00285D58" w14:paraId="59046E31"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24A3C38"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Frenos posteriores</w:t>
            </w:r>
          </w:p>
        </w:tc>
        <w:tc>
          <w:tcPr>
            <w:tcW w:w="4298" w:type="dxa"/>
            <w:tcBorders>
              <w:top w:val="nil"/>
              <w:left w:val="nil"/>
              <w:bottom w:val="single" w:sz="4" w:space="0" w:color="1072BD"/>
              <w:right w:val="single" w:sz="4" w:space="0" w:color="1072BD"/>
            </w:tcBorders>
          </w:tcPr>
          <w:p w14:paraId="54F513C6"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Tambor / Zapatas</w:t>
            </w:r>
          </w:p>
        </w:tc>
      </w:tr>
      <w:tr w:rsidR="001F600C" w:rsidRPr="00285D58" w14:paraId="2946374D"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1A0430C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Confort y Conveniencia </w:t>
            </w:r>
          </w:p>
        </w:tc>
        <w:tc>
          <w:tcPr>
            <w:tcW w:w="4298" w:type="dxa"/>
            <w:tcBorders>
              <w:top w:val="nil"/>
              <w:left w:val="nil"/>
              <w:bottom w:val="single" w:sz="4" w:space="0" w:color="1072BD"/>
              <w:right w:val="single" w:sz="4" w:space="0" w:color="1072BD"/>
            </w:tcBorders>
            <w:shd w:val="clear" w:color="auto" w:fill="E7E6E6" w:themeFill="background2"/>
          </w:tcPr>
          <w:p w14:paraId="2DD04079"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w:t>
            </w:r>
          </w:p>
        </w:tc>
      </w:tr>
      <w:tr w:rsidR="001F600C" w:rsidRPr="00285D58" w14:paraId="1684FA6C"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05C45A8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Aire Acondicionado</w:t>
            </w:r>
          </w:p>
        </w:tc>
        <w:tc>
          <w:tcPr>
            <w:tcW w:w="4298" w:type="dxa"/>
            <w:tcBorders>
              <w:top w:val="nil"/>
              <w:left w:val="nil"/>
              <w:bottom w:val="single" w:sz="4" w:space="0" w:color="1072BD"/>
              <w:right w:val="single" w:sz="4" w:space="0" w:color="1072BD"/>
            </w:tcBorders>
          </w:tcPr>
          <w:p w14:paraId="58D24A9B"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0C6395E7" w14:textId="77777777" w:rsidTr="00242093">
        <w:trPr>
          <w:trHeight w:val="244"/>
        </w:trPr>
        <w:tc>
          <w:tcPr>
            <w:tcW w:w="4298" w:type="dxa"/>
            <w:tcBorders>
              <w:top w:val="nil"/>
              <w:left w:val="single" w:sz="4" w:space="0" w:color="1072BD"/>
              <w:bottom w:val="single" w:sz="4" w:space="0" w:color="1072BD"/>
              <w:right w:val="single" w:sz="4" w:space="0" w:color="1072BD"/>
            </w:tcBorders>
            <w:shd w:val="clear" w:color="auto" w:fill="E7E6E6" w:themeFill="background2"/>
          </w:tcPr>
          <w:p w14:paraId="0687BA1C" w14:textId="77777777" w:rsidR="001F600C" w:rsidRPr="00285D58" w:rsidRDefault="001F600C" w:rsidP="008D1FFF">
            <w:pPr>
              <w:spacing w:line="276" w:lineRule="auto"/>
              <w:jc w:val="both"/>
              <w:rPr>
                <w:rFonts w:asciiTheme="minorHAnsi" w:eastAsia="Calibri" w:hAnsiTheme="minorHAnsi" w:cstheme="minorHAnsi"/>
                <w:b/>
                <w:bCs/>
              </w:rPr>
            </w:pPr>
            <w:r w:rsidRPr="00285D58">
              <w:rPr>
                <w:rFonts w:asciiTheme="minorHAnsi" w:eastAsia="Calibri" w:hAnsiTheme="minorHAnsi" w:cstheme="minorHAnsi"/>
                <w:b/>
                <w:bCs/>
              </w:rPr>
              <w:t xml:space="preserve">Equipamiento Adicional </w:t>
            </w:r>
          </w:p>
        </w:tc>
        <w:tc>
          <w:tcPr>
            <w:tcW w:w="4298" w:type="dxa"/>
            <w:tcBorders>
              <w:top w:val="nil"/>
              <w:left w:val="nil"/>
              <w:bottom w:val="single" w:sz="4" w:space="0" w:color="1072BD"/>
              <w:right w:val="single" w:sz="4" w:space="0" w:color="1072BD"/>
            </w:tcBorders>
            <w:shd w:val="clear" w:color="auto" w:fill="E7E6E6" w:themeFill="background2"/>
          </w:tcPr>
          <w:p w14:paraId="1FFB727B" w14:textId="77777777" w:rsidR="001F600C" w:rsidRPr="00285D58" w:rsidRDefault="001F600C" w:rsidP="008D1FFF">
            <w:pPr>
              <w:spacing w:line="276" w:lineRule="auto"/>
              <w:jc w:val="center"/>
              <w:rPr>
                <w:rFonts w:asciiTheme="minorHAnsi" w:eastAsia="Calibri" w:hAnsiTheme="minorHAnsi" w:cstheme="minorHAnsi"/>
                <w:b/>
                <w:bCs/>
              </w:rPr>
            </w:pPr>
          </w:p>
        </w:tc>
      </w:tr>
      <w:tr w:rsidR="001F600C" w:rsidRPr="00285D58" w14:paraId="782ABAC2"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637A81C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Número de Asientos</w:t>
            </w:r>
          </w:p>
        </w:tc>
        <w:tc>
          <w:tcPr>
            <w:tcW w:w="4298" w:type="dxa"/>
            <w:tcBorders>
              <w:top w:val="nil"/>
              <w:left w:val="nil"/>
              <w:bottom w:val="single" w:sz="4" w:space="0" w:color="1072BD"/>
              <w:right w:val="single" w:sz="4" w:space="0" w:color="1072BD"/>
            </w:tcBorders>
          </w:tcPr>
          <w:p w14:paraId="6DD0A3D9"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26</w:t>
            </w:r>
          </w:p>
        </w:tc>
      </w:tr>
      <w:tr w:rsidR="001F600C" w:rsidRPr="00285D58" w14:paraId="1DD34FFC"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A4B994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Tacógrafo Digital</w:t>
            </w:r>
          </w:p>
        </w:tc>
        <w:tc>
          <w:tcPr>
            <w:tcW w:w="4298" w:type="dxa"/>
            <w:tcBorders>
              <w:top w:val="nil"/>
              <w:left w:val="nil"/>
              <w:bottom w:val="single" w:sz="4" w:space="0" w:color="1072BD"/>
              <w:right w:val="single" w:sz="4" w:space="0" w:color="1072BD"/>
            </w:tcBorders>
          </w:tcPr>
          <w:p w14:paraId="61448C9D"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68804FAE"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4EB02E11"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Radio</w:t>
            </w:r>
          </w:p>
        </w:tc>
        <w:tc>
          <w:tcPr>
            <w:tcW w:w="4298" w:type="dxa"/>
            <w:tcBorders>
              <w:top w:val="nil"/>
              <w:left w:val="nil"/>
              <w:bottom w:val="single" w:sz="4" w:space="0" w:color="1072BD"/>
              <w:right w:val="single" w:sz="4" w:space="0" w:color="1072BD"/>
            </w:tcBorders>
          </w:tcPr>
          <w:p w14:paraId="57E432DE"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r w:rsidR="001F600C" w:rsidRPr="00285D58" w14:paraId="70F56181" w14:textId="77777777" w:rsidTr="00242093">
        <w:trPr>
          <w:trHeight w:val="284"/>
        </w:trPr>
        <w:tc>
          <w:tcPr>
            <w:tcW w:w="4298" w:type="dxa"/>
            <w:tcBorders>
              <w:top w:val="nil"/>
              <w:left w:val="single" w:sz="4" w:space="0" w:color="1072BD"/>
              <w:bottom w:val="single" w:sz="4" w:space="0" w:color="1072BD"/>
              <w:right w:val="single" w:sz="4" w:space="0" w:color="1072BD"/>
            </w:tcBorders>
          </w:tcPr>
          <w:p w14:paraId="1D7DA8AB" w14:textId="77777777" w:rsidR="001F600C" w:rsidRPr="00285D58" w:rsidRDefault="001F600C"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GPS</w:t>
            </w:r>
          </w:p>
        </w:tc>
        <w:tc>
          <w:tcPr>
            <w:tcW w:w="4298" w:type="dxa"/>
            <w:tcBorders>
              <w:top w:val="nil"/>
              <w:left w:val="nil"/>
              <w:bottom w:val="single" w:sz="4" w:space="0" w:color="1072BD"/>
              <w:right w:val="single" w:sz="4" w:space="0" w:color="1072BD"/>
            </w:tcBorders>
          </w:tcPr>
          <w:p w14:paraId="78BC7585" w14:textId="77777777" w:rsidR="001F600C" w:rsidRPr="00285D58" w:rsidRDefault="001F600C"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Si</w:t>
            </w:r>
          </w:p>
        </w:tc>
      </w:tr>
    </w:tbl>
    <w:p w14:paraId="10AA8B2D" w14:textId="77777777" w:rsidR="001F600C" w:rsidRPr="00285D58" w:rsidRDefault="001F600C" w:rsidP="008D1FFF">
      <w:pPr>
        <w:spacing w:line="276" w:lineRule="auto"/>
        <w:jc w:val="both"/>
        <w:rPr>
          <w:rFonts w:asciiTheme="minorHAnsi" w:eastAsia="Calibri" w:hAnsiTheme="minorHAnsi" w:cstheme="minorHAnsi"/>
        </w:rPr>
      </w:pPr>
    </w:p>
    <w:p w14:paraId="79A9F3D1" w14:textId="77777777" w:rsidR="001F600C" w:rsidRPr="00285D58" w:rsidRDefault="001F600C" w:rsidP="008D1FFF">
      <w:pPr>
        <w:spacing w:line="276" w:lineRule="auto"/>
        <w:jc w:val="both"/>
        <w:rPr>
          <w:rFonts w:asciiTheme="minorHAnsi" w:eastAsia="Calibri" w:hAnsiTheme="minorHAnsi" w:cstheme="minorHAnsi"/>
        </w:rPr>
      </w:pPr>
    </w:p>
    <w:p w14:paraId="07FB9B28" w14:textId="77777777" w:rsidR="001F600C" w:rsidRPr="00285D58" w:rsidRDefault="001F600C" w:rsidP="008D1FFF">
      <w:pPr>
        <w:spacing w:line="276" w:lineRule="auto"/>
        <w:jc w:val="both"/>
        <w:rPr>
          <w:rFonts w:asciiTheme="minorHAnsi" w:eastAsia="Calibri" w:hAnsiTheme="minorHAnsi" w:cstheme="minorHAnsi"/>
        </w:rPr>
      </w:pPr>
    </w:p>
    <w:p w14:paraId="5B2CCCED" w14:textId="77777777" w:rsidR="001F600C" w:rsidRPr="00285D58" w:rsidRDefault="001F600C"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00001849" w14:textId="6CC1A03A" w:rsidR="00F664DB" w:rsidRPr="00285D58" w:rsidRDefault="006049C1" w:rsidP="008D1FFF">
      <w:pPr>
        <w:pStyle w:val="Ttulo1"/>
        <w:spacing w:before="1" w:line="276" w:lineRule="auto"/>
        <w:jc w:val="both"/>
        <w:rPr>
          <w:rFonts w:asciiTheme="minorHAnsi" w:eastAsia="Calibri" w:hAnsiTheme="minorHAnsi" w:cstheme="minorHAnsi"/>
          <w:b/>
          <w:color w:val="1F4E79"/>
          <w:sz w:val="24"/>
          <w:szCs w:val="24"/>
          <w:u w:val="single"/>
        </w:rPr>
      </w:pPr>
      <w:bookmarkStart w:id="137" w:name="_Toc193979278"/>
      <w:r w:rsidRPr="00285D58">
        <w:rPr>
          <w:rFonts w:asciiTheme="minorHAnsi" w:eastAsia="Calibri" w:hAnsiTheme="minorHAnsi" w:cstheme="minorHAnsi"/>
          <w:b/>
          <w:color w:val="1F4E79"/>
          <w:sz w:val="24"/>
          <w:szCs w:val="24"/>
          <w:u w:val="single"/>
        </w:rPr>
        <w:lastRenderedPageBreak/>
        <w:t>ANEXO 08: ESPECIFICACIONES MÍNIMAS PARA LA ELABORACIÓN DEL ESTUDIO DEFINITIVO DE INGENIERÍA DE OBRAS</w:t>
      </w:r>
      <w:bookmarkEnd w:id="137"/>
      <w:r w:rsidRPr="00285D58">
        <w:rPr>
          <w:rFonts w:asciiTheme="minorHAnsi" w:eastAsia="Calibri" w:hAnsiTheme="minorHAnsi" w:cstheme="minorHAnsi"/>
          <w:b/>
          <w:color w:val="1F4E79"/>
          <w:sz w:val="24"/>
          <w:szCs w:val="24"/>
          <w:u w:val="single"/>
        </w:rPr>
        <w:t xml:space="preserve"> </w:t>
      </w:r>
    </w:p>
    <w:p w14:paraId="6E5C1CAE" w14:textId="77777777" w:rsidR="009807E0" w:rsidRPr="00285D58" w:rsidRDefault="009807E0" w:rsidP="008D1FFF">
      <w:pPr>
        <w:spacing w:line="276" w:lineRule="auto"/>
        <w:jc w:val="both"/>
        <w:rPr>
          <w:rFonts w:asciiTheme="minorHAnsi" w:hAnsiTheme="minorHAnsi" w:cstheme="minorHAnsi"/>
        </w:rPr>
      </w:pPr>
    </w:p>
    <w:p w14:paraId="0000184A" w14:textId="7841C305"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38" w:name="_heading=h.44sinio" w:colFirst="0" w:colLast="0"/>
      <w:bookmarkStart w:id="139" w:name="_Toc193979279"/>
      <w:bookmarkEnd w:id="138"/>
      <w:r w:rsidRPr="00285D58">
        <w:rPr>
          <w:rFonts w:asciiTheme="minorHAnsi" w:eastAsia="Calibri" w:hAnsiTheme="minorHAnsi" w:cstheme="minorHAnsi"/>
          <w:b/>
          <w:color w:val="1F4E79"/>
          <w:sz w:val="22"/>
          <w:szCs w:val="22"/>
        </w:rPr>
        <w:t>ANEXO 08 - APÉNDICE 1 – ESPECIFICACIONES PARA EL DESARROLLO DEL ESTUDIO DEFINITIVO DE INGENIERÍA DE LOS TELEFÉRICOS Y ESTACIONES DEL TELEFERICO</w:t>
      </w:r>
      <w:bookmarkEnd w:id="139"/>
    </w:p>
    <w:p w14:paraId="0000184B"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0" w:name="_heading=h.36os34g" w:colFirst="0" w:colLast="0"/>
      <w:bookmarkEnd w:id="140"/>
      <w:r w:rsidRPr="00285D58">
        <w:rPr>
          <w:rFonts w:asciiTheme="minorHAnsi" w:eastAsia="Calibri" w:hAnsiTheme="minorHAnsi" w:cstheme="minorHAnsi"/>
          <w:b/>
        </w:rPr>
        <w:t xml:space="preserve">OBJETO </w:t>
      </w:r>
    </w:p>
    <w:p w14:paraId="0000184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así como los documentos que lo integran. </w:t>
      </w:r>
    </w:p>
    <w:p w14:paraId="0000184D"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1" w:name="_heading=h.1lu2dc9" w:colFirst="0" w:colLast="0"/>
      <w:bookmarkEnd w:id="141"/>
      <w:r w:rsidRPr="00285D58">
        <w:rPr>
          <w:rFonts w:asciiTheme="minorHAnsi" w:eastAsia="Calibri" w:hAnsiTheme="minorHAnsi" w:cstheme="minorHAnsi"/>
          <w:b/>
        </w:rPr>
        <w:t xml:space="preserve">NORMATIVA </w:t>
      </w:r>
    </w:p>
    <w:p w14:paraId="0000184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del EDI de Obras deberá realizarse de acuerdo con las Leyes y Disposiciones Aplicables, considerando las normas técnicas respectivas, así como sus modificaciones y actualizaciones. En caso de contradicción o ambigüedad entre la normativa nacional y la norma internacional, prima la norma nacional.</w:t>
      </w:r>
    </w:p>
    <w:p w14:paraId="000018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850" w14:textId="77777777" w:rsidR="00F664DB" w:rsidRPr="00285D58" w:rsidRDefault="00F664DB" w:rsidP="008D1FFF">
      <w:pPr>
        <w:spacing w:line="276" w:lineRule="auto"/>
        <w:jc w:val="both"/>
        <w:rPr>
          <w:rFonts w:asciiTheme="minorHAnsi" w:eastAsia="Calibri" w:hAnsiTheme="minorHAnsi" w:cstheme="minorHAnsi"/>
        </w:rPr>
      </w:pPr>
    </w:p>
    <w:p w14:paraId="0000185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852" w14:textId="77777777" w:rsidR="00F664DB" w:rsidRPr="00285D58" w:rsidRDefault="00F664DB" w:rsidP="008D1FFF">
      <w:pPr>
        <w:spacing w:line="276" w:lineRule="auto"/>
        <w:jc w:val="both"/>
        <w:rPr>
          <w:rFonts w:asciiTheme="minorHAnsi" w:eastAsia="Calibri" w:hAnsiTheme="minorHAnsi" w:cstheme="minorHAnsi"/>
          <w:b/>
        </w:rPr>
      </w:pPr>
    </w:p>
    <w:p w14:paraId="00001853" w14:textId="77777777" w:rsidR="00F664DB" w:rsidRPr="00285D58" w:rsidRDefault="006049C1" w:rsidP="008D1FFF">
      <w:pPr>
        <w:spacing w:line="276" w:lineRule="auto"/>
        <w:ind w:left="993" w:hanging="426"/>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854"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855"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856"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Habilitaciones Urbanas y Edificaciones, aprobada por la Ley Nro. 29090, y su Reglamento, aprobado por Decreto Supremo Nro. 029-2019-VIVIENDA </w:t>
      </w:r>
    </w:p>
    <w:p w14:paraId="00001857"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858"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859"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85A"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Valores Máximos Admisibles para las Descargas Residuales no Domésticas en el sistema de alcantarillado sanitario, aprobado por Decreto Supremo Nro. 010-2019-VIVIENDA. </w:t>
      </w:r>
    </w:p>
    <w:p w14:paraId="0000185B"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Técnico de Construcción Sostenible, aprobado por Decreto Supremo Nro. 014 2021-VIVIENDA. </w:t>
      </w:r>
    </w:p>
    <w:p w14:paraId="0000185C"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85D"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“Especificaciones Técnicas para Levantamientos Geodésicos Verticales”, aprobada por Resolución Jefatural Nro. 057-2016/IGN/UCNN. </w:t>
      </w:r>
    </w:p>
    <w:p w14:paraId="0000185E" w14:textId="77777777" w:rsidR="00F664DB" w:rsidRPr="00285D58" w:rsidRDefault="006049C1" w:rsidP="00A3732C">
      <w:pPr>
        <w:pStyle w:val="Prrafodelista"/>
        <w:widowControl/>
        <w:numPr>
          <w:ilvl w:val="0"/>
          <w:numId w:val="217"/>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relativos a los procedimientos de licencias de habilitación urbana y licencias de edificación, aprobado por Resolución Ministerial No. 326-2015-VIVIENDA. </w:t>
      </w:r>
    </w:p>
    <w:p w14:paraId="0000185F" w14:textId="77777777" w:rsidR="00F664DB" w:rsidRPr="00285D58" w:rsidRDefault="00F664DB" w:rsidP="008D1FFF">
      <w:pPr>
        <w:spacing w:line="276" w:lineRule="auto"/>
        <w:jc w:val="both"/>
        <w:rPr>
          <w:rFonts w:asciiTheme="minorHAnsi" w:eastAsia="Calibri" w:hAnsiTheme="minorHAnsi" w:cstheme="minorHAnsi"/>
        </w:rPr>
      </w:pPr>
    </w:p>
    <w:p w14:paraId="0000186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861" w14:textId="77777777" w:rsidR="00F664DB" w:rsidRPr="00285D58" w:rsidRDefault="006049C1" w:rsidP="00A3732C">
      <w:pPr>
        <w:pStyle w:val="Prrafodelista"/>
        <w:widowControl/>
        <w:numPr>
          <w:ilvl w:val="0"/>
          <w:numId w:val="216"/>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Edificaciones, aprobado por Decreto Supremo Nro. 011-2006 VIVIENDA, en lo que corresponda. </w:t>
      </w:r>
    </w:p>
    <w:p w14:paraId="00001862" w14:textId="77777777" w:rsidR="00F664DB" w:rsidRPr="00285D58" w:rsidRDefault="006049C1" w:rsidP="00A3732C">
      <w:pPr>
        <w:pStyle w:val="Prrafodelista"/>
        <w:widowControl/>
        <w:numPr>
          <w:ilvl w:val="0"/>
          <w:numId w:val="216"/>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Resolución Ministerial No. 305-2017- VIVIENDA, mediante la cual se aprueban los Formatos y Formularios relativos a los procedimientos de licencias de habilitación urbana y licencias de edificación bajo el marco de la Ley N° 29090, Ley de Regulación de Habilitaciones Urbanas y de Edificaciones. </w:t>
      </w:r>
    </w:p>
    <w:p w14:paraId="00001863" w14:textId="77777777" w:rsidR="00F664DB" w:rsidRPr="00285D58" w:rsidRDefault="00F664DB" w:rsidP="008D1FFF">
      <w:pPr>
        <w:spacing w:line="276" w:lineRule="auto"/>
        <w:jc w:val="both"/>
        <w:rPr>
          <w:rFonts w:asciiTheme="minorHAnsi" w:eastAsia="Calibri" w:hAnsiTheme="minorHAnsi" w:cstheme="minorHAnsi"/>
        </w:rPr>
      </w:pPr>
    </w:p>
    <w:p w14:paraId="000018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865" w14:textId="77777777" w:rsidR="00F664DB" w:rsidRPr="00285D58" w:rsidRDefault="00F664DB" w:rsidP="008D1FFF">
      <w:pPr>
        <w:spacing w:line="276" w:lineRule="auto"/>
        <w:jc w:val="both"/>
        <w:rPr>
          <w:rFonts w:asciiTheme="minorHAnsi" w:eastAsia="Calibri" w:hAnsiTheme="minorHAnsi" w:cstheme="minorHAnsi"/>
          <w:b/>
        </w:rPr>
      </w:pPr>
    </w:p>
    <w:p w14:paraId="0000186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2.1.3.1. Sistema de Seguridad</w:t>
      </w:r>
    </w:p>
    <w:p w14:paraId="00001867"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868"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NTP-ISO/IEC 27001:2008, Técnicas de Seguridad. Sistemas de gestión de seguridad de la Información.</w:t>
      </w:r>
    </w:p>
    <w:p w14:paraId="00001869"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399.010-1 – Señales de Seguridad </w:t>
      </w:r>
    </w:p>
    <w:p w14:paraId="0000186A"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NTP-350.043-1 Extintores portátiles. Selección, Distribución, Inspección, Mantenimiento, Recarga y Pruebas Hidrostáticas. </w:t>
      </w:r>
    </w:p>
    <w:p w14:paraId="0000186B"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399.009- Colores Patrones utilizados en Señales y Colores de Seguridad. </w:t>
      </w:r>
    </w:p>
    <w:p w14:paraId="0000186C"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399.010-2016- Señales de seguridad. </w:t>
      </w:r>
    </w:p>
    <w:p w14:paraId="0000186D"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NTP-833.030- Rotulado de Extintores. </w:t>
      </w:r>
    </w:p>
    <w:p w14:paraId="0000186E" w14:textId="2FDC5B21"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DS.042-F Reglamento de Seguridad Industrial</w:t>
      </w:r>
      <w:r w:rsidR="00304EC7" w:rsidRPr="00285D58">
        <w:rPr>
          <w:rFonts w:asciiTheme="minorHAnsi" w:eastAsia="Calibri" w:hAnsiTheme="minorHAnsi" w:cstheme="minorHAnsi"/>
          <w:color w:val="000000"/>
        </w:rPr>
        <w:t>.</w:t>
      </w:r>
      <w:r w:rsidRPr="00285D58">
        <w:rPr>
          <w:rFonts w:asciiTheme="minorHAnsi" w:eastAsia="Calibri" w:hAnsiTheme="minorHAnsi" w:cstheme="minorHAnsi"/>
          <w:color w:val="000000"/>
        </w:rPr>
        <w:t xml:space="preserve"> </w:t>
      </w:r>
    </w:p>
    <w:p w14:paraId="0000186F" w14:textId="33A0D7C2" w:rsidR="00F664DB" w:rsidRPr="00BB5F42"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NFPA 72: Código Nacional de Alarmas de incendios</w:t>
      </w:r>
      <w:r w:rsidR="00304EC7" w:rsidRPr="00BB5F42">
        <w:rPr>
          <w:rFonts w:asciiTheme="minorHAnsi" w:eastAsia="Calibri" w:hAnsiTheme="minorHAnsi" w:cstheme="minorHAnsi"/>
          <w:color w:val="000000"/>
          <w:lang w:val="pt-BR"/>
        </w:rPr>
        <w:t>.</w:t>
      </w:r>
    </w:p>
    <w:p w14:paraId="00001870" w14:textId="77777777" w:rsidR="00F664DB" w:rsidRPr="00285D58" w:rsidRDefault="006049C1" w:rsidP="00A3732C">
      <w:pPr>
        <w:widowControl/>
        <w:numPr>
          <w:ilvl w:val="0"/>
          <w:numId w:val="1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NFPA101: Life Safety Code. </w:t>
      </w:r>
    </w:p>
    <w:p w14:paraId="00001871" w14:textId="77777777" w:rsidR="00F664DB" w:rsidRPr="00285D58" w:rsidRDefault="00F664DB" w:rsidP="008D1FFF">
      <w:pPr>
        <w:spacing w:line="276" w:lineRule="auto"/>
        <w:jc w:val="both"/>
        <w:rPr>
          <w:rFonts w:asciiTheme="minorHAnsi" w:eastAsia="Calibri" w:hAnsiTheme="minorHAnsi" w:cstheme="minorHAnsi"/>
        </w:rPr>
      </w:pPr>
    </w:p>
    <w:p w14:paraId="0000187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873"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874"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875"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876"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877"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E.070 - Albañilería, del Reglamento Nacional de Edificaciones, aprobado por Decreto Supremo Nro. 011-2006-VIVIENDA. </w:t>
      </w:r>
    </w:p>
    <w:p w14:paraId="00001878" w14:textId="77777777" w:rsidR="00F664DB" w:rsidRPr="00285D58" w:rsidRDefault="006049C1" w:rsidP="00A3732C">
      <w:pPr>
        <w:widowControl/>
        <w:numPr>
          <w:ilvl w:val="0"/>
          <w:numId w:val="1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E.090 -Estructuras Metálicas, del Reglamento Nacional de Edificaciones, aprobado por Decreto Supremo Nro. 011-2006-VIVIENDA. </w:t>
      </w:r>
    </w:p>
    <w:p w14:paraId="00001879" w14:textId="77777777" w:rsidR="00F664DB" w:rsidRPr="00285D58" w:rsidRDefault="00F664DB" w:rsidP="008D1FFF">
      <w:pPr>
        <w:spacing w:line="276" w:lineRule="auto"/>
        <w:jc w:val="both"/>
        <w:rPr>
          <w:rFonts w:asciiTheme="minorHAnsi" w:eastAsia="Calibri" w:hAnsiTheme="minorHAnsi" w:cstheme="minorHAnsi"/>
        </w:rPr>
      </w:pPr>
    </w:p>
    <w:p w14:paraId="0000187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Mecánicas </w:t>
      </w:r>
    </w:p>
    <w:p w14:paraId="0000187B" w14:textId="136FC3A6"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de Edificación E.M. 040 - Instalaciones de Gas, del Reglamento Nacional de Edificaciones, aprobado por Decreto Supremo Nro. 011-2006-VIVIENDA</w:t>
      </w:r>
      <w:r w:rsidR="00304EC7" w:rsidRPr="00285D58">
        <w:rPr>
          <w:rFonts w:asciiTheme="minorHAnsi" w:eastAsia="Calibri" w:hAnsiTheme="minorHAnsi" w:cstheme="minorHAnsi"/>
          <w:color w:val="000000"/>
        </w:rPr>
        <w:t>.</w:t>
      </w:r>
    </w:p>
    <w:p w14:paraId="0000187C" w14:textId="5225E09D"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E.M. 030 - Instalaciones de ventilación, del Reglamento Nacional de Edificaciones, aprobado por Decreto Supremo Nro. 011-2006-VIVIENDA</w:t>
      </w:r>
      <w:r w:rsidR="00304EC7" w:rsidRPr="00285D58">
        <w:rPr>
          <w:rFonts w:asciiTheme="minorHAnsi" w:eastAsia="Calibri" w:hAnsiTheme="minorHAnsi" w:cstheme="minorHAnsi"/>
          <w:color w:val="000000"/>
        </w:rPr>
        <w:t>.</w:t>
      </w:r>
    </w:p>
    <w:p w14:paraId="0000187D" w14:textId="77777777" w:rsidR="00F664DB" w:rsidRPr="00285D58" w:rsidRDefault="006049C1" w:rsidP="00A3732C">
      <w:pPr>
        <w:widowControl/>
        <w:numPr>
          <w:ilvl w:val="0"/>
          <w:numId w:val="18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070 - Transporte Mecánico, del Reglamento Nacional de Edificaciones, aprobado por Decreto Supremo Nro. 011-2006-VIVIENDA. </w:t>
      </w:r>
    </w:p>
    <w:p w14:paraId="0000187E" w14:textId="77777777" w:rsidR="00F664DB" w:rsidRPr="00285D58" w:rsidRDefault="00F664DB" w:rsidP="008D1FFF">
      <w:pPr>
        <w:spacing w:line="276" w:lineRule="auto"/>
        <w:jc w:val="both"/>
        <w:rPr>
          <w:rFonts w:asciiTheme="minorHAnsi" w:eastAsia="Calibri" w:hAnsiTheme="minorHAnsi" w:cstheme="minorHAnsi"/>
        </w:rPr>
      </w:pPr>
    </w:p>
    <w:p w14:paraId="0000187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Telecomunicaciones </w:t>
      </w:r>
    </w:p>
    <w:p w14:paraId="00001880"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EM.020 - Instalaciones de Comunicaciones, del Reglamento Nacional de Edificaciones, aprobado por Decreto Supremo Nro. 011-2006-VIVIENDA. </w:t>
      </w:r>
    </w:p>
    <w:p w14:paraId="00001881"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882" w14:textId="77777777" w:rsidR="00F664DB" w:rsidRPr="00285D58" w:rsidRDefault="006049C1" w:rsidP="00A3732C">
      <w:pPr>
        <w:pStyle w:val="Prrafodelista"/>
        <w:widowControl/>
        <w:numPr>
          <w:ilvl w:val="0"/>
          <w:numId w:val="218"/>
        </w:numPr>
        <w:pBdr>
          <w:top w:val="nil"/>
          <w:left w:val="nil"/>
          <w:bottom w:val="nil"/>
          <w:right w:val="nil"/>
          <w:between w:val="nil"/>
        </w:pBdr>
        <w:spacing w:line="276" w:lineRule="auto"/>
        <w:ind w:left="993" w:hanging="42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27001:2014, Técnicas de Seguridad. Sistemas de gestión de seguridad de la Información. </w:t>
      </w:r>
    </w:p>
    <w:p w14:paraId="00001883" w14:textId="77777777" w:rsidR="00F664DB" w:rsidRPr="00285D58" w:rsidRDefault="00F664DB" w:rsidP="008D1FFF">
      <w:pPr>
        <w:spacing w:line="276" w:lineRule="auto"/>
        <w:jc w:val="both"/>
        <w:rPr>
          <w:rFonts w:asciiTheme="minorHAnsi" w:eastAsia="Calibri" w:hAnsiTheme="minorHAnsi" w:cstheme="minorHAnsi"/>
        </w:rPr>
      </w:pPr>
    </w:p>
    <w:p w14:paraId="0000188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Otros para cableado estructurado: </w:t>
      </w:r>
    </w:p>
    <w:p w14:paraId="00001885" w14:textId="6BFB069C"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(Utilización), aprobado mediante Resolución Ministerial N° 175-2008 MEM/DM, del 11.04.08</w:t>
      </w:r>
    </w:p>
    <w:p w14:paraId="00001886" w14:textId="77AA760A"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(Suministro), aprobado mediante Resolución Ministerial Nº 214-2011- MEM-DM</w:t>
      </w:r>
    </w:p>
    <w:p w14:paraId="00001887"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IEC 60364, sobre los esquemas de conexión a tierra (ECT) </w:t>
      </w:r>
    </w:p>
    <w:p w14:paraId="00001888"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prescripciones del Estándar IEEE STD 142 – 1991 Tierra única </w:t>
      </w:r>
    </w:p>
    <w:p w14:paraId="00001889"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ANSI/TIA – 942 </w:t>
      </w:r>
    </w:p>
    <w:p w14:paraId="0000188A"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- 568B </w:t>
      </w:r>
    </w:p>
    <w:p w14:paraId="0000188B"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568B.1 </w:t>
      </w:r>
    </w:p>
    <w:p w14:paraId="0000188C"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568B.2 </w:t>
      </w:r>
    </w:p>
    <w:p w14:paraId="0000188D"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Norma Técnica EIA/TIA 568B.3</w:t>
      </w:r>
    </w:p>
    <w:p w14:paraId="0000188E"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569-A </w:t>
      </w:r>
    </w:p>
    <w:p w14:paraId="0000188F" w14:textId="77777777" w:rsidR="00F664DB" w:rsidRPr="00BB5F42"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569-B </w:t>
      </w:r>
    </w:p>
    <w:p w14:paraId="00001890"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J-STD-607 A: Requerimiento para instalaciones de sistemas de puesta a tierra de telecomunicaciones y edificios comerciales.</w:t>
      </w:r>
    </w:p>
    <w:p w14:paraId="00001891"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75 </w:t>
      </w:r>
    </w:p>
    <w:p w14:paraId="00001892"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2001 </w:t>
      </w:r>
    </w:p>
    <w:p w14:paraId="00001893"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72 </w:t>
      </w:r>
    </w:p>
    <w:p w14:paraId="00001894"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Norma NFPA 70, Artículo 250 </w:t>
      </w:r>
    </w:p>
    <w:p w14:paraId="00001895" w14:textId="77777777" w:rsidR="00F664DB" w:rsidRPr="00285D58" w:rsidRDefault="006049C1" w:rsidP="00A3732C">
      <w:pPr>
        <w:widowControl/>
        <w:numPr>
          <w:ilvl w:val="0"/>
          <w:numId w:val="18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Norma NFPA 101: Código de seguridad humana.</w:t>
      </w:r>
    </w:p>
    <w:p w14:paraId="00001896"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8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2.1.3.6. Eléctricas </w:t>
      </w:r>
    </w:p>
    <w:p w14:paraId="00001898" w14:textId="759DEB4C"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Código Nacional de Electricidad (Suministro), aprobado por Resolución Ministerial N° 214–2011–MEM/DM Código Nacional de Electricidad (Utilización), aprobado mediante Resolución Ministerial N° 175-2008 MEM/DM, del 11.04.08</w:t>
      </w:r>
    </w:p>
    <w:p w14:paraId="00001899" w14:textId="77777777"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EM.110 Confort Térmico y Lumínico con Eficiencia Energética del Reglamento Nacional de Edificaciones, aprobado por Decreto Supremo Nro. 011-2006-VIVIENDA </w:t>
      </w:r>
    </w:p>
    <w:p w14:paraId="0000189A" w14:textId="5533C2F3"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EM.080 - Instalaciones de Energía Sola, del Reglamento Nacional de Edificaciones, aprobado por Decreto Supremo Nro. 011-2006-VIVIENDA</w:t>
      </w:r>
    </w:p>
    <w:p w14:paraId="0000189B" w14:textId="24FDC14E"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EM.010. instalaciones Eléctricas Interiores, del Reglamento Nacional de Edificaciones, aprobado por Decreto Supremo Nro. 011-2006-VIVIENDA</w:t>
      </w:r>
    </w:p>
    <w:p w14:paraId="0000189C" w14:textId="78A6615A"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de procedimientos para la elaboración de proyectos y ejecución de obras en sistemas de utilización en media tensión en zonas de concesión de distribución, aprobado por Resolución Ministerial N°RD-018-2002–EM/DGE</w:t>
      </w:r>
    </w:p>
    <w:p w14:paraId="0000189D" w14:textId="52E84D8B"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NTP-IEC 62305 (Tomo 2 “Evaluación del Riesgo” y Tomo 3 “Protección contra el rayo: Daño Físico a estructuras y riesgo humano)</w:t>
      </w:r>
    </w:p>
    <w:p w14:paraId="0000189E" w14:textId="0327F741"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 370.101-2 - Etiquetado de eficiencia energética para lámparas fluorescentes compactas, circulares, lineales y similares de uso doméstico</w:t>
      </w:r>
    </w:p>
    <w:p w14:paraId="0000189F" w14:textId="0A85ADDF"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370.053 SEGURIDAD ELÉCTRICA. Elección de los materiales eléctricos en las instalaciones interiores para puesta a tierra. Conductores de protección de cobre</w:t>
      </w:r>
    </w:p>
    <w:p w14:paraId="000018A0" w14:textId="5A7B02A6"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370.252 CONDUCTORES ELÉCTRICOS. Cables aislados con compuesto termoplástico y termoestable para tensiones hasta e inclusive 450/750 V</w:t>
      </w:r>
    </w:p>
    <w:p w14:paraId="000018A1" w14:textId="6D2EE18E"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370 264-7-2013 CONDUCTORES ELÉCTRICOS. Materiales| de aislamiento, cubierta y recubrimiento para cables eléctricos de energía de baja tensión. Parte 7: Compuestos termoplásticos libres de halógenos para aislamiento</w:t>
      </w:r>
    </w:p>
    <w:p w14:paraId="000018A2" w14:textId="77777777"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62612 Lámparas de LED con balasto propio para servicios de iluminación general con tensión de alimentación &gt; 50 V </w:t>
      </w:r>
    </w:p>
    <w:p w14:paraId="000018A3" w14:textId="40CCD9DF" w:rsidR="00F664DB" w:rsidRPr="00285D58" w:rsidRDefault="006049C1" w:rsidP="00A3732C">
      <w:pPr>
        <w:widowControl/>
        <w:numPr>
          <w:ilvl w:val="0"/>
          <w:numId w:val="2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60898-1:2004 Interruptores automáticos para protección contra sobrecorrientes en instalaciones domésticas y similares</w:t>
      </w:r>
    </w:p>
    <w:p w14:paraId="000018A4" w14:textId="77777777" w:rsidR="00F664DB" w:rsidRPr="00285D58" w:rsidRDefault="00F664DB" w:rsidP="008D1FFF">
      <w:pPr>
        <w:spacing w:line="276" w:lineRule="auto"/>
        <w:jc w:val="both"/>
        <w:rPr>
          <w:rFonts w:asciiTheme="minorHAnsi" w:eastAsia="Calibri" w:hAnsiTheme="minorHAnsi" w:cstheme="minorHAnsi"/>
        </w:rPr>
      </w:pPr>
    </w:p>
    <w:p w14:paraId="000018A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2.1.3.7. Sanitarias </w:t>
      </w:r>
    </w:p>
    <w:p w14:paraId="000018A6" w14:textId="6F7192C9"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Directiva Sanitaria</w:t>
      </w:r>
      <w:r w:rsidR="00304EC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N° 033-MINSA/DIGESA – V.01, Directiva Sanitaria para la Determinación del Índice de Calificación Sanitaria de las Piscinas Públicas y Privadas de Uso Colectivo, aprobado por Resolución Ministerial Nro. 484-2010/MINSA</w:t>
      </w:r>
    </w:p>
    <w:p w14:paraId="000018A7" w14:textId="13EF4604"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la Calidad del Agua para Consumo Humano, aprobado mediante Decreto Supremo </w:t>
      </w:r>
      <w:r w:rsidR="00304EC7" w:rsidRPr="00285D58">
        <w:rPr>
          <w:rFonts w:asciiTheme="minorHAnsi" w:eastAsia="Calibri" w:hAnsiTheme="minorHAnsi" w:cstheme="minorHAnsi"/>
          <w:color w:val="000000"/>
        </w:rPr>
        <w:t xml:space="preserve">N° </w:t>
      </w:r>
      <w:r w:rsidRPr="00285D58">
        <w:rPr>
          <w:rFonts w:asciiTheme="minorHAnsi" w:eastAsia="Calibri" w:hAnsiTheme="minorHAnsi" w:cstheme="minorHAnsi"/>
          <w:color w:val="000000"/>
        </w:rPr>
        <w:t>031-2010-SA</w:t>
      </w:r>
    </w:p>
    <w:p w14:paraId="000018A8" w14:textId="032F2978"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IS.O1O - Instalaciones Sanitarias para Edificaciones, del Reglamento Nacional de Edificaciones, aprobado por Decreto Supremo Nro. 011-2006-VIVIENDA</w:t>
      </w:r>
    </w:p>
    <w:p w14:paraId="000018A9" w14:textId="6947E18F"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OS.030 - Almacenamiento de agua para consumo humano, del Reglamento Nacional de Edificaciones, aprobado por Decreto Supremo Nro. 011-2006-VIVIENDA</w:t>
      </w:r>
    </w:p>
    <w:p w14:paraId="000018AA" w14:textId="77777777"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OS.050 - Redes de distribución de agua para consumo humano </w:t>
      </w:r>
    </w:p>
    <w:p w14:paraId="000018AB" w14:textId="77777777" w:rsidR="00F664DB" w:rsidRPr="00BB5F42"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OS0.70 - Redes de aguas residuales </w:t>
      </w:r>
    </w:p>
    <w:p w14:paraId="000018AC" w14:textId="77777777" w:rsidR="00F664DB" w:rsidRPr="00285D58" w:rsidRDefault="006049C1" w:rsidP="00A3732C">
      <w:pPr>
        <w:widowControl/>
        <w:numPr>
          <w:ilvl w:val="0"/>
          <w:numId w:val="2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OS.100 - Consideraciones básicas de diseño de infraestructura sanitaria </w:t>
      </w:r>
    </w:p>
    <w:p w14:paraId="000018AD" w14:textId="77777777" w:rsidR="00F664DB" w:rsidRPr="00285D58" w:rsidRDefault="00F664DB" w:rsidP="008D1FFF">
      <w:pPr>
        <w:spacing w:line="276" w:lineRule="auto"/>
        <w:jc w:val="both"/>
        <w:rPr>
          <w:rFonts w:asciiTheme="minorHAnsi" w:eastAsia="Calibri" w:hAnsiTheme="minorHAnsi" w:cstheme="minorHAnsi"/>
        </w:rPr>
      </w:pPr>
    </w:p>
    <w:p w14:paraId="000018AE" w14:textId="77777777" w:rsidR="00F664DB" w:rsidRPr="00285D58" w:rsidRDefault="00F664DB" w:rsidP="008D1FFF">
      <w:pPr>
        <w:spacing w:line="276" w:lineRule="auto"/>
        <w:jc w:val="both"/>
        <w:rPr>
          <w:rFonts w:asciiTheme="minorHAnsi" w:eastAsia="Calibri" w:hAnsiTheme="minorHAnsi" w:cstheme="minorHAnsi"/>
        </w:rPr>
      </w:pPr>
    </w:p>
    <w:p w14:paraId="000018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2.1.3.8. Accesibilidad</w:t>
      </w:r>
    </w:p>
    <w:p w14:paraId="000018B0" w14:textId="267A8B07" w:rsidR="00F664DB" w:rsidRPr="00285D58" w:rsidRDefault="006049C1" w:rsidP="00A3732C">
      <w:pPr>
        <w:widowControl/>
        <w:numPr>
          <w:ilvl w:val="0"/>
          <w:numId w:val="1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A.120 - Accesibilidad universal en edificaciones, del Reglamento Nacional de Edificaciones, aprobado por Decreto Supremo Nro. 011-2006-VIVIENDA</w:t>
      </w:r>
    </w:p>
    <w:p w14:paraId="000018B1" w14:textId="5E14AC78" w:rsidR="00F664DB" w:rsidRPr="00285D58" w:rsidRDefault="006049C1" w:rsidP="00A3732C">
      <w:pPr>
        <w:widowControl/>
        <w:numPr>
          <w:ilvl w:val="0"/>
          <w:numId w:val="1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 NTP 873.001 - 2018, Señalización para accesibilidad universal en edificaciones. Señalización braille, piso táctil o podotáctil y planos hápticos</w:t>
      </w:r>
    </w:p>
    <w:p w14:paraId="000018B2" w14:textId="77777777" w:rsidR="00F664DB" w:rsidRPr="00285D58" w:rsidRDefault="00F664DB" w:rsidP="008D1FFF">
      <w:pPr>
        <w:spacing w:line="276" w:lineRule="auto"/>
        <w:jc w:val="both"/>
        <w:rPr>
          <w:rFonts w:asciiTheme="minorHAnsi" w:eastAsia="Calibri" w:hAnsiTheme="minorHAnsi" w:cstheme="minorHAnsi"/>
        </w:rPr>
      </w:pPr>
    </w:p>
    <w:p w14:paraId="000018B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2.1.3.9. Ecoeficiencia </w:t>
      </w:r>
    </w:p>
    <w:p w14:paraId="000018B4"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Promoción del Uso Eficiente de la Energía, aprobada por Ley Nro. 27345, </w:t>
      </w:r>
    </w:p>
    <w:p w14:paraId="000018B5"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Ley de Promoción del Uso Eficiente de la Energía, aprobado por Decreto Supremo Nro. 053-2007-EM </w:t>
      </w:r>
    </w:p>
    <w:p w14:paraId="000018B6"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Gestión Integral de Residuos Sólidos, aprobado por Decreto Legislativo Nro. 1278. </w:t>
      </w:r>
    </w:p>
    <w:p w14:paraId="000018B7"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del Decreto Legislativo Nro. 1278, aprobado por Decreto Supremo Nro. 014-2017-MINAM</w:t>
      </w:r>
    </w:p>
    <w:p w14:paraId="000018B8"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Técnico de Construcción Sostenible, aprobado por Decreto Supremo Nro. 014 2021-VIVIENDA, que aprueba el que aprueba el Código Técnico de Construcción Sostenible y establece que las entidades del sector público deben considerar criterios de eficiencia energética, eficiencia hídrica, calidad ambiental interior, calidad urbana, manejo de residuos, ecomateriales e infraestructura para la movilidad sostenible</w:t>
      </w:r>
    </w:p>
    <w:p w14:paraId="000018B9" w14:textId="0008CB46"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Disposiciones para la Gestión de la Ecoeficiencia en las Entidades de la Administración Pública, aprobada por Decreto Supremo Nro. 016-2021-MINAM</w:t>
      </w:r>
    </w:p>
    <w:p w14:paraId="000018BA" w14:textId="77777777"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Régimen especial de gestión y manejo de residuos de aparatos eléctricos y electrónicos, aprobado por Decreto Supremo 009-2019-MINAM </w:t>
      </w:r>
    </w:p>
    <w:p w14:paraId="000018BB" w14:textId="5D2C2CD5"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Procedimientos para la Gestión Adecuada de los Bienes Muebles Estatales Calificados como Residuos de Aparatos Eléctricos y Electrónicos – RAEE, aprobada por Resolución N° 027-2013/SBN. para la gestión de los RAEE</w:t>
      </w:r>
    </w:p>
    <w:p w14:paraId="000018BC" w14:textId="3B08AD41"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14044:2013. </w:t>
      </w:r>
      <w:r w:rsidRPr="00285D58">
        <w:rPr>
          <w:rFonts w:asciiTheme="minorHAnsi" w:eastAsia="Calibri" w:hAnsiTheme="minorHAnsi" w:cstheme="minorHAnsi"/>
          <w:color w:val="000000"/>
        </w:rPr>
        <w:t>Gestión Ambiental. Análisis del ciclo de vida. Requisitos y directrices</w:t>
      </w:r>
    </w:p>
    <w:p w14:paraId="000018BD" w14:textId="1F1853E8"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NTP-RT/ISO TR 14049:2014. </w:t>
      </w:r>
      <w:r w:rsidRPr="00285D58">
        <w:rPr>
          <w:rFonts w:asciiTheme="minorHAnsi" w:eastAsia="Calibri" w:hAnsiTheme="minorHAnsi" w:cstheme="minorHAnsi"/>
          <w:color w:val="000000"/>
        </w:rPr>
        <w:t>Gestión Ambiental. Análisis del ciclo de vida</w:t>
      </w:r>
    </w:p>
    <w:p w14:paraId="000018BE" w14:textId="56D942F6"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14045:2013. </w:t>
      </w:r>
      <w:r w:rsidRPr="00285D58">
        <w:rPr>
          <w:rFonts w:asciiTheme="minorHAnsi" w:eastAsia="Calibri" w:hAnsiTheme="minorHAnsi" w:cstheme="minorHAnsi"/>
          <w:color w:val="000000"/>
        </w:rPr>
        <w:t>Gestión Ambiental. Evaluación de la ecoeficiencia del sistema del producto. Principios, requisitos y directrices</w:t>
      </w:r>
    </w:p>
    <w:p w14:paraId="000018BF" w14:textId="3423D2D4" w:rsidR="00F664DB" w:rsidRPr="00285D58" w:rsidRDefault="006049C1" w:rsidP="00A3732C">
      <w:pPr>
        <w:widowControl/>
        <w:numPr>
          <w:ilvl w:val="0"/>
          <w:numId w:val="181"/>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900.058:2019. </w:t>
      </w:r>
      <w:r w:rsidRPr="00285D58">
        <w:rPr>
          <w:rFonts w:asciiTheme="minorHAnsi" w:eastAsia="Calibri" w:hAnsiTheme="minorHAnsi" w:cstheme="minorHAnsi"/>
          <w:color w:val="000000"/>
        </w:rPr>
        <w:t>Gestión de residuos sólidos</w:t>
      </w:r>
    </w:p>
    <w:p w14:paraId="000018C0" w14:textId="77777777" w:rsidR="00F664DB" w:rsidRPr="00285D58" w:rsidRDefault="00F664DB" w:rsidP="008D1FFF">
      <w:pPr>
        <w:spacing w:line="276" w:lineRule="auto"/>
        <w:jc w:val="both"/>
        <w:rPr>
          <w:rFonts w:asciiTheme="minorHAnsi" w:eastAsia="Calibri" w:hAnsiTheme="minorHAnsi" w:cstheme="minorHAnsi"/>
        </w:rPr>
      </w:pPr>
    </w:p>
    <w:p w14:paraId="000018C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2.1.3.10. Gestión ambiental </w:t>
      </w:r>
    </w:p>
    <w:p w14:paraId="000018C2" w14:textId="28F59742" w:rsidR="00F664DB" w:rsidRPr="00285D58" w:rsidRDefault="006049C1" w:rsidP="008D1FFF">
      <w:pPr>
        <w:widowControl/>
        <w:numPr>
          <w:ilvl w:val="0"/>
          <w:numId w:val="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Gestión Ambiental del Sector Turismo, aprobado por Resolución Ministerial Nro. 235-2021 – MINCETUR</w:t>
      </w:r>
    </w:p>
    <w:p w14:paraId="000018C3" w14:textId="77777777" w:rsidR="00F664DB" w:rsidRPr="00285D58" w:rsidRDefault="00F664DB" w:rsidP="008D1FFF">
      <w:pPr>
        <w:spacing w:line="276" w:lineRule="auto"/>
        <w:jc w:val="both"/>
        <w:rPr>
          <w:rFonts w:asciiTheme="minorHAnsi" w:eastAsia="Calibri" w:hAnsiTheme="minorHAnsi" w:cstheme="minorHAnsi"/>
        </w:rPr>
      </w:pPr>
    </w:p>
    <w:p w14:paraId="000018C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2.1.3.11. Gestión de Riesgo de Desastres </w:t>
      </w:r>
    </w:p>
    <w:p w14:paraId="000018C5" w14:textId="74ABBD04" w:rsidR="00F664DB" w:rsidRPr="00285D58" w:rsidRDefault="006049C1" w:rsidP="008D1FFF">
      <w:pPr>
        <w:widowControl/>
        <w:numPr>
          <w:ilvl w:val="0"/>
          <w:numId w:val="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Prevención y Reducción del Riesgo de Desastres del Ministerio de Comercio Exterior y Turismo 2023”, aprobado por Resolución Ministerial Nro. 283-2023 – MINCETUR</w:t>
      </w:r>
    </w:p>
    <w:p w14:paraId="000018C6" w14:textId="5D29ED65" w:rsidR="00F664DB" w:rsidRPr="00285D58" w:rsidRDefault="006049C1" w:rsidP="008D1FFF">
      <w:pPr>
        <w:widowControl/>
        <w:numPr>
          <w:ilvl w:val="0"/>
          <w:numId w:val="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Manual para la Evaluación de Riesgos Originados por Fenómenos Naturales – 2da Versión, para la Resolución Jefatural Nro. 112-2014-CENEPRED</w:t>
      </w:r>
    </w:p>
    <w:p w14:paraId="000018C7" w14:textId="77777777" w:rsidR="00F664DB" w:rsidRPr="00285D58" w:rsidRDefault="00F664DB" w:rsidP="008D1FFF">
      <w:pPr>
        <w:spacing w:line="276" w:lineRule="auto"/>
        <w:jc w:val="both"/>
        <w:rPr>
          <w:rFonts w:asciiTheme="minorHAnsi" w:eastAsia="Calibri" w:hAnsiTheme="minorHAnsi" w:cstheme="minorHAnsi"/>
        </w:rPr>
      </w:pPr>
    </w:p>
    <w:p w14:paraId="000018C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2.1.3.12. Normas Técnicas sobre BIM </w:t>
      </w:r>
    </w:p>
    <w:p w14:paraId="000018C9" w14:textId="0CB9A47D" w:rsidR="00F664DB" w:rsidRPr="00285D58" w:rsidRDefault="006049C1" w:rsidP="008D1FFF">
      <w:pPr>
        <w:widowControl/>
        <w:numPr>
          <w:ilvl w:val="0"/>
          <w:numId w:val="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 19650-1:2021 - Organización y digitalización de la información sobre edificios y obras de ingeniería civil, incluyendo el modelado de la información de la construcción (BIM) – Gestión de la información mediante el modelado de la información de la construcción”</w:t>
      </w:r>
    </w:p>
    <w:p w14:paraId="000018CA" w14:textId="0A6431E1" w:rsidR="00F664DB" w:rsidRPr="00285D58" w:rsidRDefault="006049C1" w:rsidP="008D1FFF">
      <w:pPr>
        <w:widowControl/>
        <w:numPr>
          <w:ilvl w:val="0"/>
          <w:numId w:val="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de Nomenclatura de documentos al utilizar BIM, elaborado por la Asociación BuldingSMART (denominada anteriormente International Alliance for Interoperability)</w:t>
      </w:r>
    </w:p>
    <w:p w14:paraId="000018CB" w14:textId="77777777" w:rsidR="00F664DB" w:rsidRPr="00285D58" w:rsidRDefault="00F664DB" w:rsidP="008D1FFF">
      <w:pPr>
        <w:spacing w:line="276" w:lineRule="auto"/>
        <w:jc w:val="both"/>
        <w:rPr>
          <w:rFonts w:asciiTheme="minorHAnsi" w:eastAsia="Calibri" w:hAnsiTheme="minorHAnsi" w:cstheme="minorHAnsi"/>
        </w:rPr>
      </w:pPr>
    </w:p>
    <w:p w14:paraId="000018C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 REFERENCIAS NORMATIVAS INTERNACIONALES </w:t>
      </w:r>
    </w:p>
    <w:p w14:paraId="000018CD" w14:textId="77777777" w:rsidR="00F664DB" w:rsidRPr="00285D58" w:rsidRDefault="00F664DB" w:rsidP="008D1FFF">
      <w:pPr>
        <w:spacing w:line="276" w:lineRule="auto"/>
        <w:jc w:val="both"/>
        <w:rPr>
          <w:rFonts w:asciiTheme="minorHAnsi" w:eastAsia="Calibri" w:hAnsiTheme="minorHAnsi" w:cstheme="minorHAnsi"/>
          <w:b/>
        </w:rPr>
      </w:pPr>
    </w:p>
    <w:p w14:paraId="000018C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2.2.1. NORMATIVA TÉCNICA </w:t>
      </w:r>
    </w:p>
    <w:p w14:paraId="000018CF" w14:textId="77777777" w:rsidR="00F664DB" w:rsidRPr="00285D58" w:rsidRDefault="00F664DB" w:rsidP="008D1FFF">
      <w:pPr>
        <w:spacing w:line="276" w:lineRule="auto"/>
        <w:jc w:val="both"/>
        <w:rPr>
          <w:rFonts w:asciiTheme="minorHAnsi" w:eastAsia="Calibri" w:hAnsiTheme="minorHAnsi" w:cstheme="minorHAnsi"/>
          <w:b/>
        </w:rPr>
      </w:pPr>
    </w:p>
    <w:p w14:paraId="000018D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2.2.1.1. Normas Técnicas sobre Instalaciones de Transporte por Cable </w:t>
      </w:r>
    </w:p>
    <w:p w14:paraId="000018D1" w14:textId="77777777" w:rsidR="00F664DB" w:rsidRPr="00285D58" w:rsidRDefault="006049C1" w:rsidP="00A3732C">
      <w:pPr>
        <w:widowControl/>
        <w:numPr>
          <w:ilvl w:val="0"/>
          <w:numId w:val="19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europeo (UE) 2016/424 del 9 de marzo de 2016, que regula los requisitos que deben cumplirse para la proyección, construcción, puesta en servicio y explotación de las instalaciones de transporte de personas. </w:t>
      </w:r>
    </w:p>
    <w:p w14:paraId="000018D2" w14:textId="77777777" w:rsidR="00F664DB" w:rsidRPr="00285D58" w:rsidRDefault="006049C1" w:rsidP="00A3732C">
      <w:pPr>
        <w:widowControl/>
        <w:numPr>
          <w:ilvl w:val="0"/>
          <w:numId w:val="19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Normas Armonizadas sobre Instalaciones de Transporte por Cable, elaboradas en apoyo del Reglamento (UE) 2016/424 del Parlamento Europeo y del Consejo:</w:t>
      </w:r>
    </w:p>
    <w:p w14:paraId="000018D3" w14:textId="2EC72438"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1709 Requisitos de seguridad de las instalaciones de transporte por cable</w:t>
      </w:r>
      <w:r w:rsidR="00304EC7"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destinadas a personas. Examen previo a la puesta en servicio, mantenimiento y controles en explotación</w:t>
      </w:r>
      <w:r w:rsidR="00304EC7" w:rsidRPr="00285D58">
        <w:rPr>
          <w:rFonts w:asciiTheme="minorHAnsi" w:eastAsia="Calibri" w:hAnsiTheme="minorHAnsi" w:cstheme="minorHAnsi"/>
          <w:color w:val="000000"/>
        </w:rPr>
        <w:t>.</w:t>
      </w:r>
    </w:p>
    <w:p w14:paraId="000018D4" w14:textId="6915EC30"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1908 Requisitos de seguridad de las instalaciones de transporte por cable destinadas a personas. Dispositivos de puesta en tensión</w:t>
      </w:r>
      <w:r w:rsidR="00304EC7" w:rsidRPr="00285D58">
        <w:rPr>
          <w:rFonts w:asciiTheme="minorHAnsi" w:eastAsia="Calibri" w:hAnsiTheme="minorHAnsi" w:cstheme="minorHAnsi"/>
          <w:color w:val="000000"/>
        </w:rPr>
        <w:t>.</w:t>
      </w:r>
    </w:p>
    <w:p w14:paraId="000018D5" w14:textId="78AEE862"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1909 Requisitos de seguridad de las instalaciones de transporte por cable destinadas a personas. Recuperación y evacuación</w:t>
      </w:r>
      <w:r w:rsidR="00304EC7" w:rsidRPr="00285D58">
        <w:rPr>
          <w:rFonts w:asciiTheme="minorHAnsi" w:eastAsia="Calibri" w:hAnsiTheme="minorHAnsi" w:cstheme="minorHAnsi"/>
          <w:color w:val="000000"/>
        </w:rPr>
        <w:t>.</w:t>
      </w:r>
    </w:p>
    <w:p w14:paraId="000018D6" w14:textId="5E297D0B"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12397 Requisitos de seguridad de las instalaciones de transporte por cable destinadas a personas. Explotación</w:t>
      </w:r>
      <w:r w:rsidR="00304EC7" w:rsidRPr="00285D58">
        <w:rPr>
          <w:rFonts w:asciiTheme="minorHAnsi" w:eastAsia="Calibri" w:hAnsiTheme="minorHAnsi" w:cstheme="minorHAnsi"/>
          <w:color w:val="000000"/>
        </w:rPr>
        <w:t>.</w:t>
      </w:r>
    </w:p>
    <w:p w14:paraId="000018D7" w14:textId="65E004EA"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12929-1 Requisitos de seguridad de las instalaciones de transporte por cable destinadas a personas. Requisitos generales. Parte 1: Requisitos aplicables a todas las instalaciones</w:t>
      </w:r>
      <w:r w:rsidR="00304EC7" w:rsidRPr="00285D58">
        <w:rPr>
          <w:rFonts w:asciiTheme="minorHAnsi" w:eastAsia="Calibri" w:hAnsiTheme="minorHAnsi" w:cstheme="minorHAnsi"/>
          <w:color w:val="000000"/>
        </w:rPr>
        <w:t>.</w:t>
      </w:r>
    </w:p>
    <w:p w14:paraId="000018D8" w14:textId="40DC7E24"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12929-2 Requisitos de seguridad de las instalaciones de transporte por cable destinadas a personas. Requisitos generales. Parte 2: Requisitos adicionales para teleféricos bicable de vaivén sin freno de carro</w:t>
      </w:r>
      <w:r w:rsidR="00304EC7" w:rsidRPr="00285D58">
        <w:rPr>
          <w:rFonts w:asciiTheme="minorHAnsi" w:eastAsia="Calibri" w:hAnsiTheme="minorHAnsi" w:cstheme="minorHAnsi"/>
          <w:color w:val="000000"/>
        </w:rPr>
        <w:t>.</w:t>
      </w:r>
    </w:p>
    <w:p w14:paraId="000018D9" w14:textId="48174C72"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12930 Requisitos de seguridad de las instalaciones de transporte por cable destinadas a personas. Cálculos</w:t>
      </w:r>
      <w:r w:rsidR="00304EC7" w:rsidRPr="00285D58">
        <w:rPr>
          <w:rFonts w:asciiTheme="minorHAnsi" w:eastAsia="Calibri" w:hAnsiTheme="minorHAnsi" w:cstheme="minorHAnsi"/>
          <w:color w:val="000000"/>
        </w:rPr>
        <w:t>.</w:t>
      </w:r>
    </w:p>
    <w:p w14:paraId="000018DA" w14:textId="0A5A5FBB"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13107 Requisitos de seguridad de las instalaciones de transporte de personas por cable. Obra Civi</w:t>
      </w:r>
      <w:r w:rsidR="00304EC7" w:rsidRPr="00285D58">
        <w:rPr>
          <w:rFonts w:asciiTheme="minorHAnsi" w:eastAsia="Calibri" w:hAnsiTheme="minorHAnsi" w:cstheme="minorHAnsi"/>
          <w:color w:val="000000"/>
        </w:rPr>
        <w:t>.</w:t>
      </w:r>
    </w:p>
    <w:p w14:paraId="000018DB"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EN 13223 Requisitos de seguridad de las instalaciones de transporte por cable destinadas a personas. Accionamientos y otros dispositivos mecánicos. </w:t>
      </w:r>
    </w:p>
    <w:p w14:paraId="000018DC"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13243 Requisitos de seguridad de las instalaciones de transporte por cable destinadas a personas. Dispositivos eléctricos distintos del accionamiento.</w:t>
      </w:r>
    </w:p>
    <w:p w14:paraId="000018DD"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13796-1 Requisitos de seguridad de las instalaciones de transporte de personas por cable. Vehículos. Parte 1: Pinzas, carros, frenos de a bordo, cabinas, sillas, coches, vehículos de mantenimiento, arrastres.</w:t>
      </w:r>
    </w:p>
    <w:p w14:paraId="000018DE"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13796-2 Requisitos de seguridad de las instalaciones de transporte de personas por cable. Vehículos. Parte 2: Ensayo de resistencia al deslizamiento de las pinzas.</w:t>
      </w:r>
    </w:p>
    <w:p w14:paraId="000018DF" w14:textId="77777777" w:rsidR="00F664DB" w:rsidRPr="00285D58" w:rsidRDefault="006049C1" w:rsidP="00A3732C">
      <w:pPr>
        <w:pStyle w:val="Prrafodelista"/>
        <w:widowControl/>
        <w:numPr>
          <w:ilvl w:val="0"/>
          <w:numId w:val="2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13796-3 Requisitos de seguridad de las instalaciones de transporte de personas por cable. Vehículos. Parte 3: Ensayos de fatiga.</w:t>
      </w:r>
    </w:p>
    <w:p w14:paraId="000018E0" w14:textId="77777777" w:rsidR="00F664DB" w:rsidRPr="00285D58" w:rsidRDefault="00F664DB" w:rsidP="008D1FFF">
      <w:pPr>
        <w:spacing w:line="276" w:lineRule="auto"/>
        <w:jc w:val="both"/>
        <w:rPr>
          <w:rFonts w:asciiTheme="minorHAnsi" w:eastAsia="Calibri" w:hAnsiTheme="minorHAnsi" w:cstheme="minorHAnsi"/>
        </w:rPr>
      </w:pPr>
    </w:p>
    <w:p w14:paraId="000018E1"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2" w:name="_heading=h.45tpw02" w:colFirst="0" w:colLast="0"/>
      <w:bookmarkEnd w:id="142"/>
      <w:r w:rsidRPr="00285D58">
        <w:rPr>
          <w:rFonts w:asciiTheme="minorHAnsi" w:eastAsia="Calibri" w:hAnsiTheme="minorHAnsi" w:cstheme="minorHAnsi"/>
          <w:b/>
        </w:rPr>
        <w:t>GENERALIDADES</w:t>
      </w:r>
    </w:p>
    <w:p w14:paraId="000018E2" w14:textId="6C33AF34"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8E3" w14:textId="77777777" w:rsidR="00F664DB" w:rsidRPr="00285D58" w:rsidRDefault="00F664DB" w:rsidP="008D1FFF">
      <w:pPr>
        <w:spacing w:line="276" w:lineRule="auto"/>
        <w:jc w:val="both"/>
        <w:rPr>
          <w:rFonts w:asciiTheme="minorHAnsi" w:eastAsia="Calibri" w:hAnsiTheme="minorHAnsi" w:cstheme="minorHAnsi"/>
        </w:rPr>
      </w:pPr>
    </w:p>
    <w:p w14:paraId="000018E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uno de los siguientes componentes del proyecto:</w:t>
      </w:r>
    </w:p>
    <w:p w14:paraId="000018E5"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Teleférico San Juan – Maizal y Teleférico Maizal – Abra. Incluyendo los estudios y diseños de las estaciones de teleférico: Estación de Salida San Juan, Estación Intermedia Maizal y Estación de Llegada Abra.</w:t>
      </w:r>
    </w:p>
    <w:p w14:paraId="000018E6"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Teleférico Kiuñalla – Unión. Incluyendo los estudios y diseños de las estaciones de teleférico: Estación de Salida Kiuñalla y Estación de Llegada Unión.</w:t>
      </w:r>
    </w:p>
    <w:p w14:paraId="000018E7" w14:textId="77777777" w:rsidR="00F664DB" w:rsidRPr="00285D58" w:rsidRDefault="00F664DB" w:rsidP="008D1FFF">
      <w:pPr>
        <w:spacing w:line="276" w:lineRule="auto"/>
        <w:jc w:val="both"/>
        <w:rPr>
          <w:rFonts w:asciiTheme="minorHAnsi" w:eastAsia="Calibri" w:hAnsiTheme="minorHAnsi" w:cstheme="minorHAnsi"/>
        </w:rPr>
      </w:pPr>
    </w:p>
    <w:p w14:paraId="000018E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8E9" w14:textId="77777777" w:rsidR="00F664DB" w:rsidRPr="00285D58" w:rsidRDefault="00F664DB" w:rsidP="008D1FFF">
      <w:pPr>
        <w:spacing w:line="276" w:lineRule="auto"/>
        <w:jc w:val="both"/>
        <w:rPr>
          <w:rFonts w:asciiTheme="minorHAnsi" w:eastAsia="Calibri" w:hAnsiTheme="minorHAnsi" w:cstheme="minorHAnsi"/>
        </w:rPr>
      </w:pPr>
    </w:p>
    <w:p w14:paraId="000018E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8EB" w14:textId="77777777" w:rsidR="00F664DB" w:rsidRPr="00285D58" w:rsidRDefault="00F664DB" w:rsidP="008D1FFF">
      <w:pPr>
        <w:spacing w:line="276" w:lineRule="auto"/>
        <w:jc w:val="both"/>
        <w:rPr>
          <w:rFonts w:asciiTheme="minorHAnsi" w:eastAsia="Calibri" w:hAnsiTheme="minorHAnsi" w:cstheme="minorHAnsi"/>
        </w:rPr>
      </w:pPr>
    </w:p>
    <w:p w14:paraId="000018E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8ED"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3" w:name="_heading=h.2kz067v" w:colFirst="0" w:colLast="0"/>
      <w:bookmarkEnd w:id="143"/>
      <w:r w:rsidRPr="00285D58">
        <w:rPr>
          <w:rFonts w:asciiTheme="minorHAnsi" w:eastAsia="Calibri" w:hAnsiTheme="minorHAnsi" w:cstheme="minorHAnsi"/>
          <w:b/>
        </w:rPr>
        <w:t xml:space="preserve">METODOLOGÍA BIM </w:t>
      </w:r>
    </w:p>
    <w:p w14:paraId="000018E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w:t>
      </w:r>
      <w:r w:rsidRPr="00285D58">
        <w:rPr>
          <w:rFonts w:asciiTheme="minorHAnsi" w:eastAsia="Calibri" w:hAnsiTheme="minorHAnsi" w:cstheme="minorHAnsi"/>
        </w:rPr>
        <w:lastRenderedPageBreak/>
        <w:t xml:space="preserve">y Supervisor. </w:t>
      </w:r>
    </w:p>
    <w:p w14:paraId="000018EF" w14:textId="77777777" w:rsidR="00F664DB" w:rsidRPr="00285D58" w:rsidRDefault="00F664DB" w:rsidP="008D1FFF">
      <w:pPr>
        <w:spacing w:line="276" w:lineRule="auto"/>
        <w:jc w:val="both"/>
        <w:rPr>
          <w:rFonts w:asciiTheme="minorHAnsi" w:eastAsia="Calibri" w:hAnsiTheme="minorHAnsi" w:cstheme="minorHAnsi"/>
        </w:rPr>
      </w:pPr>
    </w:p>
    <w:p w14:paraId="000018F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8F1" w14:textId="77777777" w:rsidR="00F664DB" w:rsidRPr="00285D58" w:rsidRDefault="00F664DB" w:rsidP="008D1FFF">
      <w:pPr>
        <w:spacing w:line="276" w:lineRule="auto"/>
        <w:jc w:val="both"/>
        <w:rPr>
          <w:rFonts w:asciiTheme="minorHAnsi" w:eastAsia="Calibri" w:hAnsiTheme="minorHAnsi" w:cstheme="minorHAnsi"/>
        </w:rPr>
      </w:pPr>
    </w:p>
    <w:p w14:paraId="000018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8F3" w14:textId="77777777" w:rsidR="00F664DB" w:rsidRPr="00285D58" w:rsidRDefault="00F664DB" w:rsidP="008D1FFF">
      <w:pPr>
        <w:spacing w:line="276" w:lineRule="auto"/>
        <w:jc w:val="both"/>
        <w:rPr>
          <w:rFonts w:asciiTheme="minorHAnsi" w:eastAsia="Calibri" w:hAnsiTheme="minorHAnsi" w:cstheme="minorHAnsi"/>
        </w:rPr>
      </w:pPr>
    </w:p>
    <w:p w14:paraId="000018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4.1.1 Condiciones generales </w:t>
      </w:r>
    </w:p>
    <w:p w14:paraId="000018F5" w14:textId="77777777" w:rsidR="00F664DB" w:rsidRPr="00285D58" w:rsidRDefault="00F664DB" w:rsidP="008D1FFF">
      <w:pPr>
        <w:spacing w:line="276" w:lineRule="auto"/>
        <w:jc w:val="both"/>
        <w:rPr>
          <w:rFonts w:asciiTheme="minorHAnsi" w:eastAsia="Calibri" w:hAnsiTheme="minorHAnsi" w:cstheme="minorHAnsi"/>
        </w:rPr>
      </w:pPr>
    </w:p>
    <w:p w14:paraId="000018F6"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8F7" w14:textId="32BB4018"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acceso a la información que haga parte de la metodología BIM será otorgada al personal específico señalado por el CONCEDENTE y el Supervisor, según corresponda, 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w:t>
      </w:r>
      <w:r w:rsidR="00304EC7" w:rsidRPr="00285D58">
        <w:rPr>
          <w:rFonts w:asciiTheme="minorHAnsi" w:eastAsia="Calibri" w:hAnsiTheme="minorHAnsi" w:cstheme="minorHAnsi"/>
          <w:color w:val="000000"/>
        </w:rPr>
        <w:t>.</w:t>
      </w:r>
    </w:p>
    <w:p w14:paraId="000018F8"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8F9"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8FA"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8FB"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8FC" w14:textId="77777777" w:rsidR="00F664DB" w:rsidRPr="00285D58" w:rsidRDefault="006049C1" w:rsidP="00A3732C">
      <w:pPr>
        <w:widowControl/>
        <w:numPr>
          <w:ilvl w:val="0"/>
          <w:numId w:val="1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Para la implementación de la metodología BIM, el Concesionario deberá cumplir los criterios aprobados en las Leyes y Disposiciones Aplicables, así como el Apéndice 7 del presente Anexo. </w:t>
      </w:r>
    </w:p>
    <w:p w14:paraId="000018FD" w14:textId="77777777" w:rsidR="00F664DB" w:rsidRPr="00285D58" w:rsidRDefault="00F664DB" w:rsidP="008D1FFF">
      <w:pPr>
        <w:spacing w:line="276" w:lineRule="auto"/>
        <w:jc w:val="both"/>
        <w:rPr>
          <w:rFonts w:asciiTheme="minorHAnsi" w:eastAsia="Calibri" w:hAnsiTheme="minorHAnsi" w:cstheme="minorHAnsi"/>
        </w:rPr>
      </w:pPr>
    </w:p>
    <w:p w14:paraId="000018F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8FF" w14:textId="77777777" w:rsidR="00F664DB" w:rsidRPr="00285D58" w:rsidRDefault="00F664DB" w:rsidP="008D1FFF">
      <w:pPr>
        <w:spacing w:line="276" w:lineRule="auto"/>
        <w:jc w:val="both"/>
        <w:rPr>
          <w:rFonts w:asciiTheme="minorHAnsi" w:eastAsia="Calibri" w:hAnsiTheme="minorHAnsi" w:cstheme="minorHAnsi"/>
        </w:rPr>
      </w:pPr>
    </w:p>
    <w:p w14:paraId="0000190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Estaciones a través de un modelo virtual en 3D, implementando la información necesaria y suficiente para el desarrollo de las Obras, facilitando su verificación y seguimiento por parte del CONCEDENTE y del Supervisor. Como referencia, el nivel de detalle mínimo del modelo será LOD 350, sin que se limite al CONCESIONARIO de implementar mayores niveles de detalle, cuando lo considere conveniente. </w:t>
      </w:r>
    </w:p>
    <w:p w14:paraId="00001901" w14:textId="77777777" w:rsidR="00F664DB" w:rsidRPr="00285D58" w:rsidRDefault="00F664DB" w:rsidP="008D1FFF">
      <w:pPr>
        <w:spacing w:line="276" w:lineRule="auto"/>
        <w:jc w:val="both"/>
        <w:rPr>
          <w:rFonts w:asciiTheme="minorHAnsi" w:eastAsia="Calibri" w:hAnsiTheme="minorHAnsi" w:cstheme="minorHAnsi"/>
        </w:rPr>
      </w:pPr>
    </w:p>
    <w:p w14:paraId="0000190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903" w14:textId="77777777" w:rsidR="00F664DB" w:rsidRPr="00285D58" w:rsidRDefault="00F664DB" w:rsidP="008D1FFF">
      <w:pPr>
        <w:spacing w:line="276" w:lineRule="auto"/>
        <w:jc w:val="both"/>
        <w:rPr>
          <w:rFonts w:asciiTheme="minorHAnsi" w:eastAsia="Calibri" w:hAnsiTheme="minorHAnsi" w:cstheme="minorHAnsi"/>
        </w:rPr>
      </w:pPr>
    </w:p>
    <w:p w14:paraId="0000190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los componentes del Proyecto; sin limitarse a lo siguiente:</w:t>
      </w:r>
    </w:p>
    <w:p w14:paraId="00001905" w14:textId="77777777" w:rsidR="00F664DB" w:rsidRPr="00285D58" w:rsidRDefault="00F664DB" w:rsidP="008D1FFF">
      <w:pPr>
        <w:spacing w:line="276" w:lineRule="auto"/>
        <w:jc w:val="both"/>
        <w:rPr>
          <w:rFonts w:asciiTheme="minorHAnsi" w:eastAsia="Calibri" w:hAnsiTheme="minorHAnsi" w:cstheme="minorHAnsi"/>
        </w:rPr>
      </w:pPr>
    </w:p>
    <w:p w14:paraId="00001906"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 los EDI por etapas, como se refieren en el Apartado 5 del presente Apéndice, según hayan sido presentados, observados o declarados conformes por el CONCEDENTE y el Supervisor. </w:t>
      </w:r>
    </w:p>
    <w:p w14:paraId="00001907"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Estudios elaborados a cuenta, costo y riesgo del CONCESIONARIO, no requeridos como parte del Contrato. </w:t>
      </w:r>
    </w:p>
    <w:p w14:paraId="00001908"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Leyes y Disposiciones aplicables al Proyecto. </w:t>
      </w:r>
    </w:p>
    <w:p w14:paraId="00001909" w14:textId="7732BFF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aplicables al Proyecto y su estatus de cumplimiento (solicitudes y respuestas) durante su gestión</w:t>
      </w:r>
      <w:r w:rsidR="00590057" w:rsidRPr="00285D58">
        <w:rPr>
          <w:rFonts w:asciiTheme="minorHAnsi" w:eastAsia="Calibri" w:hAnsiTheme="minorHAnsi" w:cstheme="minorHAnsi"/>
          <w:color w:val="000000"/>
        </w:rPr>
        <w:t>.</w:t>
      </w:r>
    </w:p>
    <w:p w14:paraId="0000190A" w14:textId="594199CB"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y entregables previstos para la prestación de los Servicios Obligatorios, conforme a los Capítulos VI y VII del Contrato; incluyendo el Manual de Operación de las Instalaciones, Listados de Equipamiento y Mobiliario, </w:t>
      </w:r>
      <w:sdt>
        <w:sdtPr>
          <w:rPr>
            <w:rFonts w:asciiTheme="minorHAnsi" w:hAnsiTheme="minorHAnsi" w:cstheme="minorHAnsi"/>
          </w:rPr>
          <w:tag w:val="goog_rdk_143"/>
          <w:id w:val="-2013512479"/>
        </w:sdtPr>
        <w:sdtContent/>
      </w:sdt>
      <w:sdt>
        <w:sdtPr>
          <w:rPr>
            <w:rFonts w:asciiTheme="minorHAnsi" w:hAnsiTheme="minorHAnsi" w:cstheme="minorHAnsi"/>
          </w:rPr>
          <w:tag w:val="goog_rdk_144"/>
          <w:id w:val="-652447314"/>
        </w:sdtPr>
        <w:sdtContent/>
      </w:sdt>
      <w:r w:rsidRPr="00285D58">
        <w:rPr>
          <w:rFonts w:asciiTheme="minorHAnsi" w:eastAsia="Calibri" w:hAnsiTheme="minorHAnsi" w:cstheme="minorHAnsi"/>
          <w:color w:val="000000"/>
        </w:rPr>
        <w:t xml:space="preserve">entre otros. </w:t>
      </w:r>
    </w:p>
    <w:p w14:paraId="0000190B" w14:textId="77777777"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del Proyecto, según hayan sido presentados, observados o declarados conforme por el CONCEDENTE y el Supervisor. </w:t>
      </w:r>
    </w:p>
    <w:p w14:paraId="0000190C" w14:textId="76C87AA8" w:rsidR="00F664DB" w:rsidRPr="00285D58" w:rsidRDefault="006049C1" w:rsidP="00A3732C">
      <w:pPr>
        <w:widowControl/>
        <w:numPr>
          <w:ilvl w:val="0"/>
          <w:numId w:val="2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Plan de Trabajo para cada componente del Proyecto, no observado por el CONCEDENTE y el Supervisor</w:t>
      </w:r>
      <w:r w:rsidR="00590057" w:rsidRPr="00285D58">
        <w:rPr>
          <w:rFonts w:asciiTheme="minorHAnsi" w:eastAsia="Calibri" w:hAnsiTheme="minorHAnsi" w:cstheme="minorHAnsi"/>
          <w:color w:val="000000"/>
        </w:rPr>
        <w:t>.</w:t>
      </w:r>
    </w:p>
    <w:p w14:paraId="0000190D" w14:textId="77777777" w:rsidR="00F664DB" w:rsidRPr="00285D58" w:rsidRDefault="00F664DB" w:rsidP="008D1FFF">
      <w:pPr>
        <w:spacing w:line="276" w:lineRule="auto"/>
        <w:jc w:val="both"/>
        <w:rPr>
          <w:rFonts w:asciiTheme="minorHAnsi" w:eastAsia="Calibri" w:hAnsiTheme="minorHAnsi" w:cstheme="minorHAnsi"/>
        </w:rPr>
      </w:pPr>
    </w:p>
    <w:p w14:paraId="0000190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90F" w14:textId="77777777" w:rsidR="00F664DB" w:rsidRPr="00285D58" w:rsidRDefault="00F664DB" w:rsidP="008D1FFF">
      <w:pPr>
        <w:spacing w:line="276" w:lineRule="auto"/>
        <w:jc w:val="both"/>
        <w:rPr>
          <w:rFonts w:asciiTheme="minorHAnsi" w:eastAsia="Calibri" w:hAnsiTheme="minorHAnsi" w:cstheme="minorHAnsi"/>
        </w:rPr>
      </w:pPr>
    </w:p>
    <w:p w14:paraId="0000191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911" w14:textId="77777777" w:rsidR="00F664DB" w:rsidRPr="00285D58" w:rsidRDefault="00F664DB" w:rsidP="008D1FFF">
      <w:pPr>
        <w:spacing w:line="276" w:lineRule="auto"/>
        <w:jc w:val="both"/>
        <w:rPr>
          <w:rFonts w:asciiTheme="minorHAnsi" w:eastAsia="Calibri" w:hAnsiTheme="minorHAnsi" w:cstheme="minorHAnsi"/>
        </w:rPr>
      </w:pPr>
    </w:p>
    <w:p w14:paraId="000019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913" w14:textId="77777777" w:rsidR="00F664DB" w:rsidRPr="00285D58" w:rsidRDefault="00F664DB" w:rsidP="008D1FFF">
      <w:pPr>
        <w:spacing w:line="276" w:lineRule="auto"/>
        <w:jc w:val="both"/>
        <w:rPr>
          <w:rFonts w:asciiTheme="minorHAnsi" w:eastAsia="Calibri" w:hAnsiTheme="minorHAnsi" w:cstheme="minorHAnsi"/>
        </w:rPr>
      </w:pPr>
    </w:p>
    <w:p w14:paraId="000019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los componentes del Proyecto, tanto por el CONCEDENTE como el Supervisor. </w:t>
      </w:r>
    </w:p>
    <w:p w14:paraId="00001915" w14:textId="77777777" w:rsidR="00F664DB" w:rsidRPr="00285D58" w:rsidRDefault="00F664DB" w:rsidP="008D1FFF">
      <w:pPr>
        <w:spacing w:line="276" w:lineRule="auto"/>
        <w:jc w:val="both"/>
        <w:rPr>
          <w:rFonts w:asciiTheme="minorHAnsi" w:eastAsia="Calibri" w:hAnsiTheme="minorHAnsi" w:cstheme="minorHAnsi"/>
        </w:rPr>
      </w:pPr>
    </w:p>
    <w:p w14:paraId="0000191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los componentes del Proyecto y dichas modificaciones cuenten con la conformidad del CONCEDENTE y del Supervisor, el modelo virtual, así como los EDI respectivos, deberán ser actualizados por el CONCESIONARIO.</w:t>
      </w:r>
    </w:p>
    <w:p w14:paraId="00001917" w14:textId="77777777" w:rsidR="00F664DB" w:rsidRPr="00285D58" w:rsidRDefault="00F664DB" w:rsidP="008D1FFF">
      <w:pPr>
        <w:spacing w:line="276" w:lineRule="auto"/>
        <w:jc w:val="both"/>
        <w:rPr>
          <w:rFonts w:asciiTheme="minorHAnsi" w:eastAsia="Calibri" w:hAnsiTheme="minorHAnsi" w:cstheme="minorHAnsi"/>
        </w:rPr>
      </w:pPr>
    </w:p>
    <w:p w14:paraId="0000191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los componentes del Proyecto, el CONCESIONARIO integrará al Entorno Común de Datos por cada componente, la siguiente información, sin limitarse a las siguientes: </w:t>
      </w:r>
    </w:p>
    <w:p w14:paraId="00001919" w14:textId="77777777" w:rsidR="00F664DB" w:rsidRPr="00285D58" w:rsidRDefault="00F664DB" w:rsidP="008D1FFF">
      <w:pPr>
        <w:spacing w:line="276" w:lineRule="auto"/>
        <w:jc w:val="both"/>
        <w:rPr>
          <w:rFonts w:asciiTheme="minorHAnsi" w:eastAsia="Calibri" w:hAnsiTheme="minorHAnsi" w:cstheme="minorHAnsi"/>
        </w:rPr>
      </w:pPr>
    </w:p>
    <w:p w14:paraId="0000191A"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Entrega de los Bienes de la Concesión, referidos a las Áreas de emplazamiento de los componentes del Proyecto. </w:t>
      </w:r>
    </w:p>
    <w:p w14:paraId="0000191B"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Inicio de la Construcción por cada componente.</w:t>
      </w:r>
    </w:p>
    <w:p w14:paraId="0000191C"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componente. </w:t>
      </w:r>
    </w:p>
    <w:p w14:paraId="0000191D" w14:textId="04166E01"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otorgados y necesarios para el desarrollo de las Obras, para cada componente. Incluirán las renovaciones de aquellas que caduquen durante el respectivo Periodo Pre-operativo.</w:t>
      </w:r>
    </w:p>
    <w:p w14:paraId="0000191E" w14:textId="6B86D049"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cuaderno de obra correspondiente a cada componente.</w:t>
      </w:r>
    </w:p>
    <w:p w14:paraId="0000191F"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componente, conforme hayan sido observados y recibida conformidad del Supervisor.</w:t>
      </w:r>
    </w:p>
    <w:p w14:paraId="00001920" w14:textId="7777777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Cronograma de Ejecución de Obras por componente, con conformidad del CONCEDENTE y el Supervisor. </w:t>
      </w:r>
    </w:p>
    <w:p w14:paraId="00001921" w14:textId="242EF307"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Resultados de pruebas de laboratorio y de calidad ejecutados durante el desarrollo de las Obras.</w:t>
      </w:r>
    </w:p>
    <w:p w14:paraId="00001922" w14:textId="2DF17C01" w:rsidR="00F664DB" w:rsidRPr="00285D58" w:rsidRDefault="006049C1" w:rsidP="00A3732C">
      <w:pPr>
        <w:widowControl/>
        <w:numPr>
          <w:ilvl w:val="0"/>
          <w:numId w:val="2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reportes del Supervisor.</w:t>
      </w:r>
    </w:p>
    <w:p w14:paraId="00001923" w14:textId="77777777" w:rsidR="00F664DB" w:rsidRPr="00285D58" w:rsidRDefault="00F664DB" w:rsidP="008D1FFF">
      <w:pPr>
        <w:spacing w:line="276" w:lineRule="auto"/>
        <w:jc w:val="both"/>
        <w:rPr>
          <w:rFonts w:asciiTheme="minorHAnsi" w:eastAsia="Calibri" w:hAnsiTheme="minorHAnsi" w:cstheme="minorHAnsi"/>
        </w:rPr>
      </w:pPr>
    </w:p>
    <w:p w14:paraId="000019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Durante los procesos de la Puesta en Marcha, se incluirán en el Entorno Común de Datos por componente, los siguientes datos:</w:t>
      </w:r>
    </w:p>
    <w:p w14:paraId="00001925" w14:textId="77777777" w:rsidR="00F664DB" w:rsidRPr="00285D58" w:rsidRDefault="00F664DB" w:rsidP="008D1FFF">
      <w:pPr>
        <w:spacing w:line="276" w:lineRule="auto"/>
        <w:jc w:val="both"/>
        <w:rPr>
          <w:rFonts w:asciiTheme="minorHAnsi" w:eastAsia="Calibri" w:hAnsiTheme="minorHAnsi" w:cstheme="minorHAnsi"/>
        </w:rPr>
      </w:pPr>
    </w:p>
    <w:p w14:paraId="00001926" w14:textId="77777777"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del Manual de Operación de las Instalaciones, declarados conforme por el CONCEDENTE y el Supervisor. </w:t>
      </w:r>
    </w:p>
    <w:p w14:paraId="00001927" w14:textId="334036A0"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Copia de los Listados de Equipamiento por </w:t>
      </w:r>
      <w:r w:rsidR="00A3225A">
        <w:rPr>
          <w:rFonts w:asciiTheme="minorHAnsi" w:eastAsia="Calibri" w:hAnsiTheme="minorHAnsi" w:cstheme="minorHAnsi"/>
          <w:color w:val="000000"/>
        </w:rPr>
        <w:t>C</w:t>
      </w:r>
      <w:r w:rsidRPr="00285D58">
        <w:rPr>
          <w:rFonts w:asciiTheme="minorHAnsi" w:eastAsia="Calibri" w:hAnsiTheme="minorHAnsi" w:cstheme="minorHAnsi"/>
          <w:color w:val="000000"/>
        </w:rPr>
        <w:t>omponente, declarados conforme por el CONCEDENTE y el Supervisor</w:t>
      </w:r>
      <w:r w:rsidR="00590057" w:rsidRPr="00285D58">
        <w:rPr>
          <w:rFonts w:asciiTheme="minorHAnsi" w:eastAsia="Calibri" w:hAnsiTheme="minorHAnsi" w:cstheme="minorHAnsi"/>
          <w:color w:val="000000"/>
        </w:rPr>
        <w:t>.</w:t>
      </w:r>
    </w:p>
    <w:p w14:paraId="00001928" w14:textId="3E4D2D55"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Notificación de observaciones por </w:t>
      </w:r>
      <w:r w:rsidR="00A3225A">
        <w:rPr>
          <w:rFonts w:asciiTheme="minorHAnsi" w:eastAsia="Calibri" w:hAnsiTheme="minorHAnsi" w:cstheme="minorHAnsi"/>
          <w:color w:val="000000"/>
        </w:rPr>
        <w:t>C</w:t>
      </w:r>
      <w:r w:rsidRPr="00285D58">
        <w:rPr>
          <w:rFonts w:asciiTheme="minorHAnsi" w:eastAsia="Calibri" w:hAnsiTheme="minorHAnsi" w:cstheme="minorHAnsi"/>
          <w:color w:val="000000"/>
        </w:rPr>
        <w:t>omponente que resulten de las visitas de verificación como parte de los procesos de la Puesta en Marcha</w:t>
      </w:r>
      <w:r w:rsidR="00590057" w:rsidRPr="00285D58">
        <w:rPr>
          <w:rFonts w:asciiTheme="minorHAnsi" w:eastAsia="Calibri" w:hAnsiTheme="minorHAnsi" w:cstheme="minorHAnsi"/>
          <w:color w:val="000000"/>
        </w:rPr>
        <w:t>.</w:t>
      </w:r>
    </w:p>
    <w:p w14:paraId="00001929" w14:textId="54D64B51"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Certificados de Puesta en Marcha por </w:t>
      </w:r>
      <w:r w:rsidR="00A3225A">
        <w:rPr>
          <w:rFonts w:asciiTheme="minorHAnsi" w:eastAsia="Calibri" w:hAnsiTheme="minorHAnsi" w:cstheme="minorHAnsi"/>
          <w:color w:val="000000"/>
        </w:rPr>
        <w:t>C</w:t>
      </w:r>
      <w:r w:rsidRPr="00285D58">
        <w:rPr>
          <w:rFonts w:asciiTheme="minorHAnsi" w:eastAsia="Calibri" w:hAnsiTheme="minorHAnsi" w:cstheme="minorHAnsi"/>
          <w:color w:val="000000"/>
        </w:rPr>
        <w:t xml:space="preserve">omponente, que hayan sido emitidos por el CONCEDENTE. </w:t>
      </w:r>
    </w:p>
    <w:p w14:paraId="0000192A" w14:textId="48361A46" w:rsidR="00F664DB" w:rsidRPr="00285D58" w:rsidRDefault="006049C1" w:rsidP="008D1FFF">
      <w:pPr>
        <w:widowControl/>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Listado de </w:t>
      </w:r>
      <w:r w:rsidR="00A3225A">
        <w:rPr>
          <w:rFonts w:asciiTheme="minorHAnsi" w:eastAsia="Calibri" w:hAnsiTheme="minorHAnsi" w:cstheme="minorHAnsi"/>
          <w:color w:val="000000"/>
        </w:rPr>
        <w:t>o</w:t>
      </w:r>
      <w:r w:rsidRPr="00285D58">
        <w:rPr>
          <w:rFonts w:asciiTheme="minorHAnsi" w:eastAsia="Calibri" w:hAnsiTheme="minorHAnsi" w:cstheme="minorHAnsi"/>
          <w:color w:val="000000"/>
        </w:rPr>
        <w:t xml:space="preserve">bservaciones por </w:t>
      </w:r>
      <w:r w:rsidR="00A3225A">
        <w:rPr>
          <w:rFonts w:asciiTheme="minorHAnsi" w:eastAsia="Calibri" w:hAnsiTheme="minorHAnsi" w:cstheme="minorHAnsi"/>
          <w:color w:val="000000"/>
        </w:rPr>
        <w:t>C</w:t>
      </w:r>
      <w:r w:rsidRPr="00285D58">
        <w:rPr>
          <w:rFonts w:asciiTheme="minorHAnsi" w:eastAsia="Calibri" w:hAnsiTheme="minorHAnsi" w:cstheme="minorHAnsi"/>
          <w:color w:val="000000"/>
        </w:rPr>
        <w:t>omponente, que se encuentren pendientes de subsanar.</w:t>
      </w:r>
    </w:p>
    <w:p w14:paraId="0000192B" w14:textId="77777777" w:rsidR="00F664DB" w:rsidRPr="00285D58" w:rsidRDefault="00F664DB" w:rsidP="008D1FFF">
      <w:pPr>
        <w:spacing w:line="276" w:lineRule="auto"/>
        <w:jc w:val="both"/>
        <w:rPr>
          <w:rFonts w:asciiTheme="minorHAnsi" w:eastAsia="Calibri" w:hAnsiTheme="minorHAnsi" w:cstheme="minorHAnsi"/>
        </w:rPr>
      </w:pPr>
    </w:p>
    <w:p w14:paraId="0000192C" w14:textId="77777777" w:rsidR="00F664DB"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componente para 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3238A513" w14:textId="77777777" w:rsidR="00A3225A" w:rsidRPr="00285D58" w:rsidRDefault="00A3225A" w:rsidP="008D1FFF">
      <w:pPr>
        <w:spacing w:line="276" w:lineRule="auto"/>
        <w:jc w:val="both"/>
        <w:rPr>
          <w:rFonts w:asciiTheme="minorHAnsi" w:eastAsia="Calibri" w:hAnsiTheme="minorHAnsi" w:cstheme="minorHAnsi"/>
        </w:rPr>
      </w:pPr>
    </w:p>
    <w:p w14:paraId="0000192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930" w14:textId="77777777" w:rsidR="00F664DB" w:rsidRPr="00285D58" w:rsidRDefault="00F664DB" w:rsidP="008D1FFF">
      <w:pPr>
        <w:spacing w:line="276" w:lineRule="auto"/>
        <w:jc w:val="both"/>
        <w:rPr>
          <w:rFonts w:asciiTheme="minorHAnsi" w:eastAsia="Calibri" w:hAnsiTheme="minorHAnsi" w:cstheme="minorHAnsi"/>
        </w:rPr>
      </w:pPr>
    </w:p>
    <w:p w14:paraId="000019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932" w14:textId="77777777" w:rsidR="00F664DB" w:rsidRPr="00285D58" w:rsidRDefault="00F664DB" w:rsidP="008D1FFF">
      <w:pPr>
        <w:spacing w:line="276" w:lineRule="auto"/>
        <w:jc w:val="both"/>
        <w:rPr>
          <w:rFonts w:asciiTheme="minorHAnsi" w:eastAsia="Calibri" w:hAnsiTheme="minorHAnsi" w:cstheme="minorHAnsi"/>
        </w:rPr>
      </w:pPr>
    </w:p>
    <w:p w14:paraId="00001933"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del uso de la metodología BIM para el Proyecto, acorde a los alcances previstos en el Contrato para el desarrollo de los diseños y la construcción de las Obras. </w:t>
      </w:r>
    </w:p>
    <w:p w14:paraId="00001934" w14:textId="08E84CCA"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nivel de información o desarrollo de los elementos BIM o modelo BIM, conforme a los niveles de detalle señalados en el Apéndice 7 del presente Anexo. </w:t>
      </w:r>
    </w:p>
    <w:p w14:paraId="00001935"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del Entorno Común de Datos, </w:t>
      </w:r>
    </w:p>
    <w:p w14:paraId="00001936"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Señalará a los participantes de la metodología BIM entre el personal del CONCESIONARIO, el CONCEDENTE y el Supervisor. </w:t>
      </w:r>
    </w:p>
    <w:p w14:paraId="00001937"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definición de los roles, permisos de acceso y alcances para cada uno de los actores, respecto al modelo BIM y la información contenida en el Entorno Común de Datos; cumpliendo como mínimo, lo referido en el Contrato y sus Anexos. </w:t>
      </w:r>
    </w:p>
    <w:p w14:paraId="00001938"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 la metodología de gestión de la información en la metodología BIM. </w:t>
      </w:r>
    </w:p>
    <w:p w14:paraId="00001939" w14:textId="77777777" w:rsidR="00F664DB" w:rsidRPr="00285D58" w:rsidRDefault="006049C1" w:rsidP="008D1FFF">
      <w:pPr>
        <w:widowControl/>
        <w:numPr>
          <w:ilvl w:val="0"/>
          <w:numId w:val="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p>
    <w:p w14:paraId="0000193A" w14:textId="77777777" w:rsidR="00F664DB" w:rsidRPr="00285D58" w:rsidRDefault="00F664DB" w:rsidP="008D1FFF">
      <w:pPr>
        <w:spacing w:line="276" w:lineRule="auto"/>
        <w:jc w:val="both"/>
        <w:rPr>
          <w:rFonts w:asciiTheme="minorHAnsi" w:eastAsia="Calibri" w:hAnsiTheme="minorHAnsi" w:cstheme="minorHAnsi"/>
        </w:rPr>
      </w:pPr>
    </w:p>
    <w:p w14:paraId="0000193B"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4" w:name="_heading=h.104agfo" w:colFirst="0" w:colLast="0"/>
      <w:bookmarkEnd w:id="144"/>
      <w:r w:rsidRPr="00285D58">
        <w:rPr>
          <w:rFonts w:asciiTheme="minorHAnsi" w:eastAsia="Calibri" w:hAnsiTheme="minorHAnsi" w:cstheme="minorHAnsi"/>
          <w:b/>
        </w:rPr>
        <w:t xml:space="preserve">ELABORACIÓN Y CONTENIDO DEL ESTUDIO DEFINITIVO DE INGENIERÍA </w:t>
      </w:r>
    </w:p>
    <w:p w14:paraId="3D67B737" w14:textId="77777777" w:rsidR="009E5B5B" w:rsidRPr="00285D58" w:rsidRDefault="009E5B5B" w:rsidP="008D1FFF">
      <w:pPr>
        <w:spacing w:line="276" w:lineRule="auto"/>
        <w:jc w:val="both"/>
        <w:rPr>
          <w:rFonts w:asciiTheme="minorHAnsi" w:eastAsia="Calibri" w:hAnsiTheme="minorHAnsi" w:cstheme="minorHAnsi"/>
          <w:b/>
        </w:rPr>
      </w:pPr>
    </w:p>
    <w:p w14:paraId="0000193C" w14:textId="0FEACA83"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2824C68" w14:textId="77777777" w:rsidR="009E5B5B" w:rsidRPr="00285D58" w:rsidRDefault="009E5B5B" w:rsidP="008D1FFF">
      <w:pPr>
        <w:spacing w:line="276" w:lineRule="auto"/>
        <w:jc w:val="both"/>
        <w:rPr>
          <w:rFonts w:asciiTheme="minorHAnsi" w:eastAsia="Calibri" w:hAnsiTheme="minorHAnsi" w:cstheme="minorHAnsi"/>
        </w:rPr>
      </w:pPr>
    </w:p>
    <w:p w14:paraId="0000193D" w14:textId="52CC4BBC"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93E" w14:textId="77777777" w:rsidR="00F664DB" w:rsidRPr="00285D58" w:rsidRDefault="00F664DB" w:rsidP="008D1FFF">
      <w:pPr>
        <w:spacing w:line="276" w:lineRule="auto"/>
        <w:jc w:val="both"/>
        <w:rPr>
          <w:rFonts w:asciiTheme="minorHAnsi" w:eastAsia="Calibri" w:hAnsiTheme="minorHAnsi" w:cstheme="minorHAnsi"/>
        </w:rPr>
      </w:pPr>
    </w:p>
    <w:p w14:paraId="0000193F" w14:textId="77777777" w:rsidR="00F664DB" w:rsidRPr="00285D58" w:rsidRDefault="006049C1" w:rsidP="008D1FFF">
      <w:pPr>
        <w:widowControl/>
        <w:numPr>
          <w:ilvl w:val="0"/>
          <w:numId w:val="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940" w14:textId="77777777" w:rsidR="00F664DB" w:rsidRPr="00285D58" w:rsidRDefault="006049C1" w:rsidP="008D1FFF">
      <w:pPr>
        <w:widowControl/>
        <w:numPr>
          <w:ilvl w:val="0"/>
          <w:numId w:val="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Mecánica de Suelos, según lo establecido en el Apéndice 4 del presente Anexo. </w:t>
      </w:r>
    </w:p>
    <w:p w14:paraId="00001941" w14:textId="77777777" w:rsidR="00F664DB" w:rsidRPr="00285D58" w:rsidRDefault="00F664DB" w:rsidP="008D1FFF">
      <w:pPr>
        <w:spacing w:line="276" w:lineRule="auto"/>
        <w:jc w:val="both"/>
        <w:rPr>
          <w:rFonts w:asciiTheme="minorHAnsi" w:eastAsia="Calibri" w:hAnsiTheme="minorHAnsi" w:cstheme="minorHAnsi"/>
        </w:rPr>
      </w:pPr>
    </w:p>
    <w:p w14:paraId="000019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las estaciones y los teleféricos.</w:t>
      </w:r>
    </w:p>
    <w:p w14:paraId="00001943" w14:textId="77777777" w:rsidR="00F664DB" w:rsidRPr="00285D58" w:rsidRDefault="00F664DB" w:rsidP="008D1FFF">
      <w:pPr>
        <w:spacing w:line="276" w:lineRule="auto"/>
        <w:jc w:val="both"/>
        <w:rPr>
          <w:rFonts w:asciiTheme="minorHAnsi" w:eastAsia="Calibri" w:hAnsiTheme="minorHAnsi" w:cstheme="minorHAnsi"/>
        </w:rPr>
      </w:pPr>
    </w:p>
    <w:p w14:paraId="000019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donde se emplazarán los componentes del Proyecto, que deban considerarse para el desarrollo de los EDI y de las Obras. Lo anterior incluirá la ejecución de los estudios técnicos necesarios para la identificación de posibles interferencias en las distintas Áreas donde se emplazarán los componentes del Proyecto, incluyendo estudios hidrológicos, de interferencias, entre otros.</w:t>
      </w:r>
    </w:p>
    <w:p w14:paraId="00001947" w14:textId="0E40256E"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donde se emplazarán los componentes del Proyecto incluyendo las acciones que se estimen como pertinentes y necesarias para permitir el desarrollo de las Obras para el cumplimiento de los requerimientos del Contrato; incluyendo, pero sin limitarse a: </w:t>
      </w:r>
    </w:p>
    <w:p w14:paraId="00001948" w14:textId="77777777" w:rsidR="00F664DB" w:rsidRPr="00285D58" w:rsidRDefault="006049C1" w:rsidP="00A3732C">
      <w:pPr>
        <w:pStyle w:val="Prrafodelista"/>
        <w:widowControl/>
        <w:numPr>
          <w:ilvl w:val="0"/>
          <w:numId w:val="2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949" w14:textId="77777777" w:rsidR="00F664DB" w:rsidRPr="00285D58" w:rsidRDefault="006049C1" w:rsidP="00A3732C">
      <w:pPr>
        <w:pStyle w:val="Prrafodelista"/>
        <w:widowControl/>
        <w:numPr>
          <w:ilvl w:val="0"/>
          <w:numId w:val="2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94A" w14:textId="77777777" w:rsidR="00F664DB" w:rsidRPr="00285D58" w:rsidRDefault="00F664DB" w:rsidP="008D1FFF">
      <w:pPr>
        <w:spacing w:line="276" w:lineRule="auto"/>
        <w:jc w:val="both"/>
        <w:rPr>
          <w:rFonts w:asciiTheme="minorHAnsi" w:eastAsia="Calibri" w:hAnsiTheme="minorHAnsi" w:cstheme="minorHAnsi"/>
        </w:rPr>
      </w:pPr>
    </w:p>
    <w:p w14:paraId="000019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no podrá invocar la decisión de no ejecutar estudios técnicos complementarios como sustento para la modificación de los plazos y montos del Contrato, en caso de presentarse interferencias no identificadas previamente en las Áreas donde se emplazarán los componentes del Proyecto, que deban ser subsanadas por el CONCESIONARIO para desarrollar las Obras. </w:t>
      </w:r>
    </w:p>
    <w:p w14:paraId="0000194C" w14:textId="77777777" w:rsidR="00F664DB" w:rsidRPr="00285D58" w:rsidRDefault="00F664DB" w:rsidP="008D1FFF">
      <w:pPr>
        <w:spacing w:line="276" w:lineRule="auto"/>
        <w:jc w:val="both"/>
        <w:rPr>
          <w:rFonts w:asciiTheme="minorHAnsi" w:eastAsia="Calibri" w:hAnsiTheme="minorHAnsi" w:cstheme="minorHAnsi"/>
        </w:rPr>
      </w:pPr>
    </w:p>
    <w:p w14:paraId="0000194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 ANTEPROYECTO </w:t>
      </w:r>
    </w:p>
    <w:p w14:paraId="0000194E" w14:textId="77777777" w:rsidR="00F664DB" w:rsidRPr="00285D58" w:rsidRDefault="00F664DB" w:rsidP="008D1FFF">
      <w:pPr>
        <w:spacing w:line="276" w:lineRule="auto"/>
        <w:jc w:val="both"/>
        <w:rPr>
          <w:rFonts w:asciiTheme="minorHAnsi" w:eastAsia="Calibri" w:hAnsiTheme="minorHAnsi" w:cstheme="minorHAnsi"/>
        </w:rPr>
      </w:pPr>
    </w:p>
    <w:p w14:paraId="0000194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Estudio del Trazo de los Teleféricos</w:t>
      </w:r>
      <w:r w:rsidRPr="00285D58">
        <w:rPr>
          <w:rFonts w:asciiTheme="minorHAnsi" w:eastAsia="Calibri" w:hAnsiTheme="minorHAnsi" w:cstheme="minorHAnsi"/>
          <w:vertAlign w:val="superscript"/>
        </w:rPr>
        <w:footnoteReference w:id="7"/>
      </w:r>
      <w:r w:rsidRPr="00285D58">
        <w:rPr>
          <w:rFonts w:asciiTheme="minorHAnsi" w:eastAsia="Calibri" w:hAnsiTheme="minorHAnsi" w:cstheme="minorHAnsi"/>
          <w:b/>
        </w:rPr>
        <w:t xml:space="preserve"> </w:t>
      </w:r>
    </w:p>
    <w:p w14:paraId="0000195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 los resultados obtenidos a partir de los trabajos y estudios previos realizados en la Etapa I, el CONCESIONARIO diseñará el trazo definitivo de los teleféricos en base a las condiciones del terreno, a los requisitos detallados en el Anexo 03 y en la Normativa Europea para el diseño de Instalaciones de Transporte por Cable.</w:t>
      </w:r>
    </w:p>
    <w:p w14:paraId="00001951" w14:textId="77777777" w:rsidR="00F664DB" w:rsidRPr="00285D58" w:rsidRDefault="00F664DB" w:rsidP="008D1FFF">
      <w:pPr>
        <w:spacing w:line="276" w:lineRule="auto"/>
        <w:jc w:val="both"/>
        <w:rPr>
          <w:rFonts w:asciiTheme="minorHAnsi" w:eastAsia="Calibri" w:hAnsiTheme="minorHAnsi" w:cstheme="minorHAnsi"/>
        </w:rPr>
      </w:pPr>
    </w:p>
    <w:p w14:paraId="0000195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el número de </w:t>
      </w:r>
      <w:r w:rsidRPr="00285D58">
        <w:rPr>
          <w:rFonts w:asciiTheme="minorHAnsi" w:eastAsia="Calibri" w:hAnsiTheme="minorHAnsi" w:cstheme="minorHAnsi"/>
        </w:rPr>
        <w:lastRenderedPageBreak/>
        <w:t xml:space="preserve">pilonas, los lotes y áreas requeridos para el emplazamiento de las estaciones y pilonas, y las áreas necesarias para albergar los componentes electromecánicos de los teleféricos dentro de las estaciones. </w:t>
      </w:r>
    </w:p>
    <w:p w14:paraId="00001953" w14:textId="77777777" w:rsidR="00F664DB" w:rsidRPr="00285D58" w:rsidRDefault="00F664DB" w:rsidP="008D1FFF">
      <w:pPr>
        <w:spacing w:line="276" w:lineRule="auto"/>
        <w:jc w:val="both"/>
        <w:rPr>
          <w:rFonts w:asciiTheme="minorHAnsi" w:eastAsia="Calibri" w:hAnsiTheme="minorHAnsi" w:cstheme="minorHAnsi"/>
        </w:rPr>
      </w:pPr>
    </w:p>
    <w:p w14:paraId="000019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 información será el insumo inicial tanto para el anteproyecto de arquitectura como estructuras. </w:t>
      </w:r>
    </w:p>
    <w:p w14:paraId="00001955" w14:textId="77777777" w:rsidR="00F664DB" w:rsidRPr="00285D58" w:rsidRDefault="00F664DB" w:rsidP="008D1FFF">
      <w:pPr>
        <w:spacing w:line="276" w:lineRule="auto"/>
        <w:jc w:val="both"/>
        <w:rPr>
          <w:rFonts w:asciiTheme="minorHAnsi" w:eastAsia="Calibri" w:hAnsiTheme="minorHAnsi" w:cstheme="minorHAnsi"/>
        </w:rPr>
      </w:pPr>
    </w:p>
    <w:p w14:paraId="0000195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del trazo de los teleféricos contendrá, como mínimo, los siguientes documentos: </w:t>
      </w:r>
    </w:p>
    <w:p w14:paraId="00001957"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trazo de los teleféricos, la cual debe incluir la geometría y longitud del trazo del teleférico, la ubicación de las estaciones y pilonas, así como sus respectivas cotas, la descripción de la tecnología a emplear y los principales componentes electromecánicos que la conforman. </w:t>
      </w:r>
    </w:p>
    <w:p w14:paraId="00001958"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del Trazo, la cual debe incluir el levantamiento planimétrico de una franja de 20 metros (10 metros a cada lado del eje del trazo), así como la ubicación de las estaciones y pilonas a escala 1:5000, 1:7500 o 1:10000. </w:t>
      </w:r>
    </w:p>
    <w:p w14:paraId="00001959"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del Trazo, que incluya la ubicación de las estaciones y pilonas. Adicionalmente, debe mostrar dos (02) perfiles longitudinales adicionales a 7.50 m de separación a cada lado del eje del trazo a escala 1:5000, 1:7500 o 1:10000.</w:t>
      </w:r>
    </w:p>
    <w:p w14:paraId="0000195A"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de las Estaciones (con la ubicación y áreas requeridas para el emplazamiento de componentes electromecánicos) a escala 1:100. </w:t>
      </w:r>
    </w:p>
    <w:p w14:paraId="0000195B" w14:textId="77777777" w:rsidR="00F664DB" w:rsidRPr="00285D58" w:rsidRDefault="006049C1"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cada estación), la ubicación de los cortes será por lugares donde se localicen componentes electromecánicos importantes, cambios de nivel de piso, etc.</w:t>
      </w:r>
    </w:p>
    <w:p w14:paraId="0000195C"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95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5.2.2. Anteproyecto de Arquitectura</w:t>
      </w:r>
    </w:p>
    <w:p w14:paraId="000019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los resultados obtenidos a partir de los trabajos y estudios previos realizados en la Etapa I, y del Trazo definitivo de los Teleféricos, el CONCESIONARIO elaborará el anteproyecto de arquitectura con base a los ambientes detallados en el Anexo 03 y en las Leyes y Disposiciones Aplicables. </w:t>
      </w:r>
    </w:p>
    <w:p w14:paraId="0000195F" w14:textId="77777777" w:rsidR="00F664DB" w:rsidRPr="00285D58" w:rsidRDefault="00F664DB" w:rsidP="008D1FFF">
      <w:pPr>
        <w:spacing w:line="276" w:lineRule="auto"/>
        <w:jc w:val="both"/>
        <w:rPr>
          <w:rFonts w:asciiTheme="minorHAnsi" w:eastAsia="Calibri" w:hAnsiTheme="minorHAnsi" w:cstheme="minorHAnsi"/>
        </w:rPr>
      </w:pPr>
    </w:p>
    <w:p w14:paraId="00001960" w14:textId="30DB7AB8"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concepción de las edificaciones y espacios exteriores deben considerar y prever: condiciones arquitectónicas </w:t>
      </w:r>
      <w:r w:rsidR="00095769" w:rsidRPr="00285D58">
        <w:rPr>
          <w:rFonts w:asciiTheme="minorHAnsi" w:eastAsia="Calibri" w:hAnsiTheme="minorHAnsi" w:cstheme="minorHAnsi"/>
        </w:rPr>
        <w:t>de paisaje</w:t>
      </w:r>
      <w:r w:rsidRPr="00285D58">
        <w:rPr>
          <w:rFonts w:asciiTheme="minorHAnsi" w:eastAsia="Calibri" w:hAnsiTheme="minorHAnsi" w:cstheme="minorHAnsi"/>
        </w:rPr>
        <w:t xml:space="preserve">, condiciones bioclimáticas adecuadas, pertinencia estructural y funcional, características de acceso a servicios básicos y otras que permitan la mejor solución de habitabilidad de las edificaciones proyectadas. Todos los sistemas que se propongan deberán ser factibles de construir, mostrar vigencia tecnológica y ser sostenibles en el tiempo. </w:t>
      </w:r>
    </w:p>
    <w:p w14:paraId="00001961" w14:textId="77777777" w:rsidR="00F664DB" w:rsidRPr="00285D58" w:rsidRDefault="00F664DB" w:rsidP="008D1FFF">
      <w:pPr>
        <w:spacing w:line="276" w:lineRule="auto"/>
        <w:jc w:val="both"/>
        <w:rPr>
          <w:rFonts w:asciiTheme="minorHAnsi" w:eastAsia="Calibri" w:hAnsiTheme="minorHAnsi" w:cstheme="minorHAnsi"/>
        </w:rPr>
      </w:pPr>
    </w:p>
    <w:p w14:paraId="000019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relaciones volumétricas, altura de las edificaciones, elevaciones y fachadas, relación funcional, circulación y flujos de usuarios, materialidad, seguridad particular interna y externa entre otros, deberán ser evaluadas y propuestas por el CONCESIONARIO cumpliendo las Leyes y Disposiciones Aplicables. La propuesta de emplazamiento, propuesta espacial y arquitectónica, así como la propuesta de materialidad, deberá corresponder a la zona bioclimática en la que se encuentra el terreno. </w:t>
      </w:r>
    </w:p>
    <w:p w14:paraId="00001963" w14:textId="77777777" w:rsidR="00F664DB" w:rsidRPr="00285D58" w:rsidRDefault="00F664DB" w:rsidP="008D1FFF">
      <w:pPr>
        <w:spacing w:line="276" w:lineRule="auto"/>
        <w:jc w:val="both"/>
        <w:rPr>
          <w:rFonts w:asciiTheme="minorHAnsi" w:eastAsia="Calibri" w:hAnsiTheme="minorHAnsi" w:cstheme="minorHAnsi"/>
        </w:rPr>
      </w:pPr>
    </w:p>
    <w:p w14:paraId="0000196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arquitectónico contendrá el predimensionamiento geométrico general de la </w:t>
      </w:r>
      <w:r w:rsidRPr="00285D58">
        <w:rPr>
          <w:rFonts w:asciiTheme="minorHAnsi" w:eastAsia="Calibri" w:hAnsiTheme="minorHAnsi" w:cstheme="minorHAnsi"/>
        </w:rPr>
        <w:lastRenderedPageBreak/>
        <w:t>estructura, debiéndose representar las geometrías de los elementos estructurales (placas, columnas, losas, escaleras, etc.) en base al predimensionamiento planteado.</w:t>
      </w:r>
    </w:p>
    <w:p w14:paraId="00001965" w14:textId="77777777" w:rsidR="00F664DB" w:rsidRPr="00285D58" w:rsidRDefault="00F664DB" w:rsidP="008D1FFF">
      <w:pPr>
        <w:spacing w:line="276" w:lineRule="auto"/>
        <w:jc w:val="both"/>
        <w:rPr>
          <w:rFonts w:asciiTheme="minorHAnsi" w:eastAsia="Calibri" w:hAnsiTheme="minorHAnsi" w:cstheme="minorHAnsi"/>
        </w:rPr>
      </w:pPr>
    </w:p>
    <w:p w14:paraId="0000196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arquitectura será desarrollado como mínimo con el modelo BIM – AR LOD 350. Contendrá, como mínimo, los siguientes documentos: </w:t>
      </w:r>
    </w:p>
    <w:p w14:paraId="00001967" w14:textId="77777777" w:rsidR="00F664DB" w:rsidRPr="00285D58" w:rsidRDefault="00F664DB" w:rsidP="008D1FFF">
      <w:pPr>
        <w:spacing w:line="276" w:lineRule="auto"/>
        <w:jc w:val="both"/>
        <w:rPr>
          <w:rFonts w:asciiTheme="minorHAnsi" w:eastAsia="Calibri" w:hAnsiTheme="minorHAnsi" w:cstheme="minorHAnsi"/>
        </w:rPr>
      </w:pPr>
    </w:p>
    <w:p w14:paraId="00001968"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ubicación con parámetros según formato de la RM No. 305-2017- VIVIENDA, y cortes de calles aledañas y cuadro normativo indicando los parámetros urbanísticos. Incluirá Cuadro de áreas, información de áreas de estructuración urbana, según lo establecido en las Leyes y Disposiciones Aplicables sobre habilitaciones urbanas y edificaciones, conforme al Apartado 2 de la presente sección. </w:t>
      </w:r>
    </w:p>
    <w:p w14:paraId="00001969"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arquitectura, que debe considerar el análisis de condicionantes externos que influyen para la implementación de la infraestructura arquitectónica. </w:t>
      </w:r>
    </w:p>
    <w:p w14:paraId="0000196A"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para finalmente concluir en las estrategias proyectuales tales como: </w:t>
      </w:r>
    </w:p>
    <w:p w14:paraId="0000196B"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96C"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96D"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96E"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96F"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970" w14:textId="77777777" w:rsidR="00F664DB" w:rsidRPr="00285D58" w:rsidRDefault="006049C1" w:rsidP="00A3732C">
      <w:pPr>
        <w:pStyle w:val="Prrafodelista"/>
        <w:widowControl/>
        <w:numPr>
          <w:ilvl w:val="0"/>
          <w:numId w:val="2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del equipamiento específico para el correcto funcionamiento de los teleféricos, etc. </w:t>
      </w:r>
    </w:p>
    <w:p w14:paraId="00001971"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del anteproyecto (Programa Arquitectónico Definitivo). </w:t>
      </w:r>
    </w:p>
    <w:p w14:paraId="00001972" w14:textId="3239B06D" w:rsidR="00F664DB" w:rsidRPr="00285D58" w:rsidRDefault="00000000"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eastAsia="Calibri" w:hAnsiTheme="minorHAnsi" w:cstheme="minorHAnsi"/>
            <w:color w:val="000000"/>
          </w:rPr>
          <w:tag w:val="goog_rdk_145"/>
          <w:id w:val="-1777795377"/>
        </w:sdtPr>
        <w:sdtContent/>
      </w:sdt>
      <w:sdt>
        <w:sdtPr>
          <w:rPr>
            <w:rFonts w:asciiTheme="minorHAnsi" w:eastAsia="Calibri" w:hAnsiTheme="minorHAnsi" w:cstheme="minorHAnsi"/>
            <w:color w:val="000000"/>
          </w:rPr>
          <w:tag w:val="goog_rdk_146"/>
          <w:id w:val="-892274056"/>
        </w:sdtPr>
        <w:sdtContent/>
      </w:sdt>
      <w:r w:rsidR="006049C1" w:rsidRPr="00285D58">
        <w:rPr>
          <w:rFonts w:asciiTheme="minorHAnsi" w:eastAsia="Calibri" w:hAnsiTheme="minorHAnsi" w:cstheme="minorHAnsi"/>
          <w:color w:val="000000"/>
        </w:rPr>
        <w:t>Planta General de Distribución (plantas arquitectónicas de todos los pisos) a escala 1:100, según corresponda, todos los ambientes deberán indicar sus respectivas áreas</w:t>
      </w:r>
      <w:sdt>
        <w:sdtPr>
          <w:rPr>
            <w:rFonts w:asciiTheme="minorHAnsi" w:hAnsiTheme="minorHAnsi" w:cstheme="minorHAnsi"/>
          </w:rPr>
          <w:tag w:val="goog_rdk_147"/>
          <w:id w:val="-1862118495"/>
        </w:sdtPr>
        <w:sdtContent>
          <w:r w:rsidR="006049C1" w:rsidRPr="00285D58">
            <w:rPr>
              <w:rFonts w:asciiTheme="minorHAnsi" w:eastAsia="Calibri" w:hAnsiTheme="minorHAnsi" w:cstheme="minorHAnsi"/>
              <w:color w:val="000000"/>
            </w:rPr>
            <w:t>, y cuadro de vanos</w:t>
          </w:r>
        </w:sdtContent>
      </w:sdt>
      <w:r w:rsidR="006049C1" w:rsidRPr="00285D58">
        <w:rPr>
          <w:rFonts w:asciiTheme="minorHAnsi" w:eastAsia="Calibri" w:hAnsiTheme="minorHAnsi" w:cstheme="minorHAnsi"/>
          <w:color w:val="000000"/>
        </w:rPr>
        <w:t>.</w:t>
      </w:r>
    </w:p>
    <w:p w14:paraId="00001973"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Elevaciones en escala 1:100 (mínimo 02 cortes longitudinales y 02 cortes transversales y las elevaciones que correspondan). El trazo de los cortes y elevaciones a presentar deben cumplir los requerimientos mínimos indicados anteriormente; además, deberán efectuarse por zonas complejas, donde se presenten cambios de nivel, escaleras, SSHH, topografía con desniveles, etc. </w:t>
      </w:r>
    </w:p>
    <w:p w14:paraId="00001974" w14:textId="77777777" w:rsidR="00F664DB" w:rsidRPr="00285D58" w:rsidRDefault="006049C1" w:rsidP="00A3732C">
      <w:pPr>
        <w:pStyle w:val="Prrafodelista"/>
        <w:widowControl/>
        <w:numPr>
          <w:ilvl w:val="0"/>
          <w:numId w:val="2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con la verificación de medidas (superposición de planos) entre el perímetro registral y el perímetro topográfico del predio, incluyendo las coordenadas UTM y la orientación, debidamente comentado al existir o no discrepancias entre las medidas perimétricas o linderos. Deberá incluir los niveles de piso terminado (N.P.T) cotas y ejes.</w:t>
      </w:r>
    </w:p>
    <w:p w14:paraId="00001975" w14:textId="77777777" w:rsidR="00F664DB" w:rsidRPr="00285D58" w:rsidRDefault="00F664DB" w:rsidP="008D1FFF">
      <w:pPr>
        <w:spacing w:line="276" w:lineRule="auto"/>
        <w:jc w:val="both"/>
        <w:rPr>
          <w:rFonts w:asciiTheme="minorHAnsi" w:eastAsia="Calibri" w:hAnsiTheme="minorHAnsi" w:cstheme="minorHAnsi"/>
        </w:rPr>
      </w:pPr>
    </w:p>
    <w:p w14:paraId="0000197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 Anteproyecto de Estructuras </w:t>
      </w:r>
    </w:p>
    <w:p w14:paraId="000019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debe determinar el diseño preliminar de todos los elementos estructurales que comprenden las obras nuevas, tanto para las estaciones, como para las obras </w:t>
      </w:r>
      <w:r w:rsidRPr="00285D58">
        <w:rPr>
          <w:rFonts w:asciiTheme="minorHAnsi" w:eastAsia="Calibri" w:hAnsiTheme="minorHAnsi" w:cstheme="minorHAnsi"/>
        </w:rPr>
        <w:lastRenderedPageBreak/>
        <w:t xml:space="preserve">exteriores (cimentación de torres, cercos perimétricos, muros de contención, portadas de ingreso, cisterna, entre otros.). </w:t>
      </w:r>
    </w:p>
    <w:p w14:paraId="00001978" w14:textId="77777777" w:rsidR="00F664DB" w:rsidRPr="00285D58" w:rsidRDefault="00F664DB" w:rsidP="008D1FFF">
      <w:pPr>
        <w:spacing w:line="276" w:lineRule="auto"/>
        <w:jc w:val="both"/>
        <w:rPr>
          <w:rFonts w:asciiTheme="minorHAnsi" w:eastAsia="Calibri" w:hAnsiTheme="minorHAnsi" w:cstheme="minorHAnsi"/>
        </w:rPr>
      </w:pPr>
    </w:p>
    <w:p w14:paraId="000019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la alternativa de cimentación más idónea a utilizar, determinando las profundidades de cimentación, las dimensiones, la materialidad, entre otros. </w:t>
      </w:r>
    </w:p>
    <w:p w14:paraId="0000197A" w14:textId="77777777" w:rsidR="00F664DB" w:rsidRPr="00285D58" w:rsidRDefault="00F664DB" w:rsidP="008D1FFF">
      <w:pPr>
        <w:spacing w:line="276" w:lineRule="auto"/>
        <w:jc w:val="both"/>
        <w:rPr>
          <w:rFonts w:asciiTheme="minorHAnsi" w:eastAsia="Calibri" w:hAnsiTheme="minorHAnsi" w:cstheme="minorHAnsi"/>
        </w:rPr>
      </w:pPr>
    </w:p>
    <w:p w14:paraId="000019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Sobre la base de los resultados obtenidos en la etapa de Evaluación Estructural, se contemplarán partidas de seguridad, calzaduras de cimentaciones adyacentes de ser el caso, apuntalamientos a las zonas de trabajo, recomendaciones necesarias indicando proceso constructivo a seguir para garantizar la estabilidad de las estructuras.</w:t>
      </w:r>
    </w:p>
    <w:p w14:paraId="0000197C" w14:textId="77777777" w:rsidR="00F664DB" w:rsidRPr="00285D58" w:rsidRDefault="00F664DB" w:rsidP="008D1FFF">
      <w:pPr>
        <w:spacing w:line="276" w:lineRule="auto"/>
        <w:jc w:val="both"/>
        <w:rPr>
          <w:rFonts w:asciiTheme="minorHAnsi" w:eastAsia="Calibri" w:hAnsiTheme="minorHAnsi" w:cstheme="minorHAnsi"/>
        </w:rPr>
      </w:pPr>
    </w:p>
    <w:p w14:paraId="0000197D" w14:textId="7CCDEB33"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será desarrollado como mínimo en Mod BIM – AR LOD 350 y contendrá los siguientes documentos, </w:t>
      </w:r>
      <w:sdt>
        <w:sdtPr>
          <w:rPr>
            <w:rFonts w:asciiTheme="minorHAnsi" w:hAnsiTheme="minorHAnsi" w:cstheme="minorHAnsi"/>
          </w:rPr>
          <w:tag w:val="goog_rdk_148"/>
          <w:id w:val="-1753345518"/>
        </w:sdtPr>
        <w:sdtContent/>
      </w:sdt>
      <w:sdt>
        <w:sdtPr>
          <w:rPr>
            <w:rFonts w:asciiTheme="minorHAnsi" w:hAnsiTheme="minorHAnsi" w:cstheme="minorHAnsi"/>
          </w:rPr>
          <w:tag w:val="goog_rdk_149"/>
          <w:id w:val="-2051602072"/>
        </w:sdtPr>
        <w:sdtContent/>
      </w:sdt>
      <w:r w:rsidRPr="00285D58">
        <w:rPr>
          <w:rFonts w:asciiTheme="minorHAnsi" w:eastAsia="Calibri" w:hAnsiTheme="minorHAnsi" w:cstheme="minorHAnsi"/>
        </w:rPr>
        <w:t>como mínimo:</w:t>
      </w:r>
    </w:p>
    <w:p w14:paraId="1D10D0C4" w14:textId="77777777" w:rsidR="009E5B5B" w:rsidRPr="00285D58" w:rsidRDefault="009E5B5B" w:rsidP="008D1FFF">
      <w:pPr>
        <w:spacing w:line="276" w:lineRule="auto"/>
        <w:jc w:val="both"/>
        <w:rPr>
          <w:rFonts w:asciiTheme="minorHAnsi" w:eastAsia="Calibri" w:hAnsiTheme="minorHAnsi" w:cstheme="minorHAnsi"/>
        </w:rPr>
      </w:pPr>
    </w:p>
    <w:p w14:paraId="0000197E"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estructuras, la cual debe incluir el predimensionamiento de todos los elementos estructurales, cimentaciones, columnas, muros de corte y albañilería, vigas, losas macizas y aligeradas, muros de contención, cercos perimétricos, portadas, cisternas, entre otros elementos. </w:t>
      </w:r>
    </w:p>
    <w:p w14:paraId="0000197F"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(todos los pisos y planta de techos) a escala 1:100. </w:t>
      </w:r>
    </w:p>
    <w:p w14:paraId="00001980" w14:textId="77777777" w:rsidR="00F664DB" w:rsidRPr="00285D58" w:rsidRDefault="006049C1" w:rsidP="00A3732C">
      <w:pPr>
        <w:widowControl/>
        <w:numPr>
          <w:ilvl w:val="0"/>
          <w:numId w:val="2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bloque y todas las fachadas de cada bloque), la ubicación de los cortes será por lugares donde se localicen cambios de nivel de piso, etc.</w:t>
      </w:r>
    </w:p>
    <w:p w14:paraId="00001981" w14:textId="77777777" w:rsidR="00F664DB" w:rsidRPr="00285D58" w:rsidRDefault="00F664DB" w:rsidP="008D1FFF">
      <w:pPr>
        <w:spacing w:line="276" w:lineRule="auto"/>
        <w:jc w:val="both"/>
        <w:rPr>
          <w:rFonts w:asciiTheme="minorHAnsi" w:eastAsia="Calibri" w:hAnsiTheme="minorHAnsi" w:cstheme="minorHAnsi"/>
        </w:rPr>
      </w:pPr>
    </w:p>
    <w:p w14:paraId="0000198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debe alinearse a lo que establece las Leyes y Disposiciones Aplicables sobre diseño sismorresistentes, incluyendo diseño de estructuras simétricas tanto en planta como en altura. La solución de la estructura propuesta no debe presentar irregularidad estructural.</w:t>
      </w:r>
    </w:p>
    <w:p w14:paraId="00001983" w14:textId="77777777" w:rsidR="00F664DB" w:rsidRPr="00285D58" w:rsidRDefault="00F664DB" w:rsidP="008D1FFF">
      <w:pPr>
        <w:spacing w:line="276" w:lineRule="auto"/>
        <w:jc w:val="both"/>
        <w:rPr>
          <w:rFonts w:asciiTheme="minorHAnsi" w:eastAsia="Calibri" w:hAnsiTheme="minorHAnsi" w:cstheme="minorHAnsi"/>
        </w:rPr>
      </w:pPr>
    </w:p>
    <w:p w14:paraId="00001984" w14:textId="3904F898"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verificaciones de irregularidades estructurales en Altura se indican en la Tabla Nº 8 de la Norma E.030 y las verificaciones de irregularidades en Planta se indican en la Tabla Nº 9 de la Norma E.030, es importante señalar que el Anteproyecto de Estructuras guarda concordancia con el Anteproyecto de Arquitectura, en esta etapa ambas especialidades deben dar su aprobación al planteamiento preliminar. </w:t>
      </w:r>
    </w:p>
    <w:p w14:paraId="0EC1C041" w14:textId="39F939B5" w:rsidR="0061758D" w:rsidRPr="00285D58" w:rsidRDefault="0061758D" w:rsidP="008D1FFF">
      <w:pPr>
        <w:spacing w:line="276" w:lineRule="auto"/>
        <w:jc w:val="both"/>
        <w:rPr>
          <w:rFonts w:asciiTheme="minorHAnsi" w:eastAsia="Calibri" w:hAnsiTheme="minorHAnsi" w:cstheme="minorHAnsi"/>
        </w:rPr>
      </w:pPr>
    </w:p>
    <w:p w14:paraId="7084A45B" w14:textId="1E464A9A" w:rsidR="0061758D" w:rsidRPr="00285D58" w:rsidRDefault="0061758D" w:rsidP="0061758D">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5.2.4. Estudio del trazo de los caminos peatonales</w:t>
      </w:r>
    </w:p>
    <w:p w14:paraId="43B03969" w14:textId="20B88899" w:rsidR="0061758D" w:rsidRPr="00285D58" w:rsidRDefault="0061758D" w:rsidP="0061758D">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presentar la propuesta del trazo de los caminos peatonales que conectarán las estaciones del sistema de transporte por cable (estaciones de llegada) con los caminos de herradura existentes en base a las condiciones del terreno y a los requisitos establecidos en el Anexo 07. Deberá identificar las zonas de peligro y proponer medidas para evitar o disminuir los riesgos, asimismo las zonas donde implementará obras de drenaje, obras de protección, zonas de descanso, miradores, señaléticas, etc.  Para ello, deberá utilizar información principal obtenida a </w:t>
      </w:r>
      <w:r w:rsidRPr="00285D58">
        <w:rPr>
          <w:rFonts w:asciiTheme="minorHAnsi" w:eastAsia="Calibri" w:hAnsiTheme="minorHAnsi" w:cstheme="minorHAnsi"/>
        </w:rPr>
        <w:lastRenderedPageBreak/>
        <w:t xml:space="preserve">partir de los estudios preliminares o básicos del terreno, como el Estudio de Mecánica de suelos y el Levantamiento Topográfico; entre otros.  </w:t>
      </w:r>
    </w:p>
    <w:p w14:paraId="5A973F25" w14:textId="77777777" w:rsidR="0061758D" w:rsidRPr="00285D58" w:rsidRDefault="0061758D" w:rsidP="0061758D">
      <w:pPr>
        <w:spacing w:line="276" w:lineRule="auto"/>
        <w:jc w:val="both"/>
        <w:rPr>
          <w:rFonts w:asciiTheme="minorHAnsi" w:eastAsia="Calibri" w:hAnsiTheme="minorHAnsi" w:cstheme="minorHAnsi"/>
        </w:rPr>
      </w:pPr>
    </w:p>
    <w:p w14:paraId="6251128F" w14:textId="5F368F1E" w:rsidR="0061758D" w:rsidRPr="00285D58" w:rsidRDefault="0061758D" w:rsidP="0061758D">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del trazo de los caminos peatonales contendrá, como mínimo, los siguientes documentos: </w:t>
      </w:r>
    </w:p>
    <w:p w14:paraId="5B41DE13" w14:textId="6D212F0B"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general del trazo, la cual debe incluir</w:t>
      </w:r>
      <w:r w:rsidR="00862EC0"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 xml:space="preserve">la geometría y longitud del trazo, la ubicación de las </w:t>
      </w:r>
      <w:r w:rsidR="00862EC0" w:rsidRPr="00285D58">
        <w:rPr>
          <w:rFonts w:asciiTheme="minorHAnsi" w:eastAsia="Calibri" w:hAnsiTheme="minorHAnsi" w:cstheme="minorHAnsi"/>
          <w:color w:val="000000"/>
        </w:rPr>
        <w:t xml:space="preserve">zonas de descanso, de la señalización, de las obras de drenaje, obras de contención, obras de protección u otras que sean necesarias. Así </w:t>
      </w:r>
      <w:r w:rsidRPr="00285D58">
        <w:rPr>
          <w:rFonts w:asciiTheme="minorHAnsi" w:eastAsia="Calibri" w:hAnsiTheme="minorHAnsi" w:cstheme="minorHAnsi"/>
          <w:color w:val="000000"/>
        </w:rPr>
        <w:t xml:space="preserve">como sus respectivas </w:t>
      </w:r>
      <w:r w:rsidR="00862EC0" w:rsidRPr="00285D58">
        <w:rPr>
          <w:rFonts w:asciiTheme="minorHAnsi" w:eastAsia="Calibri" w:hAnsiTheme="minorHAnsi" w:cstheme="minorHAnsi"/>
          <w:color w:val="000000"/>
        </w:rPr>
        <w:t>progresivas y elevaciones.</w:t>
      </w:r>
      <w:r w:rsidRPr="00285D58">
        <w:rPr>
          <w:rFonts w:asciiTheme="minorHAnsi" w:eastAsia="Calibri" w:hAnsiTheme="minorHAnsi" w:cstheme="minorHAnsi"/>
          <w:color w:val="000000"/>
        </w:rPr>
        <w:t xml:space="preserve"> </w:t>
      </w:r>
    </w:p>
    <w:p w14:paraId="08F16ED9" w14:textId="1CEF4994"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del Trazo, la cual debe incluir el levantamiento planimétrico de una franja de </w:t>
      </w:r>
      <w:r w:rsidR="00862EC0" w:rsidRPr="00285D58">
        <w:rPr>
          <w:rFonts w:asciiTheme="minorHAnsi" w:eastAsia="Calibri" w:hAnsiTheme="minorHAnsi" w:cstheme="minorHAnsi"/>
          <w:color w:val="000000"/>
        </w:rPr>
        <w:t>10</w:t>
      </w:r>
      <w:r w:rsidRPr="00285D58">
        <w:rPr>
          <w:rFonts w:asciiTheme="minorHAnsi" w:eastAsia="Calibri" w:hAnsiTheme="minorHAnsi" w:cstheme="minorHAnsi"/>
          <w:color w:val="000000"/>
        </w:rPr>
        <w:t xml:space="preserve"> metros (</w:t>
      </w:r>
      <w:r w:rsidR="00862EC0" w:rsidRPr="00285D58">
        <w:rPr>
          <w:rFonts w:asciiTheme="minorHAnsi" w:eastAsia="Calibri" w:hAnsiTheme="minorHAnsi" w:cstheme="minorHAnsi"/>
          <w:color w:val="000000"/>
        </w:rPr>
        <w:t>5</w:t>
      </w:r>
      <w:r w:rsidRPr="00285D58">
        <w:rPr>
          <w:rFonts w:asciiTheme="minorHAnsi" w:eastAsia="Calibri" w:hAnsiTheme="minorHAnsi" w:cstheme="minorHAnsi"/>
          <w:color w:val="000000"/>
        </w:rPr>
        <w:t xml:space="preserve"> metros a cada lado del eje del trazo)</w:t>
      </w:r>
      <w:r w:rsidR="00862EC0"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 xml:space="preserve">a escala 1:5000, 1:7500 o 1:10000. </w:t>
      </w:r>
    </w:p>
    <w:p w14:paraId="31363C8C" w14:textId="0C3D0B83"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del Trazo</w:t>
      </w:r>
      <w:r w:rsidR="00862EC0" w:rsidRPr="00285D58">
        <w:rPr>
          <w:rFonts w:asciiTheme="minorHAnsi" w:eastAsia="Calibri" w:hAnsiTheme="minorHAnsi" w:cstheme="minorHAnsi"/>
          <w:color w:val="000000"/>
        </w:rPr>
        <w:t xml:space="preserve"> a </w:t>
      </w:r>
      <w:r w:rsidRPr="00285D58">
        <w:rPr>
          <w:rFonts w:asciiTheme="minorHAnsi" w:eastAsia="Calibri" w:hAnsiTheme="minorHAnsi" w:cstheme="minorHAnsi"/>
          <w:color w:val="000000"/>
        </w:rPr>
        <w:t>escala 1:5000, 1:7500 o 1:10000.</w:t>
      </w:r>
    </w:p>
    <w:p w14:paraId="08BD85CE" w14:textId="2E7E04DE" w:rsidR="0061758D" w:rsidRPr="00285D58" w:rsidRDefault="0061758D" w:rsidP="00A3732C">
      <w:pPr>
        <w:pStyle w:val="Prrafodelista"/>
        <w:widowControl/>
        <w:numPr>
          <w:ilvl w:val="0"/>
          <w:numId w:val="2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(con la ubicación y áreas requeridas para </w:t>
      </w:r>
      <w:r w:rsidR="00862EC0" w:rsidRPr="00285D58">
        <w:rPr>
          <w:rFonts w:asciiTheme="minorHAnsi" w:eastAsia="Calibri" w:hAnsiTheme="minorHAnsi" w:cstheme="minorHAnsi"/>
          <w:color w:val="000000"/>
        </w:rPr>
        <w:t xml:space="preserve">la construcción del camino). </w:t>
      </w:r>
      <w:r w:rsidRPr="00285D58">
        <w:rPr>
          <w:rFonts w:asciiTheme="minorHAnsi" w:eastAsia="Calibri" w:hAnsiTheme="minorHAnsi" w:cstheme="minorHAnsi"/>
          <w:color w:val="000000"/>
        </w:rPr>
        <w:t xml:space="preserve"> </w:t>
      </w:r>
    </w:p>
    <w:p w14:paraId="0000198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ETAPA III: ESTUDIO DEFINITIVO DE INGENIERÍA (EDI) </w:t>
      </w:r>
    </w:p>
    <w:p w14:paraId="0000198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las diferentes especialidades que componen los EDI con fines constructivos. </w:t>
      </w:r>
    </w:p>
    <w:p w14:paraId="00001989" w14:textId="77777777" w:rsidR="00F664DB" w:rsidRPr="00285D58" w:rsidRDefault="00F664DB" w:rsidP="008D1FFF">
      <w:pPr>
        <w:spacing w:line="276" w:lineRule="auto"/>
        <w:jc w:val="both"/>
        <w:rPr>
          <w:rFonts w:asciiTheme="minorHAnsi" w:eastAsia="Calibri" w:hAnsiTheme="minorHAnsi" w:cstheme="minorHAnsi"/>
        </w:rPr>
      </w:pPr>
    </w:p>
    <w:p w14:paraId="0000198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EDI comprenden la presentación del desarrollo del proyecto integral de las especialidades de Arquitectura, Seguridad y Evacuación ante Desastres, Estructuras, Instalaciones Sanitarias, Comunicaciones, Instalaciones Eléctricas y/o, Mecánicas e Instalaciones especiales (gas, voceo, cableado estructurado u otras correspondientes) debidamente compatibilizadas entre ellas, que incluyan los planos de obra, memorias descriptivas, memorias de cálculo.</w:t>
      </w:r>
    </w:p>
    <w:p w14:paraId="0000198B" w14:textId="77777777" w:rsidR="00F664DB" w:rsidRPr="00285D58" w:rsidRDefault="00F664DB" w:rsidP="008D1FFF">
      <w:pPr>
        <w:spacing w:line="276" w:lineRule="auto"/>
        <w:jc w:val="both"/>
        <w:rPr>
          <w:rFonts w:asciiTheme="minorHAnsi" w:eastAsia="Calibri" w:hAnsiTheme="minorHAnsi" w:cstheme="minorHAnsi"/>
        </w:rPr>
      </w:pPr>
    </w:p>
    <w:p w14:paraId="0000198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 cada especialidad, lo cual será determinado por el propio CONCESIONARIO bajo su responsabilidad. </w:t>
      </w:r>
    </w:p>
    <w:p w14:paraId="0000198D" w14:textId="77777777" w:rsidR="00F664DB" w:rsidRPr="00285D58" w:rsidRDefault="00F664DB" w:rsidP="008D1FFF">
      <w:pPr>
        <w:spacing w:line="276" w:lineRule="auto"/>
        <w:jc w:val="both"/>
        <w:rPr>
          <w:rFonts w:asciiTheme="minorHAnsi" w:eastAsia="Calibri" w:hAnsiTheme="minorHAnsi" w:cstheme="minorHAnsi"/>
        </w:rPr>
      </w:pPr>
    </w:p>
    <w:p w14:paraId="0000198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constarán de las siguientes especialidades: </w:t>
      </w:r>
    </w:p>
    <w:p w14:paraId="0000198F" w14:textId="77777777" w:rsidR="00F664DB" w:rsidRPr="00285D58" w:rsidRDefault="00F664DB" w:rsidP="008D1FFF">
      <w:pPr>
        <w:spacing w:line="276" w:lineRule="auto"/>
        <w:jc w:val="both"/>
        <w:rPr>
          <w:rFonts w:asciiTheme="minorHAnsi" w:eastAsia="Calibri" w:hAnsiTheme="minorHAnsi" w:cstheme="minorHAnsi"/>
        </w:rPr>
      </w:pPr>
    </w:p>
    <w:p w14:paraId="0000199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5.3.1. ESTUDIO ELECTROMECÁNICO</w:t>
      </w:r>
      <w:r w:rsidRPr="00285D58">
        <w:rPr>
          <w:rFonts w:asciiTheme="minorHAnsi" w:eastAsia="Calibri" w:hAnsiTheme="minorHAnsi" w:cstheme="minorHAnsi"/>
          <w:vertAlign w:val="superscript"/>
        </w:rPr>
        <w:footnoteReference w:id="8"/>
      </w:r>
    </w:p>
    <w:p w14:paraId="00001991" w14:textId="070B2F8E"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cálculos, diseño y especificaciones técnicas de las Instalaciones Electromecánicas del Teleférico para el trazo definido en el Estudio del Trazo, de acuerdo con la normativa internacional aplicable de Instalaciones de Transporte por Cable. En general, este estudio deberá ser provisto por el fabricante o proveedor </w:t>
      </w:r>
      <w:r w:rsidR="00502E7E" w:rsidRPr="00285D58">
        <w:rPr>
          <w:rFonts w:asciiTheme="minorHAnsi" w:eastAsia="Calibri" w:hAnsiTheme="minorHAnsi" w:cstheme="minorHAnsi"/>
        </w:rPr>
        <w:t>electromecánico,</w:t>
      </w:r>
      <w:r w:rsidRPr="00285D58">
        <w:rPr>
          <w:rFonts w:asciiTheme="minorHAnsi" w:eastAsia="Calibri" w:hAnsiTheme="minorHAnsi" w:cstheme="minorHAnsi"/>
        </w:rPr>
        <w:t xml:space="preserve"> y deberá incluir el diseño integral de la totalidad de sus componentes, tales como:</w:t>
      </w:r>
    </w:p>
    <w:p w14:paraId="00001992" w14:textId="77777777" w:rsidR="00F664DB" w:rsidRPr="00285D58" w:rsidRDefault="00F664DB" w:rsidP="008D1FFF">
      <w:pPr>
        <w:spacing w:line="276" w:lineRule="auto"/>
        <w:jc w:val="both"/>
        <w:rPr>
          <w:rFonts w:asciiTheme="minorHAnsi" w:eastAsia="Calibri" w:hAnsiTheme="minorHAnsi" w:cstheme="minorHAnsi"/>
        </w:rPr>
      </w:pPr>
    </w:p>
    <w:p w14:paraId="00001993"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00001994"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00001995"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w:t>
      </w:r>
    </w:p>
    <w:p w14:paraId="00001996"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Dispositivos de tensión de los cables </w:t>
      </w:r>
    </w:p>
    <w:p w14:paraId="00001997"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00001998" w14:textId="77777777" w:rsidR="00F664DB" w:rsidRPr="00285D58" w:rsidRDefault="006049C1" w:rsidP="00A3732C">
      <w:pPr>
        <w:widowControl/>
        <w:numPr>
          <w:ilvl w:val="1"/>
          <w:numId w:val="1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00001999"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0000199A"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0000199B"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0000199C"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0000199D" w14:textId="77777777" w:rsidR="00F664DB" w:rsidRPr="00285D58" w:rsidRDefault="006049C1" w:rsidP="00A3732C">
      <w:pPr>
        <w:widowControl/>
        <w:numPr>
          <w:ilvl w:val="0"/>
          <w:numId w:val="1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0000199E"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000199F"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000019A0"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000019A1" w14:textId="77777777" w:rsidR="00F664DB" w:rsidRPr="00285D58" w:rsidRDefault="006049C1" w:rsidP="00A3732C">
      <w:pPr>
        <w:widowControl/>
        <w:numPr>
          <w:ilvl w:val="0"/>
          <w:numId w:val="1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000019A2" w14:textId="77777777" w:rsidR="00F664DB" w:rsidRPr="00285D58" w:rsidRDefault="006049C1" w:rsidP="00A3732C">
      <w:pPr>
        <w:widowControl/>
        <w:numPr>
          <w:ilvl w:val="0"/>
          <w:numId w:val="1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000019A3" w14:textId="77777777" w:rsidR="00F664DB" w:rsidRPr="00285D58" w:rsidRDefault="006049C1" w:rsidP="00A3732C">
      <w:pPr>
        <w:widowControl/>
        <w:numPr>
          <w:ilvl w:val="0"/>
          <w:numId w:val="1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000019A4" w14:textId="532C2151" w:rsidR="00F664DB" w:rsidRPr="00285D58" w:rsidRDefault="006049C1" w:rsidP="00A3732C">
      <w:pPr>
        <w:widowControl/>
        <w:numPr>
          <w:ilvl w:val="0"/>
          <w:numId w:val="1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000019A5" w14:textId="77777777" w:rsidR="00F664DB" w:rsidRPr="00285D58" w:rsidRDefault="00F664DB" w:rsidP="008D1FFF">
      <w:pPr>
        <w:spacing w:line="276" w:lineRule="auto"/>
        <w:jc w:val="both"/>
        <w:rPr>
          <w:rFonts w:asciiTheme="minorHAnsi" w:eastAsia="Calibri" w:hAnsiTheme="minorHAnsi" w:cstheme="minorHAnsi"/>
        </w:rPr>
      </w:pPr>
    </w:p>
    <w:p w14:paraId="000019A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comprende el diseño de las pilonas, macizos de apoyo de equipos en estaciones, sistema de control, sistemas hidráulicos o de aire, sistemas de información, y comunicaciones y otras partes, mecanismos o elementos de cualquier índole, que sean necesario para el adecuado funcionamiento del teleférico.</w:t>
      </w:r>
    </w:p>
    <w:p w14:paraId="000019A7" w14:textId="77777777" w:rsidR="00F664DB" w:rsidRPr="00285D58" w:rsidRDefault="00F664DB" w:rsidP="008D1FFF">
      <w:pPr>
        <w:spacing w:line="276" w:lineRule="auto"/>
        <w:jc w:val="both"/>
        <w:rPr>
          <w:rFonts w:asciiTheme="minorHAnsi" w:eastAsia="Calibri" w:hAnsiTheme="minorHAnsi" w:cstheme="minorHAnsi"/>
        </w:rPr>
      </w:pPr>
    </w:p>
    <w:p w14:paraId="000019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Estudio Electromecánico deberá contener como mínimo:</w:t>
      </w:r>
    </w:p>
    <w:p w14:paraId="000019A9" w14:textId="77777777" w:rsidR="00F664DB" w:rsidRPr="00285D58" w:rsidRDefault="00F664DB" w:rsidP="008D1FFF">
      <w:pPr>
        <w:spacing w:line="276" w:lineRule="auto"/>
        <w:jc w:val="both"/>
        <w:rPr>
          <w:rFonts w:asciiTheme="minorHAnsi" w:eastAsia="Calibri" w:hAnsiTheme="minorHAnsi" w:cstheme="minorHAnsi"/>
        </w:rPr>
      </w:pPr>
    </w:p>
    <w:p w14:paraId="000019AA" w14:textId="5F070C3F"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que incluya una descripción de la tecnología, el número de estaciones, longitud del trazo, diámetro de los cables, capacidad de diseño, demanda estimada, capacidad por cabina, velocidad máxima del sistema, numero de cabinas, numero de pilonas, tiempo de viaje por sentido, oferta del sistema, frecuencia de viaje, entre otros</w:t>
      </w:r>
    </w:p>
    <w:p w14:paraId="000019AB" w14:textId="2C6DB55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 cálculo. Que incluya los cálculos justificativos de las características técnicas del teleférico, de las pilonas, de las estructuras de apoyo, y otros elementos que se requieran para el adecuado funcionamiento del teleférico</w:t>
      </w:r>
    </w:p>
    <w:p w14:paraId="000019AC" w14:textId="326C6F98"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 del fabricante</w:t>
      </w:r>
    </w:p>
    <w:p w14:paraId="000019AD" w14:textId="7777777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de Montaje </w:t>
      </w:r>
    </w:p>
    <w:p w14:paraId="000019AE" w14:textId="0501E4C7"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Operación y Mantenimiento</w:t>
      </w:r>
    </w:p>
    <w:p w14:paraId="000019AF" w14:textId="37A0DDF5" w:rsidR="00F664DB" w:rsidRPr="00285D58" w:rsidRDefault="006049C1" w:rsidP="00A3732C">
      <w:pPr>
        <w:pStyle w:val="Prrafodelista"/>
        <w:widowControl/>
        <w:numPr>
          <w:ilvl w:val="0"/>
          <w:numId w:val="22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Explotación o Plan de Operación de las instalaciones</w:t>
      </w:r>
    </w:p>
    <w:p w14:paraId="000019B0"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B1" w14:textId="2952F8AC"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específicos de cimentación, estructuras o macizos de soporte de los componentes electromecánicos del teleférico a una escala conveniente 1/25, 1/50, 1/20, 1/10 o lo que se requiera</w:t>
      </w:r>
    </w:p>
    <w:p w14:paraId="000019B2" w14:textId="6A91EE33"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Planta General del Trazo, la cual debe incluir el levantamiento planimétrico de una franja de 20 metros (10 metros a cada lado del eje del trazo), </w:t>
      </w:r>
      <w:r w:rsidRPr="00285D58">
        <w:rPr>
          <w:rFonts w:asciiTheme="minorHAnsi" w:eastAsia="Calibri" w:hAnsiTheme="minorHAnsi" w:cstheme="minorHAnsi"/>
          <w:color w:val="000000"/>
        </w:rPr>
        <w:lastRenderedPageBreak/>
        <w:t>así como la ubicación de las estaciones y pilonas a escala 1:5000, 1:7500 o 1:10000</w:t>
      </w:r>
    </w:p>
    <w:p w14:paraId="000019B3" w14:textId="7B6C0765"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Perfil Longitudinal del Trazo, que incluya la ubicación de las estaciones y pilonas. Adicionalmente, debe mostrar dos (02) perfiles longitudinales adicionales a 7.50 m de separación a cada lado del eje del trazo a escala 1:5000, 1:7500 o 1:10000</w:t>
      </w:r>
    </w:p>
    <w:p w14:paraId="000019B4" w14:textId="02FFE0E9"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Planta General de Distribución de las Estaciones (con la distribución de toso los componentes del teleférico) a escala 1:100</w:t>
      </w:r>
    </w:p>
    <w:p w14:paraId="000019B5" w14:textId="77777777" w:rsidR="00F664DB" w:rsidRPr="00285D58" w:rsidRDefault="00F664DB" w:rsidP="008D1FFF">
      <w:pPr>
        <w:spacing w:line="276" w:lineRule="auto"/>
        <w:jc w:val="both"/>
        <w:rPr>
          <w:rFonts w:asciiTheme="minorHAnsi" w:eastAsia="Calibri" w:hAnsiTheme="minorHAnsi" w:cstheme="minorHAnsi"/>
        </w:rPr>
      </w:pPr>
    </w:p>
    <w:p w14:paraId="000019B6" w14:textId="77777777" w:rsidR="00F664DB" w:rsidRPr="00285D58" w:rsidRDefault="00F664DB" w:rsidP="008D1FFF">
      <w:pPr>
        <w:spacing w:line="276" w:lineRule="auto"/>
        <w:jc w:val="both"/>
        <w:rPr>
          <w:rFonts w:asciiTheme="minorHAnsi" w:eastAsia="Calibri" w:hAnsiTheme="minorHAnsi" w:cstheme="minorHAnsi"/>
        </w:rPr>
      </w:pPr>
    </w:p>
    <w:p w14:paraId="000019B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ESPECIALIDAD DE ARQUITECTURA </w:t>
      </w:r>
    </w:p>
    <w:p w14:paraId="000019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definición a nivel constructivo del anteproyecto aprobado e incluye todos los documentos necesarios para su definición y construcción, así como (i) la descripción del proyecto y áreas, especificaciones técnicas, planos, acabados de obra, compatibilización de especialidades, (ii) el análisis térmico de la envolvente de cada edificación y el cálculo de transmitancias de los elementos constructivos correspondientes, y (iii) un análisis solar con el asolamiento, generación de sombras e incidencia de luz solar de cada edificación. </w:t>
      </w:r>
    </w:p>
    <w:p w14:paraId="000019B9" w14:textId="77777777" w:rsidR="00F664DB" w:rsidRPr="00285D58" w:rsidRDefault="00F664DB" w:rsidP="008D1FFF">
      <w:pPr>
        <w:spacing w:line="276" w:lineRule="auto"/>
        <w:jc w:val="both"/>
        <w:rPr>
          <w:rFonts w:asciiTheme="minorHAnsi" w:eastAsia="Calibri" w:hAnsiTheme="minorHAnsi" w:cstheme="minorHAnsi"/>
        </w:rPr>
      </w:pPr>
    </w:p>
    <w:p w14:paraId="000019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elaboración del EDI de arquitectura debe cumplir con las Leyes y Disposiciones Aplicables. El EDI de arquitectura contendrá lo siguiente:</w:t>
      </w:r>
    </w:p>
    <w:p w14:paraId="000019BB" w14:textId="77777777" w:rsidR="00F664DB" w:rsidRPr="00285D58" w:rsidRDefault="00F664DB" w:rsidP="008D1FFF">
      <w:pPr>
        <w:spacing w:line="276" w:lineRule="auto"/>
        <w:jc w:val="both"/>
        <w:rPr>
          <w:rFonts w:asciiTheme="minorHAnsi" w:eastAsia="Calibri" w:hAnsiTheme="minorHAnsi" w:cstheme="minorHAnsi"/>
        </w:rPr>
      </w:pPr>
    </w:p>
    <w:p w14:paraId="000019BC"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9BD"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w:t>
      </w:r>
    </w:p>
    <w:p w14:paraId="000019BE"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aparatos sanitarios</w:t>
      </w:r>
    </w:p>
    <w:p w14:paraId="000019BF"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estacionamientos</w:t>
      </w:r>
    </w:p>
    <w:p w14:paraId="000019C0"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cuarto de residuos sólidos</w:t>
      </w:r>
    </w:p>
    <w:p w14:paraId="000019C1"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Dimensionamiento de ancho de circulaciones</w:t>
      </w:r>
    </w:p>
    <w:p w14:paraId="000019C2"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comparativo de metas de proyecto, EDI y Normativa</w:t>
      </w:r>
    </w:p>
    <w:p w14:paraId="000019C3"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térmico de las edificaciones</w:t>
      </w:r>
    </w:p>
    <w:p w14:paraId="000019C4"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asolamiento solar</w:t>
      </w:r>
    </w:p>
    <w:p w14:paraId="000019C5" w14:textId="21631B29"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índice de ocupación por ambiente </w:t>
      </w:r>
      <w:r w:rsidR="00502E7E" w:rsidRPr="00285D58">
        <w:rPr>
          <w:rFonts w:asciiTheme="minorHAnsi" w:eastAsia="Calibri" w:hAnsiTheme="minorHAnsi" w:cstheme="minorHAnsi"/>
          <w:color w:val="000000"/>
        </w:rPr>
        <w:t>de acuerdo con el</w:t>
      </w:r>
      <w:r w:rsidRPr="00285D58">
        <w:rPr>
          <w:rFonts w:asciiTheme="minorHAnsi" w:eastAsia="Calibri" w:hAnsiTheme="minorHAnsi" w:cstheme="minorHAnsi"/>
          <w:color w:val="000000"/>
        </w:rPr>
        <w:t xml:space="preserve"> programa arquitectónico definitivo considerado por el Concesionario</w:t>
      </w:r>
    </w:p>
    <w:p w14:paraId="000019C6"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acabados</w:t>
      </w:r>
    </w:p>
    <w:p w14:paraId="000019C7"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Planteamiento de soluciones técnicas para cambios de niveles</w:t>
      </w:r>
    </w:p>
    <w:p w14:paraId="000019C8" w14:textId="04BAAC39"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condicionantes externos q</w:t>
      </w:r>
      <w:r w:rsidR="00200C19" w:rsidRPr="00285D58">
        <w:rPr>
          <w:rFonts w:asciiTheme="minorHAnsi" w:eastAsia="Calibri" w:hAnsiTheme="minorHAnsi" w:cstheme="minorHAnsi"/>
          <w:color w:val="000000"/>
        </w:rPr>
        <w:t>ue</w:t>
      </w:r>
      <w:r w:rsidRPr="00285D58">
        <w:rPr>
          <w:rFonts w:asciiTheme="minorHAnsi" w:eastAsia="Calibri" w:hAnsiTheme="minorHAnsi" w:cstheme="minorHAnsi"/>
          <w:color w:val="000000"/>
        </w:rPr>
        <w:t xml:space="preserve"> influyen para la implementación de la infraestructura arquitectónico</w:t>
      </w:r>
    </w:p>
    <w:p w14:paraId="000019C9"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w:t>
      </w:r>
    </w:p>
    <w:p w14:paraId="000019CA" w14:textId="741F33A8"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estrategias proyectuales</w:t>
      </w:r>
    </w:p>
    <w:p w14:paraId="000019CB"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9CC"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9CD"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9CE"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Estrategias de ubicación de las áreas administrativas </w:t>
      </w:r>
    </w:p>
    <w:p w14:paraId="000019CF"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9D0" w14:textId="652FAEE3"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Estrategias de ubicación del equipamiento específico para el correcto funcionamiento de los teleféricos, etc</w:t>
      </w:r>
    </w:p>
    <w:p w14:paraId="000019D1"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áreas de expansión para consideraciones futuras (cuando sea factible) </w:t>
      </w:r>
    </w:p>
    <w:p w14:paraId="000019D2"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D3"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9D4" w14:textId="77777777" w:rsidR="00F664DB" w:rsidRPr="00285D58" w:rsidRDefault="006049C1" w:rsidP="00A3732C">
      <w:pPr>
        <w:pStyle w:val="Prrafodelista"/>
        <w:widowControl/>
        <w:numPr>
          <w:ilvl w:val="0"/>
          <w:numId w:val="2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D5"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y Ubicación de acuerdo con la norma vigente en escala 1:500, 1:10,000, según corresponda.</w:t>
      </w:r>
    </w:p>
    <w:p w14:paraId="000019D6"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Distribución General a escala 1:100, indicando inicio de trazado, BM, cotas, niveles, planos de referencia, deberá contener ejes, cotas de niveles, orientación, cortes y elevaciones, especificación de detalles constructivos (como mínimo, dos (2) cortes longitudinales y dos (2) cortes transversales. En caso de considerarlo necesario, el CONCESIONARIO podrá acordar con el SUPERVISOR incrementar la cantidad de cortes y elevaciones. Plano de Ejes y Terrazas a escala 1:100, indicando el inicio del trazado, el BM y los ejes de placas o columnas, muros de contención, pircas, relleno de terreno, ejes y cotas, etc. </w:t>
      </w:r>
    </w:p>
    <w:p w14:paraId="000019D7"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obras exteriores (patios, veredas, losas deportivas, etc.) a escala 1:100, indicando nombre, nivel, acabados, coberturas, mobiliario, vegetación, especificación de detalles constructivos, etc. La propuesta de vegetación debe considerar las condiciones particulares de la zona.</w:t>
      </w:r>
    </w:p>
    <w:p w14:paraId="000019D8" w14:textId="77777777" w:rsidR="00F664DB" w:rsidRPr="00285D58" w:rsidRDefault="006049C1" w:rsidP="00A3732C">
      <w:pPr>
        <w:pStyle w:val="Prrafodelista"/>
        <w:widowControl/>
        <w:numPr>
          <w:ilvl w:val="0"/>
          <w:numId w:val="2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Detalles constructivos de obra (Escala 1/25, 1/20, 1/10, etc.), deben contener como mínimo, los detalles constructivos de puertas, ventanas, carpintería de cristal, metálica y de madera, pisos, techos y coberturas, cuadro de acabados, baños, vestidores, escaleras, rampas, cielo rasos, mobiliario fijo, elementos exteriores (jardineras, bancas, sardineles, muros, etc.), elementos de evacuación pluvial (canaletas, montantes, cunetas, etc.) y todo detalle que permita comprender las características de los elementos constructivos que serán considerados en la obra. </w:t>
      </w:r>
    </w:p>
    <w:p w14:paraId="000019D9" w14:textId="77777777" w:rsidR="00F664DB" w:rsidRPr="00285D58" w:rsidRDefault="00F664DB" w:rsidP="008D1FFF">
      <w:pPr>
        <w:spacing w:line="276" w:lineRule="auto"/>
        <w:jc w:val="both"/>
        <w:rPr>
          <w:rFonts w:asciiTheme="minorHAnsi" w:eastAsia="Calibri" w:hAnsiTheme="minorHAnsi" w:cstheme="minorHAnsi"/>
        </w:rPr>
      </w:pPr>
    </w:p>
    <w:p w14:paraId="000019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5.3.3. ESPECIALIDAD DE SEGURIDAD Y EVACUACIÓN ANTE DESASTRES </w:t>
      </w:r>
    </w:p>
    <w:p w14:paraId="000019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rutas de evacuación, cálculo de aforo, señalización y elementos de seguridad indicando ubicación de mobiliario, equipos, así como todos los elementos indicados en el presente apartado.</w:t>
      </w:r>
    </w:p>
    <w:p w14:paraId="000019DC" w14:textId="77777777" w:rsidR="00F664DB" w:rsidRPr="00285D58" w:rsidRDefault="00F664DB" w:rsidP="008D1FFF">
      <w:pPr>
        <w:spacing w:line="276" w:lineRule="auto"/>
        <w:jc w:val="both"/>
        <w:rPr>
          <w:rFonts w:asciiTheme="minorHAnsi" w:eastAsia="Calibri" w:hAnsiTheme="minorHAnsi" w:cstheme="minorHAnsi"/>
        </w:rPr>
      </w:pPr>
    </w:p>
    <w:p w14:paraId="000019D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comprende el plano de señalización, evacuación (indicando la ubicación de mobiliario y equipos) y plan de seguridad del proyecto arquitectónico, según las Leyes y Disposiciones Aplicables sobre seguridad en estructuras y edificaciones, indicando el cálculo de evacuación máxima de demanda y otros. Los planos de evacuación y seguridad se realizarán a escala 1/50,1/25,1/10,1/5, según se requiera, y llevarán la denominación ‘EVS’, en el que se identificarán rutas, flujos, capacidad del ambiente y zonas de seguridad. Las rutas de evacuación se presentarán con líneas </w:t>
      </w:r>
      <w:r w:rsidRPr="00285D58">
        <w:rPr>
          <w:rFonts w:asciiTheme="minorHAnsi" w:eastAsia="Calibri" w:hAnsiTheme="minorHAnsi" w:cstheme="minorHAnsi"/>
        </w:rPr>
        <w:lastRenderedPageBreak/>
        <w:t xml:space="preserve">continuas y a colores, utilizando letras o números que indicarán la capacidad por ruta y la capacidad total del local de las estaciones. Asimismo, el entregable deberá considerar el cálculo de evacuación de todas las rutas. </w:t>
      </w:r>
    </w:p>
    <w:p w14:paraId="000019D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Seguridad y Evacuación ante Desastres contendrá lo siguiente: </w:t>
      </w:r>
    </w:p>
    <w:p w14:paraId="000019E0" w14:textId="77777777" w:rsidR="00F664DB" w:rsidRPr="00285D58" w:rsidRDefault="00F664DB" w:rsidP="008D1FFF">
      <w:pPr>
        <w:spacing w:line="276" w:lineRule="auto"/>
        <w:jc w:val="both"/>
        <w:rPr>
          <w:rFonts w:asciiTheme="minorHAnsi" w:eastAsia="Calibri" w:hAnsiTheme="minorHAnsi" w:cstheme="minorHAnsi"/>
        </w:rPr>
      </w:pPr>
    </w:p>
    <w:p w14:paraId="000019E1" w14:textId="7D6B030D"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 Incluirá el desarrollo de: escaleras, rutas de evacuación, sistemas de Seguridad, señalética, sistemas de control y protección contra incendios, especificaciones técnicas; así como características de equipos de seguridad: Puertas de evacuación, Barreras resistentes al fuego, sellos resistentes al fuego, señalización, luces de emergencia, extintores, etc., con los respectivos cálculos según las Leyes y Disposiciones Aplicables, incluyendo como parte del diseño, el cálculo de número de equipos de seguridad, </w:t>
      </w:r>
      <w:sdt>
        <w:sdtPr>
          <w:rPr>
            <w:rFonts w:asciiTheme="minorHAnsi" w:hAnsiTheme="minorHAnsi" w:cstheme="minorHAnsi"/>
          </w:rPr>
          <w:tag w:val="goog_rdk_150"/>
          <w:id w:val="1043799783"/>
        </w:sdtPr>
        <w:sdtContent/>
      </w:sdt>
      <w:sdt>
        <w:sdtPr>
          <w:rPr>
            <w:rFonts w:asciiTheme="minorHAnsi" w:hAnsiTheme="minorHAnsi" w:cstheme="minorHAnsi"/>
          </w:rPr>
          <w:tag w:val="goog_rdk_151"/>
          <w:id w:val="-798766200"/>
        </w:sdtPr>
        <w:sdtContent/>
      </w:sdt>
      <w:r w:rsidRPr="00285D58">
        <w:rPr>
          <w:rFonts w:asciiTheme="minorHAnsi" w:eastAsia="Calibri" w:hAnsiTheme="minorHAnsi" w:cstheme="minorHAnsi"/>
          <w:color w:val="000000"/>
        </w:rPr>
        <w:t xml:space="preserve">cálculo </w:t>
      </w:r>
      <w:sdt>
        <w:sdtPr>
          <w:rPr>
            <w:rFonts w:asciiTheme="minorHAnsi" w:hAnsiTheme="minorHAnsi" w:cstheme="minorHAnsi"/>
          </w:rPr>
          <w:tag w:val="goog_rdk_152"/>
          <w:id w:val="1628587289"/>
        </w:sdtPr>
        <w:sdtContent>
          <w:r w:rsidRPr="00285D58">
            <w:rPr>
              <w:rFonts w:asciiTheme="minorHAnsi" w:eastAsia="Calibri" w:hAnsiTheme="minorHAnsi" w:cstheme="minorHAnsi"/>
              <w:color w:val="000000"/>
            </w:rPr>
            <w:t xml:space="preserve">de aforo y </w:t>
          </w:r>
        </w:sdtContent>
      </w:sdt>
      <w:sdt>
        <w:sdtPr>
          <w:rPr>
            <w:rFonts w:asciiTheme="minorHAnsi" w:hAnsiTheme="minorHAnsi" w:cstheme="minorHAnsi"/>
          </w:rPr>
          <w:tag w:val="goog_rdk_153"/>
          <w:id w:val="779767844"/>
          <w:showingPlcHdr/>
        </w:sdtPr>
        <w:sdtContent>
          <w:r w:rsidR="00771A0E" w:rsidRPr="00285D58">
            <w:rPr>
              <w:rFonts w:asciiTheme="minorHAnsi" w:hAnsiTheme="minorHAnsi" w:cstheme="minorHAnsi"/>
            </w:rPr>
            <w:t xml:space="preserve">     </w:t>
          </w:r>
        </w:sdtContent>
      </w:sdt>
      <w:r w:rsidRPr="00285D58">
        <w:rPr>
          <w:rFonts w:asciiTheme="minorHAnsi" w:eastAsia="Calibri" w:hAnsiTheme="minorHAnsi" w:cstheme="minorHAnsi"/>
          <w:color w:val="000000"/>
        </w:rPr>
        <w:t xml:space="preserve">tiempo de evacuación especificado para cada ruta de escape, los que deben ser presentadas en cada uno de los planos representativos. </w:t>
      </w:r>
    </w:p>
    <w:p w14:paraId="000019E2"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de Seguridad y Evacuación. - Incluirá el desarrollo y contenido requerido para obtener las autorizaciones sobre defensa civil por la municipalidad correspondiente, conforme a las Leyes y Disposiciones Aplicables. </w:t>
      </w:r>
    </w:p>
    <w:p w14:paraId="000019E3"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E4"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9E5"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E6"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evacuación por nivel. - deberá incluir: mobiliarios respectivos, diagramas unifilares, además Certificados de puesta a tierra y operatividad de extintores y Considerar plano se seguridad (señalética, extintores, etc.) </w:t>
      </w:r>
    </w:p>
    <w:p w14:paraId="000019E7"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evacuación general. </w:t>
      </w:r>
    </w:p>
    <w:p w14:paraId="000019E8"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mobiliario.</w:t>
      </w:r>
    </w:p>
    <w:p w14:paraId="000019E9"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w:t>
      </w:r>
    </w:p>
    <w:p w14:paraId="000019EA" w14:textId="77777777" w:rsidR="00F664DB" w:rsidRPr="00285D58" w:rsidRDefault="006049C1" w:rsidP="00A3732C">
      <w:pPr>
        <w:pStyle w:val="Prrafodelista"/>
        <w:widowControl/>
        <w:numPr>
          <w:ilvl w:val="0"/>
          <w:numId w:val="2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seguridad. - señalética, estaciones de alarma manual, ubicación de extintores, gabinetes contra incendios, areneros, luminarias y sonorización. </w:t>
      </w:r>
    </w:p>
    <w:p w14:paraId="000019EB" w14:textId="77777777" w:rsidR="00F664DB" w:rsidRPr="00285D58" w:rsidRDefault="00F664DB" w:rsidP="008D1FFF">
      <w:pPr>
        <w:spacing w:line="276" w:lineRule="auto"/>
        <w:jc w:val="both"/>
        <w:rPr>
          <w:rFonts w:asciiTheme="minorHAnsi" w:eastAsia="Calibri" w:hAnsiTheme="minorHAnsi" w:cstheme="minorHAnsi"/>
        </w:rPr>
      </w:pPr>
    </w:p>
    <w:p w14:paraId="000019E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Como parte del expediente técnico del Proyecto, a presentarse antes del plazo previsto para la finalización de la Puesta en Marcha, el Concesionario presentará Certificados de puesta a tierra y operatividad de extintores. </w:t>
      </w:r>
    </w:p>
    <w:p w14:paraId="000019ED" w14:textId="77777777" w:rsidR="00F664DB" w:rsidRPr="00285D58" w:rsidRDefault="00F664DB" w:rsidP="008D1FFF">
      <w:pPr>
        <w:spacing w:line="276" w:lineRule="auto"/>
        <w:jc w:val="both"/>
        <w:rPr>
          <w:rFonts w:asciiTheme="minorHAnsi" w:eastAsia="Calibri" w:hAnsiTheme="minorHAnsi" w:cstheme="minorHAnsi"/>
        </w:rPr>
      </w:pPr>
    </w:p>
    <w:p w14:paraId="000019E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5.3.4. ESPECIALIDAD DE ESTRUCTURAS</w:t>
      </w:r>
    </w:p>
    <w:p w14:paraId="000019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todos los elementos estructurales que comprende las obras nuevas tanto para las estaciones, como para las obras exteriores (cimentación de torres, cercos perimétricos, muros de contención, portadas de ingreso, cisterna, etc.), tomando como información básica el Estudio de Mecánica de suelos, el anteproyecto ,levantamiento topográfico y estudio de evaluación de riesgos, debiendo definir la alternativa de cimentación más idónea a utilizar, determinando las profundidades de cimentación de las infraestructuras, especificaciones técnicas de los materiales, si hubiera necesidad de aditivos, de igual manera indicará el tratamiento que se deberá dar a la </w:t>
      </w:r>
      <w:r w:rsidRPr="00285D58">
        <w:rPr>
          <w:rFonts w:asciiTheme="minorHAnsi" w:eastAsia="Calibri" w:hAnsiTheme="minorHAnsi" w:cstheme="minorHAnsi"/>
        </w:rPr>
        <w:lastRenderedPageBreak/>
        <w:t>subrasante de pavimentos de acceso peatonal y vehicular, de acuerdo con las exigencias del Estudio de Suelos. Asimismo, sin importar el tipo de material que se considere en la solución estructural se debe cumplir con lo establecido conforme a las Leyes y Disposiciones Aplicables sobre diseño de concreto y estructuras metálicas, conforme a lo establecido en el Numeral 2.1 del Apéndice 1 del presente anexo.</w:t>
      </w:r>
    </w:p>
    <w:p w14:paraId="000019F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contemplarán partidas de seguridad, apuntalamientos a las zonas de trabajo, recomendaciones necesarias indicando proceso constructivo a seguir para garantizar la estabilidad de las estructuras. </w:t>
      </w:r>
    </w:p>
    <w:p w14:paraId="000019F2" w14:textId="77777777" w:rsidR="00F664DB" w:rsidRPr="00285D58" w:rsidRDefault="00F664DB" w:rsidP="008D1FFF">
      <w:pPr>
        <w:spacing w:line="276" w:lineRule="auto"/>
        <w:jc w:val="both"/>
        <w:rPr>
          <w:rFonts w:asciiTheme="minorHAnsi" w:eastAsia="Calibri" w:hAnsiTheme="minorHAnsi" w:cstheme="minorHAnsi"/>
        </w:rPr>
      </w:pPr>
    </w:p>
    <w:p w14:paraId="000019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la solución estructural se debe realizar el modelo estructural tridimensional utilizando software especializado para el análisis dinámico modal espectral de edificaciones. Se determinarán las solicitaciones máximas por análisis de gravedad y sísmicas que se presentarán en la estructura de acuerdo con las normas vigentes. Como resultado de este análisis, se determinarán los desplazamientos, los cuales deben ser menores que los umbrales permitidos por las Leyes y Disposiciones Aplicables sobre diseño sismorresistente.</w:t>
      </w:r>
    </w:p>
    <w:p w14:paraId="000019F4" w14:textId="77777777" w:rsidR="00F664DB" w:rsidRPr="00285D58" w:rsidRDefault="00F664DB" w:rsidP="008D1FFF">
      <w:pPr>
        <w:spacing w:line="276" w:lineRule="auto"/>
        <w:jc w:val="both"/>
        <w:rPr>
          <w:rFonts w:asciiTheme="minorHAnsi" w:eastAsia="Calibri" w:hAnsiTheme="minorHAnsi" w:cstheme="minorHAnsi"/>
        </w:rPr>
      </w:pPr>
    </w:p>
    <w:p w14:paraId="000019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Estructuras contendrá lo siguiente: </w:t>
      </w:r>
    </w:p>
    <w:p w14:paraId="000019F6"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w:t>
      </w:r>
    </w:p>
    <w:p w14:paraId="000019F7"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y modelamiento. En la memoria de cálculo se deben justificar los cálculos de las estructuras, mediante el análisis estructural y el diseño estructural de los elementos estructurales (zapata, columna, viga, placa, losa, etc.) </w:t>
      </w:r>
    </w:p>
    <w:p w14:paraId="000019F8"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9F9"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9FA" w14:textId="77777777" w:rsidR="00F664DB" w:rsidRPr="00285D58" w:rsidRDefault="006049C1" w:rsidP="00A3732C">
      <w:pPr>
        <w:pStyle w:val="Prrafodelista"/>
        <w:widowControl/>
        <w:numPr>
          <w:ilvl w:val="0"/>
          <w:numId w:val="2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9FB"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cimentación, columnas y placas, a una escala conveniente 1/25, 1/50, 1/20, 1/10 o lo que se requiera de todas las edificaciones que conforman el proyecto, incluyendo las torres de apoyo de los teleféricos, de acuerdo con normas vigentes. </w:t>
      </w:r>
    </w:p>
    <w:p w14:paraId="000019FC"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muros de contención, cisternas, calzaduras y escaleras con los detalles necesarios que permitan entender con claridad los alcances de su construcción, a una escala conveniente 1/25, 1/50, de todas las edificaciones que conforman el proyecto, incluyendo las torres de apoyo de los teleféricos, de acuerdo con normas vigentes. Para los muros de contención que cuenten con pendientes considerables, la presentación de planos debe ser en planta y perfil longitudinal, donde se muestre el nivel de terreno natural y proyectado, pendientes, distancias, y secciones a cada 10 metros donde se muestre todos los elementos que se encuentran en dicha sección. </w:t>
      </w:r>
    </w:p>
    <w:p w14:paraId="000019FD"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losas de entrepiso, techos y vigas con los detalles necesarios, a una escala conveniente 1/25, 1/50, de todas las edificaciones que conforman el proyecto, de acuerdo con las normas vigentes. </w:t>
      </w:r>
    </w:p>
    <w:p w14:paraId="000019FE"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cerco perimétrico (si se proyectasen) en el que se muestre el desarrollo en planta y elevación con las cotas de piso al interior y exterior. Para los cercos que cuenten con pendientes considerables, la presentación de planos </w:t>
      </w:r>
      <w:r w:rsidRPr="00285D58">
        <w:rPr>
          <w:rFonts w:asciiTheme="minorHAnsi" w:eastAsia="Calibri" w:hAnsiTheme="minorHAnsi" w:cstheme="minorHAnsi"/>
          <w:color w:val="000000"/>
        </w:rPr>
        <w:lastRenderedPageBreak/>
        <w:t xml:space="preserve">debe ser en planta y perfil longitudinal, donde se muestre el nivel de terreno natural y proyectado, pendientes, distancias y secciones cada 10 metros donde se muestre todos los elementos que se encuentran en dicha sección. </w:t>
      </w:r>
    </w:p>
    <w:p w14:paraId="000019FF"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portadas de ingreso (si se proyectasen) y elementos exteriores ya sea de patios, veredas, rampas, coberturas, canaletas, etc. en el que se muestre el desarrollo en planta, elevación y las necesarias que permitan conocer los alcances de su construcción. </w:t>
      </w:r>
    </w:p>
    <w:p w14:paraId="00001A00"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ascensores y recintos de equipos especiales los cuales deben ser coherentes con los espacios requeridos por el equipo propuesto, adjuntar las fichas técnicas correspondientes. </w:t>
      </w:r>
    </w:p>
    <w:p w14:paraId="00001A01" w14:textId="77777777" w:rsidR="00F664DB" w:rsidRPr="00285D58" w:rsidRDefault="006049C1" w:rsidP="008D1FFF">
      <w:pPr>
        <w:widowControl/>
        <w:numPr>
          <w:ilvl w:val="1"/>
          <w:numId w:val="3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general con detalles de distancias mínimas de empalmes, anclajes, traslapes y otros. </w:t>
      </w:r>
    </w:p>
    <w:p w14:paraId="00001A02" w14:textId="77777777" w:rsidR="00F664DB" w:rsidRPr="00285D58" w:rsidRDefault="00F664DB" w:rsidP="008D1FFF">
      <w:pPr>
        <w:spacing w:line="276" w:lineRule="auto"/>
        <w:jc w:val="both"/>
        <w:rPr>
          <w:rFonts w:asciiTheme="minorHAnsi" w:eastAsia="Calibri" w:hAnsiTheme="minorHAnsi" w:cstheme="minorHAnsi"/>
        </w:rPr>
      </w:pPr>
    </w:p>
    <w:p w14:paraId="00001A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 ESPECIALIDAD DE INSTALACIONES ELÉCTRICAS </w:t>
      </w:r>
    </w:p>
    <w:p w14:paraId="00001A04" w14:textId="77777777" w:rsidR="00F664DB" w:rsidRPr="00285D58" w:rsidRDefault="00F664DB" w:rsidP="008D1FFF">
      <w:pPr>
        <w:spacing w:line="276" w:lineRule="auto"/>
        <w:jc w:val="both"/>
        <w:rPr>
          <w:rFonts w:asciiTheme="minorHAnsi" w:eastAsia="Calibri" w:hAnsiTheme="minorHAnsi" w:cstheme="minorHAnsi"/>
          <w:b/>
        </w:rPr>
      </w:pPr>
    </w:p>
    <w:p w14:paraId="00001A0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5.3.5.1. INSTALACIONES ELÉCTRICAS DE BAJA TENSIÓN</w:t>
      </w:r>
    </w:p>
    <w:p w14:paraId="00001A0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del sistema eléctrico de baja tensión, incluyendo el cálculo de la máxima demanda, diseño de la red de alimentadores, circuitos derivados, estudio lumínico por ambiente, tomacorrientes, sistema de protección contra sobretensiones, protección contra descargas atmosféricas, sistema de puesta a tierra y cálculo de sistemas de protección. </w:t>
      </w:r>
    </w:p>
    <w:p w14:paraId="00001A07" w14:textId="77777777" w:rsidR="00F664DB" w:rsidRPr="00285D58" w:rsidRDefault="00F664DB" w:rsidP="008D1FFF">
      <w:pPr>
        <w:spacing w:line="276" w:lineRule="auto"/>
        <w:jc w:val="both"/>
        <w:rPr>
          <w:rFonts w:asciiTheme="minorHAnsi" w:eastAsia="Calibri" w:hAnsiTheme="minorHAnsi" w:cstheme="minorHAnsi"/>
        </w:rPr>
      </w:pPr>
    </w:p>
    <w:p w14:paraId="00001A0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el EDI de Instalaciones Eléctricas de Baja Tensión se desarrollarán las siguientes redes: </w:t>
      </w:r>
    </w:p>
    <w:p w14:paraId="00001A09" w14:textId="77777777" w:rsidR="00F664DB" w:rsidRPr="00285D58" w:rsidRDefault="00F664DB" w:rsidP="008D1FFF">
      <w:pPr>
        <w:spacing w:line="276" w:lineRule="auto"/>
        <w:jc w:val="both"/>
        <w:rPr>
          <w:rFonts w:asciiTheme="minorHAnsi" w:eastAsia="Calibri" w:hAnsiTheme="minorHAnsi" w:cstheme="minorHAnsi"/>
        </w:rPr>
      </w:pPr>
    </w:p>
    <w:p w14:paraId="00001A0A"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Iluminación: comprende el cálculo lumínico por espacios de los ambientes interiores. </w:t>
      </w:r>
    </w:p>
    <w:p w14:paraId="00001A0B"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 de fuerza. </w:t>
      </w:r>
    </w:p>
    <w:p w14:paraId="00001A0C"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 de toma a tierra. </w:t>
      </w:r>
    </w:p>
    <w:p w14:paraId="00001A0D"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iluminación exterior, que comprende el cálculo lumínico.</w:t>
      </w:r>
    </w:p>
    <w:p w14:paraId="00001A0E"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A0F" w14:textId="77777777" w:rsidR="00F664DB" w:rsidRPr="00285D58" w:rsidRDefault="006049C1" w:rsidP="008D1FFF">
      <w:pPr>
        <w:widowControl/>
        <w:numPr>
          <w:ilvl w:val="0"/>
          <w:numId w:val="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w:t>
      </w:r>
    </w:p>
    <w:p w14:paraId="00001A10" w14:textId="77777777" w:rsidR="00F664DB" w:rsidRPr="00285D58" w:rsidRDefault="00F664DB" w:rsidP="008D1FFF">
      <w:pPr>
        <w:spacing w:line="276" w:lineRule="auto"/>
        <w:jc w:val="both"/>
        <w:rPr>
          <w:rFonts w:asciiTheme="minorHAnsi" w:eastAsia="Calibri" w:hAnsiTheme="minorHAnsi" w:cstheme="minorHAnsi"/>
        </w:rPr>
      </w:pPr>
    </w:p>
    <w:p w14:paraId="00001A1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Baja Tensión contendrá lo siguiente: </w:t>
      </w:r>
    </w:p>
    <w:p w14:paraId="00001A12" w14:textId="77777777" w:rsidR="00F664DB" w:rsidRPr="00285D58" w:rsidRDefault="00F664DB" w:rsidP="008D1FFF">
      <w:pPr>
        <w:spacing w:line="276" w:lineRule="auto"/>
        <w:jc w:val="both"/>
        <w:rPr>
          <w:rFonts w:asciiTheme="minorHAnsi" w:eastAsia="Calibri" w:hAnsiTheme="minorHAnsi" w:cstheme="minorHAnsi"/>
        </w:rPr>
      </w:pPr>
    </w:p>
    <w:p w14:paraId="00001A13"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Deberá contener la ubicación del proyecto, antecedentes, objetivos, marco regulatorio, alcance del proyecto, características de cada uno de los componentes del sistema, pruebas a realizar, relación de planos. En la memoria descriptiva se debe incluir la descripción de medidas de ecoeficiencia que desarrolle el Concesionario en la solución de los EDI. </w:t>
      </w:r>
    </w:p>
    <w:p w14:paraId="00001A14"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Calculo </w:t>
      </w:r>
    </w:p>
    <w:p w14:paraId="00001A15"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la máxima demanda</w:t>
      </w:r>
    </w:p>
    <w:p w14:paraId="00001A16"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lumínico por ambiente</w:t>
      </w:r>
    </w:p>
    <w:p w14:paraId="00001A17"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alimentadores, circuitos derivados</w:t>
      </w:r>
    </w:p>
    <w:p w14:paraId="00001A18"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protección contra sobretensiones y descargas atmosféricas</w:t>
      </w:r>
    </w:p>
    <w:p w14:paraId="00001A19"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Cálculo del sistema de puesta a tierra por componente</w:t>
      </w:r>
    </w:p>
    <w:p w14:paraId="00001A1A" w14:textId="77777777"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corto circuito</w:t>
      </w:r>
    </w:p>
    <w:p w14:paraId="00001A1B" w14:textId="31BE07BD" w:rsidR="00F664DB" w:rsidRPr="00285D58" w:rsidRDefault="006049C1" w:rsidP="008D1FFF">
      <w:pPr>
        <w:widowControl/>
        <w:numPr>
          <w:ilvl w:val="1"/>
          <w:numId w:val="4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coordinación de protecciones</w:t>
      </w:r>
    </w:p>
    <w:p w14:paraId="00001A1C"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A1D"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Metrados </w:t>
      </w:r>
    </w:p>
    <w:p w14:paraId="00001A1E" w14:textId="02E76E8D"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1F" w14:textId="77777777" w:rsidR="00F664DB" w:rsidRPr="00285D58" w:rsidRDefault="006049C1" w:rsidP="008D1FFF">
      <w:pPr>
        <w:widowControl/>
        <w:numPr>
          <w:ilvl w:val="0"/>
          <w:numId w:val="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20"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Diagramas unifilares, esquemas generales y distribución de tableros </w:t>
      </w:r>
    </w:p>
    <w:p w14:paraId="00001A21"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generales de 1/200 </w:t>
      </w:r>
    </w:p>
    <w:p w14:paraId="00001A22"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A23"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1/5 </w:t>
      </w:r>
    </w:p>
    <w:p w14:paraId="00001A24" w14:textId="24CDA3CC"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isométrico de la instalación</w:t>
      </w:r>
    </w:p>
    <w:p w14:paraId="00001A25" w14:textId="77777777" w:rsidR="00F664DB" w:rsidRPr="00285D58" w:rsidRDefault="00F664DB" w:rsidP="008D1FFF">
      <w:pPr>
        <w:spacing w:line="276" w:lineRule="auto"/>
        <w:jc w:val="both"/>
        <w:rPr>
          <w:rFonts w:asciiTheme="minorHAnsi" w:eastAsia="Calibri" w:hAnsiTheme="minorHAnsi" w:cstheme="minorHAnsi"/>
        </w:rPr>
      </w:pPr>
    </w:p>
    <w:p w14:paraId="00001A2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5.3.5.2. INSTALACIONES ELÉCTRICA DE MEDIA TENSIÓN </w:t>
      </w:r>
    </w:p>
    <w:p w14:paraId="00001A27" w14:textId="77777777" w:rsidR="00F664DB" w:rsidRPr="00285D58" w:rsidRDefault="00F664DB" w:rsidP="008D1FFF">
      <w:pPr>
        <w:spacing w:line="276" w:lineRule="auto"/>
        <w:jc w:val="both"/>
        <w:rPr>
          <w:rFonts w:asciiTheme="minorHAnsi" w:eastAsia="Calibri" w:hAnsiTheme="minorHAnsi" w:cstheme="minorHAnsi"/>
        </w:rPr>
      </w:pPr>
    </w:p>
    <w:p w14:paraId="00001A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del sistema eléctrico de media tensión comprende: subestación eléctrica, transformador, circuito de enlace, sistema de protección contra sobretensiones, protección contra descargas atmosféricas y sistema de puesta a tierra. </w:t>
      </w:r>
    </w:p>
    <w:p w14:paraId="00001A29" w14:textId="77777777" w:rsidR="00F664DB" w:rsidRPr="00285D58" w:rsidRDefault="00F664DB" w:rsidP="008D1FFF">
      <w:pPr>
        <w:spacing w:line="276" w:lineRule="auto"/>
        <w:jc w:val="both"/>
        <w:rPr>
          <w:rFonts w:asciiTheme="minorHAnsi" w:eastAsia="Calibri" w:hAnsiTheme="minorHAnsi" w:cstheme="minorHAnsi"/>
        </w:rPr>
      </w:pPr>
    </w:p>
    <w:p w14:paraId="00001A2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este diseño se desarrollarán las siguientes redes: </w:t>
      </w:r>
    </w:p>
    <w:p w14:paraId="00001A2B" w14:textId="77777777"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sistema de puesta a tierra</w:t>
      </w:r>
    </w:p>
    <w:p w14:paraId="00001A2C" w14:textId="6E8DC2EE"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A2D" w14:textId="3F34FAFE"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 sobretensión)</w:t>
      </w:r>
    </w:p>
    <w:p w14:paraId="00001A2E" w14:textId="77777777"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ET de electricidad de media tensión </w:t>
      </w:r>
    </w:p>
    <w:p w14:paraId="00001A2F" w14:textId="66B4753B" w:rsidR="00F664DB" w:rsidRPr="00285D58" w:rsidRDefault="006049C1" w:rsidP="008D1FFF">
      <w:pPr>
        <w:widowControl/>
        <w:numPr>
          <w:ilvl w:val="0"/>
          <w:numId w:val="4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enlace, subestación y transformación</w:t>
      </w:r>
    </w:p>
    <w:p w14:paraId="00001A30" w14:textId="77777777" w:rsidR="00F664DB" w:rsidRPr="00285D58" w:rsidRDefault="00F664DB" w:rsidP="008D1FFF">
      <w:pPr>
        <w:spacing w:line="276" w:lineRule="auto"/>
        <w:jc w:val="both"/>
        <w:rPr>
          <w:rFonts w:asciiTheme="minorHAnsi" w:eastAsia="Calibri" w:hAnsiTheme="minorHAnsi" w:cstheme="minorHAnsi"/>
        </w:rPr>
      </w:pPr>
    </w:p>
    <w:p w14:paraId="00001A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Media Tensión contendrá lo siguiente: </w:t>
      </w:r>
    </w:p>
    <w:p w14:paraId="00001A32"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33"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34"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de materiales y montaje </w:t>
      </w:r>
    </w:p>
    <w:p w14:paraId="00001A35"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A36" w14:textId="77777777" w:rsidR="00F664DB" w:rsidRPr="00285D58" w:rsidRDefault="006049C1" w:rsidP="008D1FFF">
      <w:pPr>
        <w:widowControl/>
        <w:numPr>
          <w:ilvl w:val="0"/>
          <w:numId w:val="4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37" w14:textId="7B6D9DB2" w:rsidR="00F664DB" w:rsidRPr="00BB5F42"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general de redes de acometida 1/200 o 1/500</w:t>
      </w:r>
    </w:p>
    <w:p w14:paraId="00001A38" w14:textId="548E8ABF"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A39" w14:textId="77777777"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1/20,1/10 según corresponda</w:t>
      </w:r>
    </w:p>
    <w:p w14:paraId="00001A3A" w14:textId="53D6E5E1" w:rsidR="00F664DB" w:rsidRPr="00285D58" w:rsidRDefault="006049C1" w:rsidP="008D1FFF">
      <w:pPr>
        <w:widowControl/>
        <w:numPr>
          <w:ilvl w:val="0"/>
          <w:numId w:val="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 y esquemas generales</w:t>
      </w:r>
    </w:p>
    <w:p w14:paraId="00001A3B" w14:textId="77777777" w:rsidR="00F664DB" w:rsidRPr="00285D58" w:rsidRDefault="00F664DB" w:rsidP="008D1FFF">
      <w:pPr>
        <w:spacing w:line="276" w:lineRule="auto"/>
        <w:jc w:val="both"/>
        <w:rPr>
          <w:rFonts w:asciiTheme="minorHAnsi" w:eastAsia="Calibri" w:hAnsiTheme="minorHAnsi" w:cstheme="minorHAnsi"/>
        </w:rPr>
      </w:pPr>
    </w:p>
    <w:p w14:paraId="00001A3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5.3.6. ESPECIALIDAD DE INSTALACIONES MECÁNICAS </w:t>
      </w:r>
    </w:p>
    <w:p w14:paraId="00001A3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las redes para cumplir las necesidades del sistema mecánico empleado en las estaciones; y efectuar el diseño integral de los siguientes sistemas: </w:t>
      </w:r>
    </w:p>
    <w:p w14:paraId="00001A3E" w14:textId="77777777" w:rsidR="00F664DB" w:rsidRPr="00285D58" w:rsidRDefault="00F664DB" w:rsidP="008D1FFF">
      <w:pPr>
        <w:spacing w:line="276" w:lineRule="auto"/>
        <w:jc w:val="both"/>
        <w:rPr>
          <w:rFonts w:asciiTheme="minorHAnsi" w:eastAsia="Calibri" w:hAnsiTheme="minorHAnsi" w:cstheme="minorHAnsi"/>
        </w:rPr>
      </w:pPr>
    </w:p>
    <w:p w14:paraId="00001A3F" w14:textId="3B868C1E"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ascensores para discapacitados (en caso de que sean necesarios)</w:t>
      </w:r>
    </w:p>
    <w:p w14:paraId="00001A40" w14:textId="0918CD40"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Sistemas de Instalaciones de gas, como GLP o gas natural (en caso de ser necesarios)</w:t>
      </w:r>
    </w:p>
    <w:p w14:paraId="00001A41" w14:textId="28770397"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ventilación mecánica (en caso de ser necesarios)</w:t>
      </w:r>
    </w:p>
    <w:p w14:paraId="00001A42" w14:textId="15C1A589" w:rsidR="00F664DB" w:rsidRPr="00285D58" w:rsidRDefault="006049C1" w:rsidP="008D1FFF">
      <w:pPr>
        <w:widowControl/>
        <w:numPr>
          <w:ilvl w:val="0"/>
          <w:numId w:val="4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climatización (en caso de ser necesario)</w:t>
      </w:r>
    </w:p>
    <w:p w14:paraId="00001A43" w14:textId="77777777" w:rsidR="00F664DB" w:rsidRPr="00285D58" w:rsidRDefault="00F664DB" w:rsidP="008D1FFF">
      <w:pPr>
        <w:spacing w:line="276" w:lineRule="auto"/>
        <w:jc w:val="both"/>
        <w:rPr>
          <w:rFonts w:asciiTheme="minorHAnsi" w:eastAsia="Calibri" w:hAnsiTheme="minorHAnsi" w:cstheme="minorHAnsi"/>
        </w:rPr>
      </w:pPr>
    </w:p>
    <w:p w14:paraId="00001A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Mecánicas contendrá lo siguiente: </w:t>
      </w:r>
    </w:p>
    <w:p w14:paraId="00001A45"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46"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47"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distribución de redes de tuberías para gas. </w:t>
      </w:r>
    </w:p>
    <w:p w14:paraId="00001A48"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49" w14:textId="0DA928D6"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4A" w14:textId="77777777" w:rsidR="00F664DB" w:rsidRPr="00285D58" w:rsidRDefault="006049C1" w:rsidP="008D1FFF">
      <w:pPr>
        <w:widowControl/>
        <w:numPr>
          <w:ilvl w:val="0"/>
          <w:numId w:val="3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4B" w14:textId="1398F2E6"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4C" w14:textId="77777777"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(Donde requiera instalación mecánica) </w:t>
      </w:r>
    </w:p>
    <w:p w14:paraId="00001A4D" w14:textId="77777777" w:rsidR="00F664DB" w:rsidRPr="00285D58" w:rsidRDefault="006049C1" w:rsidP="00A3732C">
      <w:pPr>
        <w:widowControl/>
        <w:numPr>
          <w:ilvl w:val="1"/>
          <w:numId w:val="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A4E" w14:textId="77777777" w:rsidR="00F664DB" w:rsidRPr="00285D58" w:rsidRDefault="00F664DB" w:rsidP="008D1FFF">
      <w:pPr>
        <w:spacing w:line="276" w:lineRule="auto"/>
        <w:jc w:val="both"/>
        <w:rPr>
          <w:rFonts w:asciiTheme="minorHAnsi" w:eastAsia="Calibri" w:hAnsiTheme="minorHAnsi" w:cstheme="minorHAnsi"/>
        </w:rPr>
      </w:pPr>
    </w:p>
    <w:p w14:paraId="00001A4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5.3.7. ESPECIALIDAD DE INSTALACIONES SANITARIAS</w:t>
      </w:r>
    </w:p>
    <w:p w14:paraId="00001A5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especialidad de instalaciones sanitarias considera cálculo de la dotación, el cálculo del almacenamiento (volumen de cisterna y tanque elevado), cálculo del diámetro de medidor, cálculo del diámetro de la acometida, cálculo de la máxima demanda simultánea y caudal de bombeo, calculo hidráulico de la red de agua hasta el punto más desfavorable (presiones, velocidades, diámetros, etc.), el cálculo de la altura dinámica total, y la potencia de la bomba, cálculo para el diseño de la red de agua caliente y capacidad de la terma o calentadores, cálculo para el diseño de la red de desagüe, cálculo para el diseño del sistema de drenaje pluvial, y el cálculo para la red de sistema contra incendio, de acuerdo con el uso y requerimientos de cada edificación y conforme a las Leyes y Disposiciones Aplicables.</w:t>
      </w:r>
    </w:p>
    <w:p w14:paraId="00001A51" w14:textId="77777777" w:rsidR="00F664DB" w:rsidRPr="00285D58" w:rsidRDefault="00F664DB" w:rsidP="008D1FFF">
      <w:pPr>
        <w:spacing w:line="276" w:lineRule="auto"/>
        <w:jc w:val="both"/>
        <w:rPr>
          <w:rFonts w:asciiTheme="minorHAnsi" w:eastAsia="Calibri" w:hAnsiTheme="minorHAnsi" w:cstheme="minorHAnsi"/>
        </w:rPr>
      </w:pPr>
    </w:p>
    <w:p w14:paraId="00001A5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siguientes sistemas: </w:t>
      </w:r>
    </w:p>
    <w:p w14:paraId="00001A53" w14:textId="6DAB1D1F"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y conexión domiciliaria (cálculo de conexión domiciliaria otorgada por empresa administradora de agua y saneamiento)</w:t>
      </w:r>
    </w:p>
    <w:p w14:paraId="00001A54" w14:textId="5889179C"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e instalación de red de alimentación de agua (desde la red pública hasta el sistema de almacenamiento de la infraestructura)</w:t>
      </w:r>
    </w:p>
    <w:p w14:paraId="00001A55" w14:textId="77777777"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abastecimiento de agua (cisterna y/o tanque elevado): Sistema de abastecimiento de agua (cisterna y/o tanque elevado) </w:t>
      </w:r>
    </w:p>
    <w:p w14:paraId="00001A56" w14:textId="3CC27A6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Redes de agua caliente. El desarrollo de las redes de agua caliente será de acuerdo con los requerimientos de cada edificación</w:t>
      </w:r>
    </w:p>
    <w:p w14:paraId="00001A57" w14:textId="6D5D27B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contra incendios</w:t>
      </w:r>
    </w:p>
    <w:p w14:paraId="00001A58" w14:textId="2BDFD8A6"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desagüe y ventilación</w:t>
      </w:r>
    </w:p>
    <w:p w14:paraId="00001A59" w14:textId="699C60A9"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drenaje pluvial (canaletas de piso y canaletas aéreas)</w:t>
      </w:r>
    </w:p>
    <w:p w14:paraId="00001A5A" w14:textId="25D5B418" w:rsidR="00F664DB" w:rsidRPr="00285D58" w:rsidRDefault="006049C1" w:rsidP="00A3732C">
      <w:pPr>
        <w:widowControl/>
        <w:numPr>
          <w:ilvl w:val="0"/>
          <w:numId w:val="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para riego, el cual será definido por el Concesionario teniendo en cuenta la localización de cada edificación y las Leyes y Disposiciones Aplicables</w:t>
      </w:r>
    </w:p>
    <w:p w14:paraId="00001A5B" w14:textId="77777777" w:rsidR="00F664DB" w:rsidRPr="00285D58" w:rsidRDefault="00F664DB" w:rsidP="008D1FFF">
      <w:pPr>
        <w:spacing w:line="276" w:lineRule="auto"/>
        <w:jc w:val="both"/>
        <w:rPr>
          <w:rFonts w:asciiTheme="minorHAnsi" w:eastAsia="Calibri" w:hAnsiTheme="minorHAnsi" w:cstheme="minorHAnsi"/>
        </w:rPr>
      </w:pPr>
    </w:p>
    <w:p w14:paraId="00001A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Sanitarias contendrá lo siguiente: </w:t>
      </w:r>
    </w:p>
    <w:p w14:paraId="00001A5D"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Memoria descriptiva, incluyendo descripción de medidas de ecoeficiencia </w:t>
      </w:r>
    </w:p>
    <w:p w14:paraId="00001A5E"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5F"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60" w14:textId="24BC3FE5"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61" w14:textId="77777777" w:rsidR="00F664DB" w:rsidRPr="00285D58" w:rsidRDefault="006049C1" w:rsidP="00A3732C">
      <w:pPr>
        <w:widowControl/>
        <w:numPr>
          <w:ilvl w:val="0"/>
          <w:numId w:val="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62" w14:textId="4AC211A9"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63" w14:textId="4BC11EA9"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A64" w14:textId="4A664347" w:rsidR="00F664DB" w:rsidRPr="00285D58" w:rsidRDefault="006049C1" w:rsidP="00A3732C">
      <w:pPr>
        <w:widowControl/>
        <w:numPr>
          <w:ilvl w:val="1"/>
          <w:numId w:val="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 1/10</w:t>
      </w:r>
    </w:p>
    <w:p w14:paraId="00001A65" w14:textId="77777777" w:rsidR="00F664DB" w:rsidRPr="00285D58" w:rsidRDefault="00F664DB" w:rsidP="008D1FFF">
      <w:pPr>
        <w:spacing w:line="276" w:lineRule="auto"/>
        <w:jc w:val="both"/>
        <w:rPr>
          <w:rFonts w:asciiTheme="minorHAnsi" w:eastAsia="Calibri" w:hAnsiTheme="minorHAnsi" w:cstheme="minorHAnsi"/>
          <w:b/>
        </w:rPr>
      </w:pPr>
    </w:p>
    <w:p w14:paraId="00001A6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5.3.8. ESPECIALIDAD DE INSTALACIONES DE TELECOMUNICACIONES </w:t>
      </w:r>
    </w:p>
    <w:p w14:paraId="00001A6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y cálculo de las siguientes redes con el objeto de dar servicio a los diferentes espacios: </w:t>
      </w:r>
    </w:p>
    <w:p w14:paraId="00001A68" w14:textId="2690A368"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sonido</w:t>
      </w:r>
    </w:p>
    <w:p w14:paraId="00001A69" w14:textId="15D99324"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telefonía fija</w:t>
      </w:r>
    </w:p>
    <w:p w14:paraId="00001A6A" w14:textId="77777777"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video vigilancia </w:t>
      </w:r>
    </w:p>
    <w:p w14:paraId="00001A6B" w14:textId="19D93725"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detección contraincendios general, por edificio (identificando el ambiente específico)</w:t>
      </w:r>
    </w:p>
    <w:p w14:paraId="00001A6C" w14:textId="59149391"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cableado estructurado</w:t>
      </w:r>
    </w:p>
    <w:p w14:paraId="00001A6D" w14:textId="77777777" w:rsidR="00F664DB" w:rsidRPr="00285D58" w:rsidRDefault="006049C1" w:rsidP="008D1FFF">
      <w:pPr>
        <w:widowControl/>
        <w:numPr>
          <w:ilvl w:val="0"/>
          <w:numId w:val="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puesta a tierra </w:t>
      </w:r>
    </w:p>
    <w:p w14:paraId="00001A6E" w14:textId="77777777" w:rsidR="00F664DB" w:rsidRPr="00285D58" w:rsidRDefault="00F664DB" w:rsidP="008D1FFF">
      <w:pPr>
        <w:spacing w:line="276" w:lineRule="auto"/>
        <w:jc w:val="both"/>
        <w:rPr>
          <w:rFonts w:asciiTheme="minorHAnsi" w:eastAsia="Calibri" w:hAnsiTheme="minorHAnsi" w:cstheme="minorHAnsi"/>
        </w:rPr>
      </w:pPr>
    </w:p>
    <w:p w14:paraId="00001A6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de Telecomunicaciones contendrá lo siguiente: </w:t>
      </w:r>
    </w:p>
    <w:p w14:paraId="00001A70"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A71"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A72"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A73" w14:textId="68FD559D"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A74" w14:textId="77777777" w:rsidR="00F664DB" w:rsidRPr="00285D58" w:rsidRDefault="006049C1" w:rsidP="00A3732C">
      <w:pPr>
        <w:widowControl/>
        <w:numPr>
          <w:ilvl w:val="0"/>
          <w:numId w:val="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A75"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A76"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A77" w14:textId="77777777" w:rsidR="00F664DB" w:rsidRPr="00285D58" w:rsidRDefault="006049C1" w:rsidP="008D1FFF">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A78" w14:textId="77777777" w:rsidR="00F664DB" w:rsidRPr="00285D58" w:rsidRDefault="00F664DB" w:rsidP="008D1FFF">
      <w:pPr>
        <w:spacing w:line="276" w:lineRule="auto"/>
        <w:jc w:val="both"/>
        <w:rPr>
          <w:rFonts w:asciiTheme="minorHAnsi" w:eastAsia="Calibri" w:hAnsiTheme="minorHAnsi" w:cstheme="minorHAnsi"/>
        </w:rPr>
      </w:pPr>
    </w:p>
    <w:p w14:paraId="09ADD995" w14:textId="35C82245" w:rsidR="00107FDC" w:rsidRPr="00285D58" w:rsidRDefault="00107FDC" w:rsidP="00107FDC">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5.3.9. DISEÑO DE CAMINOS PEATONALES </w:t>
      </w:r>
    </w:p>
    <w:p w14:paraId="5A055338" w14:textId="38F9C66D" w:rsidR="00107FDC" w:rsidRPr="00285D58" w:rsidRDefault="00107FDC" w:rsidP="00107FDC">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definitivo de los caminos peatonales y obras complementarias tales como:</w:t>
      </w:r>
    </w:p>
    <w:p w14:paraId="7FC544FC" w14:textId="3576D493" w:rsidR="00107FDC"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Obras de drenaje: cunetas, drenajes transversales, zanjas.</w:t>
      </w:r>
    </w:p>
    <w:p w14:paraId="418F66F2" w14:textId="77777777"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Obras de protección: muros de contención, revestimiento de taludes, barandas, pasarelas.</w:t>
      </w:r>
    </w:p>
    <w:p w14:paraId="1C768654" w14:textId="1EF50490"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Señalización.</w:t>
      </w:r>
    </w:p>
    <w:p w14:paraId="38BCBB31" w14:textId="0F285ADB"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Descansos, miradores.</w:t>
      </w:r>
    </w:p>
    <w:p w14:paraId="1A323ADC" w14:textId="22CEE178" w:rsidR="00121631" w:rsidRPr="00285D58" w:rsidRDefault="00121631" w:rsidP="00A3732C">
      <w:pPr>
        <w:widowControl/>
        <w:numPr>
          <w:ilvl w:val="0"/>
          <w:numId w:val="2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Otras obras complementarias que sean necesarias. </w:t>
      </w:r>
    </w:p>
    <w:p w14:paraId="5CF249DA" w14:textId="56081D11" w:rsidR="00107FDC" w:rsidRPr="00285D58" w:rsidRDefault="00107FDC" w:rsidP="00107FDC">
      <w:pPr>
        <w:spacing w:line="276" w:lineRule="auto"/>
        <w:jc w:val="both"/>
        <w:rPr>
          <w:rFonts w:asciiTheme="minorHAnsi" w:eastAsia="Calibri" w:hAnsiTheme="minorHAnsi" w:cstheme="minorHAnsi"/>
        </w:rPr>
      </w:pPr>
    </w:p>
    <w:p w14:paraId="3F87C194" w14:textId="4596BC7A" w:rsidR="00107FDC" w:rsidRPr="00285D58" w:rsidRDefault="00107FDC" w:rsidP="00107FDC">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Además de los planos presentados en la etapa anterior en el Estudio del trazo de los caminos peatonales, el EDI deberá </w:t>
      </w:r>
      <w:r w:rsidR="00121631" w:rsidRPr="00285D58">
        <w:rPr>
          <w:rFonts w:asciiTheme="minorHAnsi" w:eastAsia="Calibri" w:hAnsiTheme="minorHAnsi" w:cstheme="minorHAnsi"/>
        </w:rPr>
        <w:t>incluir como mínimo, lo siguiente</w:t>
      </w:r>
      <w:r w:rsidRPr="00285D58">
        <w:rPr>
          <w:rFonts w:asciiTheme="minorHAnsi" w:eastAsia="Calibri" w:hAnsiTheme="minorHAnsi" w:cstheme="minorHAnsi"/>
        </w:rPr>
        <w:t xml:space="preserve">: </w:t>
      </w:r>
    </w:p>
    <w:p w14:paraId="32409FAE"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997DEE0"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Especificaciones técnicas </w:t>
      </w:r>
    </w:p>
    <w:p w14:paraId="2071534E" w14:textId="77777777" w:rsidR="00107FDC" w:rsidRPr="00285D58" w:rsidRDefault="00107FDC" w:rsidP="00A3732C">
      <w:pPr>
        <w:widowControl/>
        <w:numPr>
          <w:ilvl w:val="0"/>
          <w:numId w:val="2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73B42A27" w14:textId="5F6BB0D3" w:rsidR="00121631" w:rsidRPr="00285D58" w:rsidRDefault="00107FDC"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r w:rsidR="00121631" w:rsidRPr="00285D58">
        <w:rPr>
          <w:rFonts w:asciiTheme="minorHAnsi" w:eastAsia="Calibri" w:hAnsiTheme="minorHAnsi" w:cstheme="minorHAnsi"/>
          <w:color w:val="000000"/>
        </w:rPr>
        <w:t>de detalles de las obras de drenaje 1/10, 1/50 o 1/100.</w:t>
      </w:r>
    </w:p>
    <w:p w14:paraId="71641621" w14:textId="485CE1BF" w:rsidR="00121631" w:rsidRPr="00285D58" w:rsidRDefault="00121631"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detalles de las obras de protección</w:t>
      </w:r>
      <w:r w:rsidR="00EB65C2" w:rsidRPr="00285D58">
        <w:rPr>
          <w:rFonts w:asciiTheme="minorHAnsi" w:eastAsia="Calibri" w:hAnsiTheme="minorHAnsi" w:cstheme="minorHAnsi"/>
          <w:color w:val="000000"/>
        </w:rPr>
        <w:t xml:space="preserve"> 1/10, 1/50 o 1/100.</w:t>
      </w:r>
    </w:p>
    <w:p w14:paraId="2B53B967" w14:textId="0F2364FD" w:rsidR="00121631" w:rsidRPr="00BB5F42" w:rsidRDefault="00121631" w:rsidP="00A3732C">
      <w:pPr>
        <w:widowControl/>
        <w:numPr>
          <w:ilvl w:val="1"/>
          <w:numId w:val="274"/>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de detalles de las zonas de descanso</w:t>
      </w:r>
      <w:r w:rsidR="00EB65C2" w:rsidRPr="00BB5F42">
        <w:rPr>
          <w:rFonts w:asciiTheme="minorHAnsi" w:eastAsia="Calibri" w:hAnsiTheme="minorHAnsi" w:cstheme="minorHAnsi"/>
          <w:color w:val="000000"/>
          <w:lang w:val="pt-BR"/>
        </w:rPr>
        <w:t xml:space="preserve"> 1/10, 1/50 o 1/100.</w:t>
      </w:r>
    </w:p>
    <w:p w14:paraId="7A1F1145" w14:textId="24D50BCC" w:rsidR="00121631" w:rsidRPr="00285D58" w:rsidRDefault="00121631" w:rsidP="00121631">
      <w:pPr>
        <w:widowControl/>
        <w:numPr>
          <w:ilvl w:val="1"/>
          <w:numId w:val="2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w:t>
      </w:r>
      <w:r w:rsidR="00EB65C2" w:rsidRPr="00285D58">
        <w:rPr>
          <w:rFonts w:asciiTheme="minorHAnsi" w:eastAsia="Calibri" w:hAnsiTheme="minorHAnsi" w:cstheme="minorHAnsi"/>
          <w:color w:val="000000"/>
        </w:rPr>
        <w:t>e</w:t>
      </w:r>
      <w:r w:rsidRPr="00285D58">
        <w:rPr>
          <w:rFonts w:asciiTheme="minorHAnsi" w:eastAsia="Calibri" w:hAnsiTheme="minorHAnsi" w:cstheme="minorHAnsi"/>
          <w:color w:val="000000"/>
        </w:rPr>
        <w:t xml:space="preserve">levaciones en escala 1:100. Mínimo 01 corte cada 50 metros o en las zonas donde se proyecten obras de protección, zonas de descanso, cambios drásticos de </w:t>
      </w:r>
      <w:r w:rsidR="00EB65C2" w:rsidRPr="00285D58">
        <w:rPr>
          <w:rFonts w:asciiTheme="minorHAnsi" w:eastAsia="Calibri" w:hAnsiTheme="minorHAnsi" w:cstheme="minorHAnsi"/>
          <w:color w:val="000000"/>
        </w:rPr>
        <w:t>las pendientes</w:t>
      </w:r>
      <w:r w:rsidRPr="00285D58">
        <w:rPr>
          <w:rFonts w:asciiTheme="minorHAnsi" w:eastAsia="Calibri" w:hAnsiTheme="minorHAnsi" w:cstheme="minorHAnsi"/>
          <w:color w:val="000000"/>
        </w:rPr>
        <w:t>, etc.</w:t>
      </w:r>
    </w:p>
    <w:p w14:paraId="1B619AA0" w14:textId="77777777" w:rsidR="00107FDC" w:rsidRPr="00285D58" w:rsidRDefault="00107FDC" w:rsidP="008D1FFF">
      <w:pPr>
        <w:spacing w:line="276" w:lineRule="auto"/>
        <w:jc w:val="both"/>
        <w:rPr>
          <w:rFonts w:asciiTheme="minorHAnsi" w:eastAsia="Calibri" w:hAnsiTheme="minorHAnsi" w:cstheme="minorHAnsi"/>
        </w:rPr>
      </w:pPr>
    </w:p>
    <w:p w14:paraId="0BF323B7" w14:textId="77777777" w:rsidR="00107FDC" w:rsidRPr="00285D58" w:rsidRDefault="00107FDC" w:rsidP="008D1FFF">
      <w:pPr>
        <w:spacing w:line="276" w:lineRule="auto"/>
        <w:jc w:val="both"/>
        <w:rPr>
          <w:rFonts w:asciiTheme="minorHAnsi" w:eastAsia="Calibri" w:hAnsiTheme="minorHAnsi" w:cstheme="minorHAnsi"/>
        </w:rPr>
      </w:pPr>
    </w:p>
    <w:p w14:paraId="00001A7A" w14:textId="4E85B97E"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w:t>
      </w:r>
      <w:r w:rsidR="00107FDC" w:rsidRPr="00285D58">
        <w:rPr>
          <w:rFonts w:asciiTheme="minorHAnsi" w:eastAsia="Calibri" w:hAnsiTheme="minorHAnsi" w:cstheme="minorHAnsi"/>
          <w:b/>
        </w:rPr>
        <w:t>10</w:t>
      </w:r>
      <w:r w:rsidRPr="00285D58">
        <w:rPr>
          <w:rFonts w:asciiTheme="minorHAnsi" w:eastAsia="Calibri" w:hAnsiTheme="minorHAnsi" w:cstheme="minorHAnsi"/>
          <w:b/>
        </w:rPr>
        <w:t>. METRADOS Y PRESUPUESTO</w:t>
      </w:r>
    </w:p>
    <w:p w14:paraId="00001A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elaborará el metrado por especialidad en base a las especialidades y las especificaciones técnicas. Debe encontrarse alineado a las Leyes y Disposiciones Aplicables sobre metrados de edificaciones. </w:t>
      </w:r>
    </w:p>
    <w:p w14:paraId="00001A7C" w14:textId="77777777" w:rsidR="00F664DB" w:rsidRPr="00285D58" w:rsidRDefault="00F664DB" w:rsidP="008D1FFF">
      <w:pPr>
        <w:spacing w:line="276" w:lineRule="auto"/>
        <w:jc w:val="both"/>
        <w:rPr>
          <w:rFonts w:asciiTheme="minorHAnsi" w:eastAsia="Calibri" w:hAnsiTheme="minorHAnsi" w:cstheme="minorHAnsi"/>
        </w:rPr>
      </w:pPr>
    </w:p>
    <w:p w14:paraId="00001A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metrado se elaborará especificando los metrados por cada edificación o componente. Contendrá el presupuesto general y por especialidades, análisis de precios unitarios, relación de materiales, Consolidado del Presupuesto, Resumen del Presupuesto, Desagregado de Gastos Generales. </w:t>
      </w:r>
    </w:p>
    <w:p w14:paraId="00001A7E" w14:textId="77777777" w:rsidR="00F664DB" w:rsidRPr="00285D58" w:rsidRDefault="00F664DB" w:rsidP="008D1FFF">
      <w:pPr>
        <w:spacing w:line="276" w:lineRule="auto"/>
        <w:jc w:val="both"/>
        <w:rPr>
          <w:rFonts w:asciiTheme="minorHAnsi" w:eastAsia="Calibri" w:hAnsiTheme="minorHAnsi" w:cstheme="minorHAnsi"/>
        </w:rPr>
      </w:pPr>
    </w:p>
    <w:p w14:paraId="00001A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EDI de metrados y presupuesto contendrá lo siguiente:</w:t>
      </w:r>
    </w:p>
    <w:p w14:paraId="00001A80" w14:textId="1B4E26DA"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metrados por </w:t>
      </w:r>
      <w:sdt>
        <w:sdtPr>
          <w:rPr>
            <w:rFonts w:asciiTheme="minorHAnsi" w:hAnsiTheme="minorHAnsi" w:cstheme="minorHAnsi"/>
          </w:rPr>
          <w:tag w:val="goog_rdk_154"/>
          <w:id w:val="-1206246711"/>
        </w:sdtPr>
        <w:sdtContent/>
      </w:sdt>
      <w:sdt>
        <w:sdtPr>
          <w:rPr>
            <w:rFonts w:asciiTheme="minorHAnsi" w:hAnsiTheme="minorHAnsi" w:cstheme="minorHAnsi"/>
          </w:rPr>
          <w:tag w:val="goog_rdk_155"/>
          <w:id w:val="-708334212"/>
        </w:sdtPr>
        <w:sdtContent/>
      </w:sdt>
      <w:r w:rsidRPr="00285D58">
        <w:rPr>
          <w:rFonts w:asciiTheme="minorHAnsi" w:eastAsia="Calibri" w:hAnsiTheme="minorHAnsi" w:cstheme="minorHAnsi"/>
          <w:color w:val="000000"/>
        </w:rPr>
        <w:t xml:space="preserve">especialidad </w:t>
      </w:r>
    </w:p>
    <w:p w14:paraId="00001A81"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Sustento de metrados </w:t>
      </w:r>
    </w:p>
    <w:p w14:paraId="01E509EC" w14:textId="77777777" w:rsidR="00411DF9" w:rsidRPr="00285D58" w:rsidRDefault="00411DF9"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mobiliario</w:t>
      </w:r>
    </w:p>
    <w:p w14:paraId="00001A82"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Presupuesto general y consolidado </w:t>
      </w:r>
    </w:p>
    <w:p w14:paraId="00001A83"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costos unitarios </w:t>
      </w:r>
    </w:p>
    <w:p w14:paraId="00001A84" w14:textId="77777777" w:rsidR="00F664DB" w:rsidRPr="00285D58" w:rsidRDefault="006049C1" w:rsidP="008D1FFF">
      <w:pPr>
        <w:widowControl/>
        <w:numPr>
          <w:ilvl w:val="0"/>
          <w:numId w:val="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insumos</w:t>
      </w:r>
    </w:p>
    <w:p w14:paraId="00001A85"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Presupuesto consolidado</w:t>
      </w:r>
    </w:p>
    <w:p w14:paraId="00001A86"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adquisiciones</w:t>
      </w:r>
    </w:p>
    <w:p w14:paraId="00001A87"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 y Equipamiento valorizado</w:t>
      </w:r>
    </w:p>
    <w:p w14:paraId="00001A88"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PERT – CPM</w:t>
      </w:r>
    </w:p>
    <w:p w14:paraId="00001A89"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GANTT</w:t>
      </w:r>
    </w:p>
    <w:p w14:paraId="00001A8A" w14:textId="77777777" w:rsidR="00F664DB" w:rsidRPr="00285D58" w:rsidRDefault="006049C1" w:rsidP="008D1FFF">
      <w:pPr>
        <w:widowControl/>
        <w:numPr>
          <w:ilvl w:val="1"/>
          <w:numId w:val="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Desagregado de Gastos generales</w:t>
      </w:r>
    </w:p>
    <w:p w14:paraId="00001A8B" w14:textId="77777777" w:rsidR="00F664DB" w:rsidRPr="00285D58" w:rsidRDefault="00F664DB" w:rsidP="008D1FFF">
      <w:pPr>
        <w:spacing w:line="276" w:lineRule="auto"/>
        <w:jc w:val="both"/>
        <w:rPr>
          <w:rFonts w:asciiTheme="minorHAnsi" w:eastAsia="Calibri" w:hAnsiTheme="minorHAnsi" w:cstheme="minorHAnsi"/>
        </w:rPr>
      </w:pPr>
    </w:p>
    <w:p w14:paraId="00001A8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 LICENCIAS, PERMISOS, AUTORIZACIONES Y FACTIBILIDADES </w:t>
      </w:r>
    </w:p>
    <w:p w14:paraId="00001A8D" w14:textId="77777777" w:rsidR="00F664DB" w:rsidRPr="00285D58" w:rsidRDefault="00F664DB" w:rsidP="008D1FFF">
      <w:pPr>
        <w:spacing w:line="276" w:lineRule="auto"/>
        <w:jc w:val="both"/>
        <w:rPr>
          <w:rFonts w:asciiTheme="minorHAnsi" w:eastAsia="Calibri" w:hAnsiTheme="minorHAnsi" w:cstheme="minorHAnsi"/>
        </w:rPr>
      </w:pPr>
    </w:p>
    <w:p w14:paraId="00001A8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5.4.1. ASPECTOS AMBIENTALES </w:t>
      </w:r>
    </w:p>
    <w:p w14:paraId="00001A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Instrumentos de Gestión Ambiental, según corresponda. </w:t>
      </w:r>
    </w:p>
    <w:p w14:paraId="00001A90" w14:textId="77777777" w:rsidR="00F664DB" w:rsidRPr="00285D58" w:rsidRDefault="00F664DB" w:rsidP="008D1FFF">
      <w:pPr>
        <w:spacing w:line="276" w:lineRule="auto"/>
        <w:jc w:val="both"/>
        <w:rPr>
          <w:rFonts w:asciiTheme="minorHAnsi" w:eastAsia="Calibri" w:hAnsiTheme="minorHAnsi" w:cstheme="minorHAnsi"/>
        </w:rPr>
      </w:pPr>
    </w:p>
    <w:p w14:paraId="00001A9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5.4.2. CERTIFICADO DE INEXISTENCIA DE RESTOS ARQUEOLÓGICOS </w:t>
      </w:r>
    </w:p>
    <w:p w14:paraId="00001A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w:t>
      </w:r>
      <w:r w:rsidRPr="00285D58">
        <w:rPr>
          <w:rFonts w:asciiTheme="minorHAnsi" w:eastAsia="Calibri" w:hAnsiTheme="minorHAnsi" w:cstheme="minorHAnsi"/>
        </w:rPr>
        <w:lastRenderedPageBreak/>
        <w:t xml:space="preserve">CONCESIONARIO, en cumplimiento de las Leyes y Disposiciones Aplicables e incluirá los documentos complementarios exigibles. </w:t>
      </w:r>
    </w:p>
    <w:p w14:paraId="00001A93" w14:textId="77777777" w:rsidR="00F664DB" w:rsidRPr="00285D58" w:rsidRDefault="00F664DB" w:rsidP="008D1FFF">
      <w:pPr>
        <w:spacing w:line="276" w:lineRule="auto"/>
        <w:jc w:val="both"/>
        <w:rPr>
          <w:rFonts w:asciiTheme="minorHAnsi" w:eastAsia="Calibri" w:hAnsiTheme="minorHAnsi" w:cstheme="minorHAnsi"/>
        </w:rPr>
      </w:pPr>
    </w:p>
    <w:p w14:paraId="00001A9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5.4.3. PLAN DE MONITOREO ARQUEOLÓGICO</w:t>
      </w:r>
    </w:p>
    <w:p w14:paraId="00001A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A96" w14:textId="77777777" w:rsidR="00F664DB" w:rsidRPr="00285D58" w:rsidRDefault="00F664DB" w:rsidP="008D1FFF">
      <w:pPr>
        <w:spacing w:line="276" w:lineRule="auto"/>
        <w:jc w:val="both"/>
        <w:rPr>
          <w:rFonts w:asciiTheme="minorHAnsi" w:eastAsia="Calibri" w:hAnsiTheme="minorHAnsi" w:cstheme="minorHAnsi"/>
        </w:rPr>
      </w:pPr>
    </w:p>
    <w:p w14:paraId="00001A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5.4.4. FACTIBILIDADES DE SERVICIOS</w:t>
      </w:r>
    </w:p>
    <w:p w14:paraId="00001A9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la petición de factibilidad de los Servicios Esenciales, cuando corresponda. Los ingenieros de las especialidades correspondientes son los responsables de preparar el proyecto de pedido de factibilidad a las Empresas Prestadoras de Servicios o al Organismo Regulador competente del sector, debiendo coordinar y presentar la información de acuerdo con los requisitos exigidos por las Leyes y Disposiciones Aplicables, incluyendo los siguientes documentos:</w:t>
      </w:r>
    </w:p>
    <w:p w14:paraId="00001A99" w14:textId="77777777" w:rsidR="00F664DB" w:rsidRPr="00285D58" w:rsidRDefault="00F664DB" w:rsidP="008D1FFF">
      <w:pPr>
        <w:spacing w:line="276" w:lineRule="auto"/>
        <w:jc w:val="both"/>
        <w:rPr>
          <w:rFonts w:asciiTheme="minorHAnsi" w:eastAsia="Calibri" w:hAnsiTheme="minorHAnsi" w:cstheme="minorHAnsi"/>
        </w:rPr>
      </w:pPr>
    </w:p>
    <w:p w14:paraId="00001A9A"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suministro eléctrico en Media o Baja Tensión y punto de acometida eléctrica para la Potencia requerida y Máxima demanda Proyectada, a la entidad prestadora de servicio o la Autoridad Gubernamental Competente correspondiente. </w:t>
      </w:r>
    </w:p>
    <w:p w14:paraId="00001A9B"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servicio de agua potable y desagüe, a fin de que el respectivo proyecto esté adecuado a las características de las redes públicas. </w:t>
      </w:r>
    </w:p>
    <w:p w14:paraId="00001A9C" w14:textId="77777777" w:rsidR="00F664DB" w:rsidRPr="00285D58" w:rsidRDefault="006049C1" w:rsidP="008D1FFF">
      <w:pPr>
        <w:widowControl/>
        <w:numPr>
          <w:ilvl w:val="0"/>
          <w:numId w:val="3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Telecomunicaciones a la empresa prestadora de servicios correspondiente. En caso de ser necesario se incluirán los proyectos de redes de enlace o complementarias, que deberán ser aprobadas por las empresas suministradoras, a costo y riesgo del CONCESIONARIO. </w:t>
      </w:r>
    </w:p>
    <w:p w14:paraId="00001A9D" w14:textId="77777777" w:rsidR="00F664DB" w:rsidRPr="00285D58" w:rsidRDefault="00F664DB" w:rsidP="008D1FFF">
      <w:pPr>
        <w:spacing w:line="276" w:lineRule="auto"/>
        <w:jc w:val="both"/>
        <w:rPr>
          <w:rFonts w:asciiTheme="minorHAnsi" w:eastAsia="Calibri" w:hAnsiTheme="minorHAnsi" w:cstheme="minorHAnsi"/>
        </w:rPr>
      </w:pPr>
    </w:p>
    <w:p w14:paraId="00001A9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5.4.5. LICENCIAS MUNICIPALES </w:t>
      </w:r>
    </w:p>
    <w:p w14:paraId="00001A9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AA0" w14:textId="77777777" w:rsidR="00F664DB" w:rsidRPr="00285D58" w:rsidRDefault="00F664DB" w:rsidP="008D1FFF">
      <w:pPr>
        <w:spacing w:line="276" w:lineRule="auto"/>
        <w:jc w:val="both"/>
        <w:rPr>
          <w:rFonts w:asciiTheme="minorHAnsi" w:eastAsia="Calibri" w:hAnsiTheme="minorHAnsi" w:cstheme="minorHAnsi"/>
        </w:rPr>
      </w:pPr>
    </w:p>
    <w:p w14:paraId="00001AA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5.5. RECORRIDO VIRTUAL Y VISTAS DEL PROYECTO</w:t>
      </w:r>
    </w:p>
    <w:p w14:paraId="00001AA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 presentar recorridos virtuales de los espacios interiores y exteriores del EDI que muestren con claridad la solución del proyecto, con una duración mínima de dos (2) minutos. </w:t>
      </w:r>
    </w:p>
    <w:p w14:paraId="00001AA3" w14:textId="77777777" w:rsidR="00F664DB" w:rsidRPr="00285D58" w:rsidRDefault="00F664DB" w:rsidP="008D1FFF">
      <w:pPr>
        <w:spacing w:line="276" w:lineRule="auto"/>
        <w:jc w:val="both"/>
        <w:rPr>
          <w:rFonts w:asciiTheme="minorHAnsi" w:eastAsia="Calibri" w:hAnsiTheme="minorHAnsi" w:cstheme="minorHAnsi"/>
        </w:rPr>
      </w:pPr>
    </w:p>
    <w:p w14:paraId="00001AA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AA5" w14:textId="77777777" w:rsidR="00F664DB" w:rsidRPr="00285D58" w:rsidRDefault="00F664DB" w:rsidP="008D1FFF">
      <w:pPr>
        <w:spacing w:line="276" w:lineRule="auto"/>
        <w:jc w:val="both"/>
        <w:rPr>
          <w:rFonts w:asciiTheme="minorHAnsi" w:eastAsia="Calibri" w:hAnsiTheme="minorHAnsi" w:cstheme="minorHAnsi"/>
        </w:rPr>
      </w:pPr>
    </w:p>
    <w:p w14:paraId="00001AA6" w14:textId="77777777" w:rsidR="00F664DB" w:rsidRPr="00285D58" w:rsidRDefault="006049C1" w:rsidP="00A3732C">
      <w:pPr>
        <w:keepNext/>
        <w:keepLines/>
        <w:numPr>
          <w:ilvl w:val="3"/>
          <w:numId w:val="126"/>
        </w:numPr>
        <w:spacing w:before="360" w:after="80" w:line="276" w:lineRule="auto"/>
        <w:ind w:left="1418" w:hanging="720"/>
        <w:jc w:val="both"/>
        <w:rPr>
          <w:rFonts w:asciiTheme="minorHAnsi" w:eastAsia="Calibri" w:hAnsiTheme="minorHAnsi" w:cstheme="minorHAnsi"/>
          <w:b/>
        </w:rPr>
      </w:pPr>
      <w:bookmarkStart w:id="145" w:name="_heading=h.3k3xz3h" w:colFirst="0" w:colLast="0"/>
      <w:bookmarkEnd w:id="145"/>
      <w:r w:rsidRPr="00285D58">
        <w:rPr>
          <w:rFonts w:asciiTheme="minorHAnsi" w:eastAsia="Calibri" w:hAnsiTheme="minorHAnsi" w:cstheme="minorHAnsi"/>
          <w:b/>
        </w:rPr>
        <w:lastRenderedPageBreak/>
        <w:t>FORMATOS DE ENTREGA</w:t>
      </w:r>
    </w:p>
    <w:p w14:paraId="00001A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AA8" w14:textId="77777777" w:rsidR="00F664DB" w:rsidRPr="00285D58" w:rsidRDefault="00F664DB" w:rsidP="008D1FFF">
      <w:pPr>
        <w:spacing w:line="276" w:lineRule="auto"/>
        <w:jc w:val="both"/>
        <w:rPr>
          <w:rFonts w:asciiTheme="minorHAnsi" w:eastAsia="Calibri" w:hAnsiTheme="minorHAnsi" w:cstheme="minorHAnsi"/>
          <w:b/>
        </w:rPr>
      </w:pPr>
    </w:p>
    <w:p w14:paraId="00001AA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A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AAB" w14:textId="77777777" w:rsidR="00F664DB" w:rsidRPr="00285D58" w:rsidRDefault="00F664DB" w:rsidP="008D1FFF">
      <w:pPr>
        <w:spacing w:line="276" w:lineRule="auto"/>
        <w:jc w:val="both"/>
        <w:rPr>
          <w:rFonts w:asciiTheme="minorHAnsi" w:eastAsia="Calibri" w:hAnsiTheme="minorHAnsi" w:cstheme="minorHAnsi"/>
        </w:rPr>
      </w:pPr>
    </w:p>
    <w:p w14:paraId="00001AA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A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AAE" w14:textId="77777777" w:rsidR="00F664DB" w:rsidRPr="00285D58" w:rsidRDefault="00F664DB" w:rsidP="008D1FFF">
      <w:pPr>
        <w:spacing w:line="276" w:lineRule="auto"/>
        <w:jc w:val="both"/>
        <w:rPr>
          <w:rFonts w:asciiTheme="minorHAnsi" w:eastAsia="Calibri" w:hAnsiTheme="minorHAnsi" w:cstheme="minorHAnsi"/>
        </w:rPr>
      </w:pPr>
    </w:p>
    <w:p w14:paraId="00001A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AB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AB1" w14:textId="77777777" w:rsidR="00F664DB" w:rsidRPr="00285D58" w:rsidRDefault="00F664DB" w:rsidP="008D1FFF">
      <w:pPr>
        <w:spacing w:line="276" w:lineRule="auto"/>
        <w:jc w:val="both"/>
        <w:rPr>
          <w:rFonts w:asciiTheme="minorHAnsi" w:eastAsia="Calibri" w:hAnsiTheme="minorHAnsi" w:cstheme="minorHAnsi"/>
        </w:rPr>
      </w:pPr>
    </w:p>
    <w:p w14:paraId="00001AB2" w14:textId="77777777" w:rsidR="00F664DB" w:rsidRPr="00285D58" w:rsidRDefault="006049C1" w:rsidP="00A3732C">
      <w:pPr>
        <w:widowControl/>
        <w:numPr>
          <w:ilvl w:val="0"/>
          <w:numId w:val="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AB3" w14:textId="407052FC"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documentos en: editor de textos (doc, rtf, etc), hojas de cálculo (xls, etc.), documento digital (PDF)</w:t>
      </w:r>
    </w:p>
    <w:p w14:paraId="00001AB4" w14:textId="302C6CB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AB5" w14:textId="3353297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AB6" w14:textId="186A2ED8"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AB7" w14:textId="3C93D6EE"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AB8" w14:textId="0EA946B9"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Modelamientos estructurales en el software establecidos por el CONCEDENTE</w:t>
      </w:r>
    </w:p>
    <w:p w14:paraId="00001AB9" w14:textId="0F0AEE05"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ABA" w14:textId="3159DBE2" w:rsidR="00F664DB" w:rsidRPr="00285D58" w:rsidRDefault="006049C1" w:rsidP="00A3732C">
      <w:pPr>
        <w:widowControl/>
        <w:numPr>
          <w:ilvl w:val="1"/>
          <w:numId w:val="8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ABB" w14:textId="5F552B11" w:rsidR="00F664DB" w:rsidRPr="00285D58" w:rsidRDefault="006049C1" w:rsidP="00A3732C">
      <w:pPr>
        <w:widowControl/>
        <w:numPr>
          <w:ilvl w:val="0"/>
          <w:numId w:val="8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ABC" w14:textId="77777777" w:rsidR="00F664DB" w:rsidRPr="00285D58" w:rsidRDefault="00F664DB" w:rsidP="008D1FFF">
      <w:pPr>
        <w:spacing w:line="276" w:lineRule="auto"/>
        <w:jc w:val="both"/>
        <w:rPr>
          <w:rFonts w:asciiTheme="minorHAnsi" w:eastAsia="Calibri" w:hAnsiTheme="minorHAnsi" w:cstheme="minorHAnsi"/>
          <w:b/>
          <w:smallCaps/>
        </w:rPr>
      </w:pPr>
    </w:p>
    <w:p w14:paraId="00001ABD" w14:textId="77777777" w:rsidR="00F664DB" w:rsidRPr="00285D58" w:rsidRDefault="00F664DB" w:rsidP="008D1FFF">
      <w:pPr>
        <w:spacing w:line="276" w:lineRule="auto"/>
        <w:jc w:val="both"/>
        <w:rPr>
          <w:rFonts w:asciiTheme="minorHAnsi" w:eastAsia="Calibri" w:hAnsiTheme="minorHAnsi" w:cstheme="minorHAnsi"/>
          <w:b/>
          <w:smallCaps/>
        </w:rPr>
      </w:pPr>
    </w:p>
    <w:p w14:paraId="00001ABE" w14:textId="77777777" w:rsidR="00F664DB" w:rsidRPr="00285D58" w:rsidRDefault="00F664DB" w:rsidP="008D1FFF">
      <w:pPr>
        <w:spacing w:line="276" w:lineRule="auto"/>
        <w:jc w:val="both"/>
        <w:rPr>
          <w:rFonts w:asciiTheme="minorHAnsi" w:eastAsia="Calibri" w:hAnsiTheme="minorHAnsi" w:cstheme="minorHAnsi"/>
          <w:b/>
          <w:smallCaps/>
        </w:rPr>
      </w:pPr>
    </w:p>
    <w:p w14:paraId="00001ABF" w14:textId="20C8B139"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46" w:name="_heading=h.1z989ba" w:colFirst="0" w:colLast="0"/>
      <w:bookmarkStart w:id="147" w:name="_Toc193979280"/>
      <w:bookmarkEnd w:id="146"/>
      <w:r w:rsidRPr="00285D58">
        <w:rPr>
          <w:rFonts w:asciiTheme="minorHAnsi" w:eastAsia="Calibri" w:hAnsiTheme="minorHAnsi" w:cstheme="minorHAnsi"/>
          <w:b/>
          <w:color w:val="1F4E79"/>
          <w:sz w:val="22"/>
          <w:szCs w:val="22"/>
        </w:rPr>
        <w:t>ANEXO 08 - APÉNDICE 2 – ESPECIFICACIONES PARA EL DESARROLLO DEL ESTUDIO DEFINITIVO DE INGENIERÍA DE LAS ESTACIONES CENTRALES</w:t>
      </w:r>
      <w:bookmarkEnd w:id="147"/>
    </w:p>
    <w:p w14:paraId="00001AC0"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48" w:name="_heading=h.4j8vrz3" w:colFirst="0" w:colLast="0"/>
      <w:bookmarkEnd w:id="148"/>
      <w:r w:rsidRPr="00285D58">
        <w:rPr>
          <w:rFonts w:asciiTheme="minorHAnsi" w:eastAsia="Calibri" w:hAnsiTheme="minorHAnsi" w:cstheme="minorHAnsi"/>
          <w:b/>
        </w:rPr>
        <w:t xml:space="preserve">OBJETO </w:t>
      </w:r>
    </w:p>
    <w:p w14:paraId="00001A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así como los documentos que lo integran. </w:t>
      </w:r>
    </w:p>
    <w:p w14:paraId="00001AC2"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49" w:name="_heading=h.2ye626w" w:colFirst="0" w:colLast="0"/>
      <w:bookmarkEnd w:id="149"/>
      <w:r w:rsidRPr="00285D58">
        <w:rPr>
          <w:rFonts w:asciiTheme="minorHAnsi" w:eastAsia="Calibri" w:hAnsiTheme="minorHAnsi" w:cstheme="minorHAnsi"/>
          <w:b/>
        </w:rPr>
        <w:t xml:space="preserve">NORMATIVA </w:t>
      </w:r>
    </w:p>
    <w:p w14:paraId="00001AC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ejecución del EDI de Obras deberá realizarse de acuerdo con las Leyes y Disposiciones Aplicables, </w:t>
      </w:r>
      <w:r w:rsidRPr="00285D58">
        <w:rPr>
          <w:rFonts w:asciiTheme="minorHAnsi" w:eastAsia="Calibri" w:hAnsiTheme="minorHAnsi" w:cstheme="minorHAnsi"/>
        </w:rPr>
        <w:lastRenderedPageBreak/>
        <w:t>considerando las normas técnicas respectivas, así como sus modificaciones y actualizaciones. En caso de contradicción o ambigüedad entre la normativa nacional y la norma internacional, prima la norma nacional.</w:t>
      </w:r>
    </w:p>
    <w:p w14:paraId="00001AC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AC5" w14:textId="77777777" w:rsidR="00F664DB" w:rsidRPr="00285D58" w:rsidRDefault="00F664DB" w:rsidP="008D1FFF">
      <w:pPr>
        <w:spacing w:line="276" w:lineRule="auto"/>
        <w:jc w:val="both"/>
        <w:rPr>
          <w:rFonts w:asciiTheme="minorHAnsi" w:eastAsia="Calibri" w:hAnsiTheme="minorHAnsi" w:cstheme="minorHAnsi"/>
        </w:rPr>
      </w:pPr>
    </w:p>
    <w:p w14:paraId="00001A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AC7" w14:textId="77777777" w:rsidR="00F664DB" w:rsidRPr="00285D58" w:rsidRDefault="00F664DB" w:rsidP="008D1FFF">
      <w:pPr>
        <w:spacing w:line="276" w:lineRule="auto"/>
        <w:jc w:val="both"/>
        <w:rPr>
          <w:rFonts w:asciiTheme="minorHAnsi" w:eastAsia="Calibri" w:hAnsiTheme="minorHAnsi" w:cstheme="minorHAnsi"/>
          <w:b/>
        </w:rPr>
      </w:pPr>
    </w:p>
    <w:p w14:paraId="00001AC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AC9" w14:textId="77777777" w:rsidR="00F664DB" w:rsidRPr="00285D58" w:rsidRDefault="00F664DB" w:rsidP="008D1FFF">
      <w:pPr>
        <w:spacing w:line="276" w:lineRule="auto"/>
        <w:jc w:val="both"/>
        <w:rPr>
          <w:rFonts w:asciiTheme="minorHAnsi" w:eastAsia="Calibri" w:hAnsiTheme="minorHAnsi" w:cstheme="minorHAnsi"/>
          <w:b/>
        </w:rPr>
      </w:pPr>
    </w:p>
    <w:p w14:paraId="00001ACA"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ACB"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ACC"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Habilitaciones Urbanas y Edificaciones, aprobada por la Ley Nro. 29090, y su Reglamento, aprobado por Decreto Supremo Nro. 029-2019-VIVIENDA </w:t>
      </w:r>
    </w:p>
    <w:p w14:paraId="00001ACD"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ACE"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ACF"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AD0"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Valores Máximos Admisibles para las Descargas Residuales no Domésticas en el sistema de alcantarillado sanitario, aprobado por Decreto Supremo Nro. 010-2019-VIVIENDA. </w:t>
      </w:r>
    </w:p>
    <w:p w14:paraId="00001AD1"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Técnico de Construcción Sostenible, aprobado por Decreto Supremo Nro. 014 2021-VIVIENDA. </w:t>
      </w:r>
    </w:p>
    <w:p w14:paraId="00001AD2"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AD3"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“Especificaciones Técnicas para Levantamientos Geodésicos Verticales”, aprobada por Resolución Jefatural Nro. 057-2016/IGN/UCNN. </w:t>
      </w:r>
    </w:p>
    <w:p w14:paraId="00001AD4" w14:textId="77777777" w:rsidR="00F664DB" w:rsidRPr="00285D58" w:rsidRDefault="006049C1" w:rsidP="008D1FFF">
      <w:pPr>
        <w:widowControl/>
        <w:numPr>
          <w:ilvl w:val="0"/>
          <w:numId w:val="4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relativos a los procedimientos de licencias de habilitación urbana y licencias de edificación, aprobado por Resolución Ministerial No. 326-2015-VIVIENDA. </w:t>
      </w:r>
    </w:p>
    <w:p w14:paraId="00001AD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AD7" w14:textId="77777777" w:rsidR="00F664DB" w:rsidRPr="00285D58" w:rsidRDefault="006049C1" w:rsidP="008D1FFF">
      <w:pPr>
        <w:widowControl/>
        <w:numPr>
          <w:ilvl w:val="0"/>
          <w:numId w:val="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Edificaciones, aprobado por Decreto Supremo Nro. 011-2006 VIVIENDA, en lo que corresponda. </w:t>
      </w:r>
    </w:p>
    <w:p w14:paraId="00001AD8" w14:textId="77777777" w:rsidR="00F664DB" w:rsidRPr="00285D58" w:rsidRDefault="006049C1" w:rsidP="008D1FFF">
      <w:pPr>
        <w:widowControl/>
        <w:numPr>
          <w:ilvl w:val="0"/>
          <w:numId w:val="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Resolución Ministerial No. 305-2017- VIVIENDA, mediante la cual se aprueban los Formatos y Formularios relativos a los procedimientos de licencias de habilitación urbana y licencias de edificación bajo el marco de la Ley N° 29090, Ley de Regulación de Habilitaciones Urbanas y de Edificaciones. </w:t>
      </w:r>
    </w:p>
    <w:p w14:paraId="00001AD9" w14:textId="77777777" w:rsidR="00F664DB" w:rsidRPr="00285D58" w:rsidRDefault="00F664DB" w:rsidP="008D1FFF">
      <w:pPr>
        <w:spacing w:line="276" w:lineRule="auto"/>
        <w:jc w:val="both"/>
        <w:rPr>
          <w:rFonts w:asciiTheme="minorHAnsi" w:eastAsia="Calibri" w:hAnsiTheme="minorHAnsi" w:cstheme="minorHAnsi"/>
        </w:rPr>
      </w:pPr>
    </w:p>
    <w:p w14:paraId="00001A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ADB" w14:textId="77777777" w:rsidR="00F664DB" w:rsidRPr="00285D58" w:rsidRDefault="00F664DB" w:rsidP="008D1FFF">
      <w:pPr>
        <w:spacing w:line="276" w:lineRule="auto"/>
        <w:jc w:val="both"/>
        <w:rPr>
          <w:rFonts w:asciiTheme="minorHAnsi" w:eastAsia="Calibri" w:hAnsiTheme="minorHAnsi" w:cstheme="minorHAnsi"/>
          <w:b/>
        </w:rPr>
      </w:pPr>
    </w:p>
    <w:p w14:paraId="00001AD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2.1.3.1. Sistema de Seguridad</w:t>
      </w:r>
    </w:p>
    <w:p w14:paraId="00001ADD"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17799:2007, Código de buenas prácticas para la gestión de la seguridad de la Información. </w:t>
      </w:r>
    </w:p>
    <w:p w14:paraId="00001ADE"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NTP-ISO/IEC 27001:2008, Técnicas de Seguridad. Sistemas de gestión de seguridad de la Información.</w:t>
      </w:r>
    </w:p>
    <w:p w14:paraId="00001ADF"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399.010-1 – Señales de Seguridad </w:t>
      </w:r>
    </w:p>
    <w:p w14:paraId="00001AE0"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NTP-350.043-1 Extintores portátiles. Selección, Distribución, Inspección, Mantenimiento, Recarga y Pruebas Hidrostáticas. </w:t>
      </w:r>
    </w:p>
    <w:p w14:paraId="00001AE1"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399.009- Colores Patrones utilizados en Señales y Colores de Seguridad. </w:t>
      </w:r>
    </w:p>
    <w:p w14:paraId="00001AE2"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 399.010-2016- Señales de seguridad. </w:t>
      </w:r>
    </w:p>
    <w:p w14:paraId="00001AE3"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NTP-833.030- Rotulado de Extintores. </w:t>
      </w:r>
    </w:p>
    <w:p w14:paraId="00001AE4"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DS.042-F Reglamento de Seguridad Industrial </w:t>
      </w:r>
    </w:p>
    <w:p w14:paraId="00001AE5" w14:textId="77777777" w:rsidR="00F664DB" w:rsidRPr="00BB5F42"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NFPA 72: Código Nacional de Alarmas de incendios</w:t>
      </w:r>
    </w:p>
    <w:p w14:paraId="00001AE6" w14:textId="77777777" w:rsidR="00F664DB" w:rsidRPr="00285D58" w:rsidRDefault="006049C1" w:rsidP="008D1FFF">
      <w:pPr>
        <w:widowControl/>
        <w:numPr>
          <w:ilvl w:val="0"/>
          <w:numId w:val="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NFPA101: Life Safety Code. </w:t>
      </w:r>
    </w:p>
    <w:p w14:paraId="00001AE7" w14:textId="77777777" w:rsidR="00F664DB" w:rsidRPr="00285D58" w:rsidRDefault="00F664DB" w:rsidP="008D1FFF">
      <w:pPr>
        <w:spacing w:line="276" w:lineRule="auto"/>
        <w:jc w:val="both"/>
        <w:rPr>
          <w:rFonts w:asciiTheme="minorHAnsi" w:eastAsia="Calibri" w:hAnsiTheme="minorHAnsi" w:cstheme="minorHAnsi"/>
        </w:rPr>
      </w:pPr>
    </w:p>
    <w:p w14:paraId="00001AE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AE9"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AEA"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AEB"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AEC"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AED"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E.070 - Albañilería, del Reglamento Nacional de Edificaciones, aprobado por Decreto Supremo Nro. 011-2006-VIVIENDA. </w:t>
      </w:r>
    </w:p>
    <w:p w14:paraId="00001AEE" w14:textId="77777777" w:rsidR="00F664DB" w:rsidRPr="00285D58" w:rsidRDefault="006049C1" w:rsidP="008D1FFF">
      <w:pPr>
        <w:widowControl/>
        <w:numPr>
          <w:ilvl w:val="0"/>
          <w:numId w:val="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E.090 -Estructuras Metálicas, del Reglamento Nacional de Edificaciones, aprobado por Decreto Supremo Nro. 011-2006-VIVIENDA. </w:t>
      </w:r>
    </w:p>
    <w:p w14:paraId="00001AEF" w14:textId="77777777" w:rsidR="00F664DB" w:rsidRPr="00285D58" w:rsidRDefault="00F664DB" w:rsidP="008D1FFF">
      <w:pPr>
        <w:spacing w:line="276" w:lineRule="auto"/>
        <w:jc w:val="both"/>
        <w:rPr>
          <w:rFonts w:asciiTheme="minorHAnsi" w:eastAsia="Calibri" w:hAnsiTheme="minorHAnsi" w:cstheme="minorHAnsi"/>
        </w:rPr>
      </w:pPr>
    </w:p>
    <w:p w14:paraId="00001AF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Mecánicas </w:t>
      </w:r>
    </w:p>
    <w:p w14:paraId="00001AF1"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Edificación E.M. 040 - Instalaciones de Gas, del Reglamento Nacional de Edificaciones, aprobado por Decreto Supremo Nro. 011-2006-VIVIENDA </w:t>
      </w:r>
    </w:p>
    <w:p w14:paraId="00001AF2"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030 - Instalaciones de ventilación, del Reglamento Nacional de Edificaciones, aprobado por Decreto Supremo Nro. 011-2006-VIVIENDA </w:t>
      </w:r>
    </w:p>
    <w:p w14:paraId="00001AF3" w14:textId="77777777" w:rsidR="00F664DB" w:rsidRPr="00285D58" w:rsidRDefault="006049C1" w:rsidP="008D1FFF">
      <w:pPr>
        <w:widowControl/>
        <w:numPr>
          <w:ilvl w:val="0"/>
          <w:numId w:val="4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E.M. 070 - Transporte Mecánico, del Reglamento Nacional de Edificaciones, aprobado por Decreto Supremo Nro. 011-2006-VIVIENDA. </w:t>
      </w:r>
    </w:p>
    <w:p w14:paraId="00001AF4" w14:textId="77777777" w:rsidR="00F664DB" w:rsidRPr="00285D58" w:rsidRDefault="00F664DB" w:rsidP="008D1FFF">
      <w:pPr>
        <w:spacing w:line="276" w:lineRule="auto"/>
        <w:jc w:val="both"/>
        <w:rPr>
          <w:rFonts w:asciiTheme="minorHAnsi" w:eastAsia="Calibri" w:hAnsiTheme="minorHAnsi" w:cstheme="minorHAnsi"/>
        </w:rPr>
      </w:pPr>
    </w:p>
    <w:p w14:paraId="00001AF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Telecomunicaciones </w:t>
      </w:r>
    </w:p>
    <w:p w14:paraId="00001AF6"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EM.020 - Instalaciones de Comunicaciones, del Reglamento Nacional de Edificaciones, aprobado por Decreto Supremo Nro. 011-2006-VIVIENDA. </w:t>
      </w:r>
    </w:p>
    <w:p w14:paraId="00001AF7"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Norma Técnica Peruana NTP-ISO/IEC 17799:2007, Código de buenas prácticas para la gestión de la seguridad de la Información. </w:t>
      </w:r>
    </w:p>
    <w:p w14:paraId="00001AF8" w14:textId="77777777" w:rsidR="00F664DB" w:rsidRPr="00285D58" w:rsidRDefault="006049C1" w:rsidP="008D1FFF">
      <w:pPr>
        <w:widowControl/>
        <w:numPr>
          <w:ilvl w:val="0"/>
          <w:numId w:val="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NTP-ISO/IEC 27001:2014, Técnicas de Seguridad. Sistemas de gestión de seguridad de la Información. </w:t>
      </w:r>
    </w:p>
    <w:p w14:paraId="00001AF9" w14:textId="77777777" w:rsidR="00F664DB" w:rsidRPr="00285D58" w:rsidRDefault="00F664DB" w:rsidP="008D1FFF">
      <w:pPr>
        <w:spacing w:line="276" w:lineRule="auto"/>
        <w:jc w:val="both"/>
        <w:rPr>
          <w:rFonts w:asciiTheme="minorHAnsi" w:eastAsia="Calibri" w:hAnsiTheme="minorHAnsi" w:cstheme="minorHAnsi"/>
        </w:rPr>
      </w:pPr>
    </w:p>
    <w:p w14:paraId="00001A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Otros para cableado estructurado: </w:t>
      </w:r>
    </w:p>
    <w:p w14:paraId="00001AFB"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Nacional de Electricidad (Utilización), , aprobado mediante Resolución Ministerial N° 175-2008 MEM/DM, del 11.04.08. </w:t>
      </w:r>
    </w:p>
    <w:p w14:paraId="00001AFC"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Código Nacional de Electricidad (Suministro), aprobado mediante Resolución Ministerial Nº 214-2011- MEM-DM. </w:t>
      </w:r>
    </w:p>
    <w:p w14:paraId="00001AFD"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IEC 60364, sobre los esquemas de conexión a tierra (ECT) </w:t>
      </w:r>
    </w:p>
    <w:p w14:paraId="00001AFE"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prescripciones del Estándar IEEE STD 142 – 1991 Tierra única </w:t>
      </w:r>
    </w:p>
    <w:p w14:paraId="00001AFF"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ANSI/TIA – 942 </w:t>
      </w:r>
    </w:p>
    <w:p w14:paraId="00001B00"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- 568B </w:t>
      </w:r>
    </w:p>
    <w:p w14:paraId="00001B01"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568B.1 </w:t>
      </w:r>
    </w:p>
    <w:p w14:paraId="00001B02"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EIA/TIA 568B.2 </w:t>
      </w:r>
    </w:p>
    <w:p w14:paraId="00001B03"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Norma Técnica EIA/TIA 568B.3</w:t>
      </w:r>
    </w:p>
    <w:p w14:paraId="00001B04"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569-A </w:t>
      </w:r>
    </w:p>
    <w:p w14:paraId="00001B05" w14:textId="77777777" w:rsidR="00F664DB" w:rsidRPr="00BB5F42"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Técnica ANSI/TIA/EIA – 569-B </w:t>
      </w:r>
    </w:p>
    <w:p w14:paraId="00001B06"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J-STD-607 A: Requerimiento para instalaciones de sistemas de puesta a tierra de telecomunicaciones y edificios comerciales.</w:t>
      </w:r>
    </w:p>
    <w:p w14:paraId="00001B07"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75 </w:t>
      </w:r>
    </w:p>
    <w:p w14:paraId="00001B08"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2001 </w:t>
      </w:r>
    </w:p>
    <w:p w14:paraId="00001B09"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NFPA 72 </w:t>
      </w:r>
    </w:p>
    <w:p w14:paraId="00001B0A"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Norma NFPA 70, Artículo 250 </w:t>
      </w:r>
    </w:p>
    <w:p w14:paraId="00001B0B" w14:textId="77777777" w:rsidR="00F664DB" w:rsidRPr="00285D58" w:rsidRDefault="006049C1" w:rsidP="008D1FFF">
      <w:pPr>
        <w:widowControl/>
        <w:numPr>
          <w:ilvl w:val="0"/>
          <w:numId w:val="3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Norma NFPA 101: Código de seguridad humana.</w:t>
      </w:r>
    </w:p>
    <w:p w14:paraId="00001B0C"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B0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2.1.3.6. Eléctricas </w:t>
      </w:r>
    </w:p>
    <w:p w14:paraId="00001B0E" w14:textId="09A64DC6"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Nacional de Electricidad (Suministro), aprobado por Resolución Ministerial N° 214–2011–MEM/DM Código Nacional de Electricidad (Utilización), aprobado mediante Resolución Ministerial N° 175-2008 MEM/DM, del 11.04.08</w:t>
      </w:r>
    </w:p>
    <w:p w14:paraId="00001B0F" w14:textId="7777777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EM.110 Confort Térmico y Lumínico con Eficiencia Energética del Reglamento Nacional de Edificaciones, aprobado por Decreto Supremo Nro. 011-2006-VIVIENDA </w:t>
      </w:r>
    </w:p>
    <w:p w14:paraId="00001B10" w14:textId="11653B30"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EM.080 - Instalaciones de Energía Sola, del Reglamento Nacional de Edificaciones, aprobado por Decreto Supremo Nro. 011-2006-VIVIENDA</w:t>
      </w:r>
    </w:p>
    <w:p w14:paraId="00001B11" w14:textId="5BBB209A"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EM.010. instalaciones Eléctricas Interiores,</w:t>
      </w:r>
      <w:r w:rsidR="00FC5698" w:rsidRPr="00285D58">
        <w:rPr>
          <w:rFonts w:asciiTheme="minorHAnsi" w:eastAsia="Calibri" w:hAnsiTheme="minorHAnsi" w:cstheme="minorHAnsi"/>
          <w:color w:val="000000"/>
        </w:rPr>
        <w:t xml:space="preserve"> </w:t>
      </w:r>
      <w:r w:rsidRPr="00285D58">
        <w:rPr>
          <w:rFonts w:asciiTheme="minorHAnsi" w:eastAsia="Calibri" w:hAnsiTheme="minorHAnsi" w:cstheme="minorHAnsi"/>
          <w:color w:val="000000"/>
        </w:rPr>
        <w:t>del Reglamento Nacional de Edificaciones, aprobado por Decreto Supremo Nro. 011-2006-VIVIENDA</w:t>
      </w:r>
    </w:p>
    <w:p w14:paraId="00001B12" w14:textId="59F4DE0D"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de procedimientos para la elaboración de proyectos y ejecución de obras en sistemas de utilización en media tensión en zonas de concesión de distribución, aprobado por Resolución Ministerial N°RD-018-2002–EM/DGE</w:t>
      </w:r>
    </w:p>
    <w:p w14:paraId="00001B13" w14:textId="2ECA3AC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NTP-IEC 62305 (Tomo 2 “Evaluación del Riesgo” y Tomo 3 “Protección contra el rayo: Daño Físico a estructuras y riesgo humano)</w:t>
      </w:r>
    </w:p>
    <w:p w14:paraId="00001B14" w14:textId="1B1659AB"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Norma Técnica Peruana NTP 370.101-2 - Etiquetado de eficiencia energética para lámparas fluorescentes compactas, circulares, lineales y similares de uso doméstico</w:t>
      </w:r>
    </w:p>
    <w:p w14:paraId="00001B15" w14:textId="56F5A0F9"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370.053 SEGURIDAD ELÉCTRICA. Elección de los materiales eléctricos en las instalaciones interiores para puesta a tierra. Conductores de protección de cobre</w:t>
      </w:r>
    </w:p>
    <w:p w14:paraId="00001B16" w14:textId="282D51A4"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370.252 CONDUCTORES ELÉCTRICOS. Cables aislados con compuesto termoplástico y termoestable para tensiones hasta e inclusive 450/750 V.</w:t>
      </w:r>
    </w:p>
    <w:p w14:paraId="00001B17" w14:textId="10F5C309"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370 264-7-2013 CONDUCTORES ELÉCTRICOS. Materiales de aislamiento, cubierta y recubrimiento para cables eléctricos de energía de baja tensión. Parte 7: Compuestos termoplásticos libres de halógenos para aislamiento</w:t>
      </w:r>
    </w:p>
    <w:p w14:paraId="00001B18" w14:textId="77777777"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62612 Lámparas de LED con balasto propio para servicios de iluminación general con tensión de alimentación &gt; 50 V </w:t>
      </w:r>
    </w:p>
    <w:p w14:paraId="00001B19" w14:textId="42F073F5" w:rsidR="00F664DB" w:rsidRPr="00285D58" w:rsidRDefault="006049C1" w:rsidP="008D1FFF">
      <w:pPr>
        <w:widowControl/>
        <w:numPr>
          <w:ilvl w:val="0"/>
          <w:numId w:val="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60898-1:2004 Interruptores automáticos para protección contra sobrecorrientes en instalaciones domésticas y similares</w:t>
      </w:r>
    </w:p>
    <w:p w14:paraId="00001B1A" w14:textId="77777777" w:rsidR="00F664DB" w:rsidRPr="00285D58" w:rsidRDefault="00F664DB" w:rsidP="008D1FFF">
      <w:pPr>
        <w:spacing w:line="276" w:lineRule="auto"/>
        <w:jc w:val="both"/>
        <w:rPr>
          <w:rFonts w:asciiTheme="minorHAnsi" w:eastAsia="Calibri" w:hAnsiTheme="minorHAnsi" w:cstheme="minorHAnsi"/>
        </w:rPr>
      </w:pPr>
    </w:p>
    <w:p w14:paraId="00001B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2.1.3.7. Sanitarias </w:t>
      </w:r>
    </w:p>
    <w:p w14:paraId="00001B1C" w14:textId="378213AD"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Directiva Sanitaria N° 033-MINSA/DIGESA – V.01, Directiva Sanitaria para la Determinación del Índice de Calificación Sanitaria de las Piscinas Públicas y Privadas de Uso Colectivo, aprobado por Resolución Ministerial Nro. 484-2010/MINSA</w:t>
      </w:r>
    </w:p>
    <w:p w14:paraId="00001B1D" w14:textId="043C0571"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la Calidad del Agua para Consumo Humano, aprobado mediante Decreto Supremo Nº 031-2010-SA</w:t>
      </w:r>
    </w:p>
    <w:p w14:paraId="00001B1E" w14:textId="0DA967B1"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IS.O1O - Instalaciones Sanitarias para Edificaciones, del Reglamento Nacional de Edificaciones, aprobado por Decreto Supremo Nro. 011-2006-VIVIENDA</w:t>
      </w:r>
    </w:p>
    <w:p w14:paraId="00001B1F" w14:textId="6F6E9224"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OS.030 - Almacenamiento de agua para consumo humano, del Reglamento Nacional de Edificaciones, aprobado por Decreto Supremo Nro. 011-2006-VIVIENDA</w:t>
      </w:r>
    </w:p>
    <w:p w14:paraId="00001B20" w14:textId="77777777"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OS.050 - Redes de distribución de agua para consumo humano </w:t>
      </w:r>
    </w:p>
    <w:p w14:paraId="00001B21" w14:textId="77777777" w:rsidR="00F664DB" w:rsidRPr="00BB5F42"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Norma OS0.70 - Redes de aguas residuales </w:t>
      </w:r>
    </w:p>
    <w:p w14:paraId="00001B22" w14:textId="77777777" w:rsidR="00F664DB" w:rsidRPr="00285D58" w:rsidRDefault="006049C1" w:rsidP="008D1FFF">
      <w:pPr>
        <w:widowControl/>
        <w:numPr>
          <w:ilvl w:val="0"/>
          <w:numId w:val="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OS.100 - Consideraciones básicas de diseño de infraestructura sanitaria </w:t>
      </w:r>
    </w:p>
    <w:p w14:paraId="00001B23" w14:textId="77777777" w:rsidR="00F664DB" w:rsidRPr="00285D58" w:rsidRDefault="00F664DB" w:rsidP="008D1FFF">
      <w:pPr>
        <w:spacing w:line="276" w:lineRule="auto"/>
        <w:jc w:val="both"/>
        <w:rPr>
          <w:rFonts w:asciiTheme="minorHAnsi" w:eastAsia="Calibri" w:hAnsiTheme="minorHAnsi" w:cstheme="minorHAnsi"/>
        </w:rPr>
      </w:pPr>
    </w:p>
    <w:p w14:paraId="00001B24" w14:textId="77777777" w:rsidR="00F664DB" w:rsidRPr="00285D58" w:rsidRDefault="00F664DB" w:rsidP="008D1FFF">
      <w:pPr>
        <w:spacing w:line="276" w:lineRule="auto"/>
        <w:jc w:val="both"/>
        <w:rPr>
          <w:rFonts w:asciiTheme="minorHAnsi" w:eastAsia="Calibri" w:hAnsiTheme="minorHAnsi" w:cstheme="minorHAnsi"/>
        </w:rPr>
      </w:pPr>
    </w:p>
    <w:p w14:paraId="00001B2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2.1.3.8. Accesibilidad</w:t>
      </w:r>
    </w:p>
    <w:p w14:paraId="00001B26" w14:textId="3A4204C3" w:rsidR="00F664DB" w:rsidRPr="00285D58" w:rsidRDefault="006049C1" w:rsidP="008D1FFF">
      <w:pPr>
        <w:widowControl/>
        <w:numPr>
          <w:ilvl w:val="0"/>
          <w:numId w:val="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A.120 - Accesibilidad universal en edificaciones, del Reglamento Nacional de Edificaciones, aprobado por Decreto Supremo Nro. 011-2006-VIVIENDA</w:t>
      </w:r>
    </w:p>
    <w:p w14:paraId="00001B27" w14:textId="2E211BAE" w:rsidR="00F664DB" w:rsidRPr="00285D58" w:rsidRDefault="006049C1" w:rsidP="008D1FFF">
      <w:pPr>
        <w:widowControl/>
        <w:numPr>
          <w:ilvl w:val="0"/>
          <w:numId w:val="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 NTP 873.001 - 2018, Señalización para accesibilidad universal en edificaciones. Señalización braille, piso táctil o podotáctil y planos hápticos</w:t>
      </w:r>
    </w:p>
    <w:p w14:paraId="00001B28" w14:textId="77777777" w:rsidR="00F664DB" w:rsidRPr="00285D58" w:rsidRDefault="00F664DB" w:rsidP="008D1FFF">
      <w:pPr>
        <w:spacing w:line="276" w:lineRule="auto"/>
        <w:jc w:val="both"/>
        <w:rPr>
          <w:rFonts w:asciiTheme="minorHAnsi" w:eastAsia="Calibri" w:hAnsiTheme="minorHAnsi" w:cstheme="minorHAnsi"/>
        </w:rPr>
      </w:pPr>
    </w:p>
    <w:p w14:paraId="00001B2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2.1.3.9. Ecoeficiencia </w:t>
      </w:r>
    </w:p>
    <w:p w14:paraId="00001B2A"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de Promoción del Uso Eficiente de la Energía, aprobada por Ley Nro. 27345, </w:t>
      </w:r>
    </w:p>
    <w:p w14:paraId="00001B2B"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Ley de Promoción del Uso Eficiente de la Energía, aprobado por Decreto Supremo Nro. 053-2007-EM </w:t>
      </w:r>
    </w:p>
    <w:p w14:paraId="00001B2C" w14:textId="093D7F3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Ley de Gestión Integral de Residuos Sólidos, aprobado por Decreto Legislativo Nro. 1278</w:t>
      </w:r>
    </w:p>
    <w:p w14:paraId="00001B2D"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Reglamento del Decreto Legislativo Nro. 1278, aprobado por Decreto Supremo Nro. 014-2017-MINAM</w:t>
      </w:r>
    </w:p>
    <w:p w14:paraId="00001B2E"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 Técnico de Construcción Sostenible, aprobado por Decreto Supremo Nro. 014 2021-VIVIENDA, que aprueba el que aprueba el Código Técnico de Construcción Sostenible y establece que las entidades del sector público deben considerar criterios de eficiencia energética, eficiencia hídrica, calidad ambiental interior, calidad urbana, manejo de residuos, ecomateriales e infraestructura para la movilidad sostenible</w:t>
      </w:r>
    </w:p>
    <w:p w14:paraId="00001B2F" w14:textId="75D3A673"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Disposiciones para la Gestión de la Ecoeficiencia en las Entidades de la Administración Pública, aprobada por Decreto Supremo Nro. 016-2021-MINAM</w:t>
      </w:r>
    </w:p>
    <w:p w14:paraId="00001B30" w14:textId="7777777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Régimen especial de gestión y manejo de residuos de aparatos eléctricos y electrónicos, aprobado por Decreto Supremo 009-2019-MINAM </w:t>
      </w:r>
    </w:p>
    <w:p w14:paraId="00001B31" w14:textId="1D38722B"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Procedimientos para la Gestión Adecuada de los Bienes Muebles Estatales Calificados como Residuos de Aparatos Eléctricos y Electrónicos – RAEE, aprobada por Resolución N° 027-2013/SBN. para la gestión de los RAEE</w:t>
      </w:r>
    </w:p>
    <w:p w14:paraId="00001B32" w14:textId="74B67B79"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14044:2013. </w:t>
      </w:r>
      <w:r w:rsidRPr="00285D58">
        <w:rPr>
          <w:rFonts w:asciiTheme="minorHAnsi" w:eastAsia="Calibri" w:hAnsiTheme="minorHAnsi" w:cstheme="minorHAnsi"/>
          <w:color w:val="000000"/>
        </w:rPr>
        <w:t>Gestión Ambiental. Análisis del ciclo de vida. Requisitos y directrices</w:t>
      </w:r>
    </w:p>
    <w:p w14:paraId="00001B33" w14:textId="362A9C24"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NTP-RT/ISO TR 14049:2014. </w:t>
      </w:r>
      <w:r w:rsidRPr="00285D58">
        <w:rPr>
          <w:rFonts w:asciiTheme="minorHAnsi" w:eastAsia="Calibri" w:hAnsiTheme="minorHAnsi" w:cstheme="minorHAnsi"/>
          <w:color w:val="000000"/>
        </w:rPr>
        <w:t>Gestión Ambiental. Análisis del ciclo de vida</w:t>
      </w:r>
    </w:p>
    <w:p w14:paraId="00001B34" w14:textId="064BEF0E"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14045:2013. </w:t>
      </w:r>
      <w:r w:rsidRPr="00285D58">
        <w:rPr>
          <w:rFonts w:asciiTheme="minorHAnsi" w:eastAsia="Calibri" w:hAnsiTheme="minorHAnsi" w:cstheme="minorHAnsi"/>
          <w:color w:val="000000"/>
        </w:rPr>
        <w:t>Gestión Ambiental. Evaluación de la ecoeficiencia del sistema del producto. Principios, requisitos y directrices</w:t>
      </w:r>
    </w:p>
    <w:p w14:paraId="00001B35" w14:textId="75B0B3E7" w:rsidR="00F664DB" w:rsidRPr="00285D58" w:rsidRDefault="006049C1" w:rsidP="008D1FFF">
      <w:pPr>
        <w:widowControl/>
        <w:numPr>
          <w:ilvl w:val="0"/>
          <w:numId w:val="12"/>
        </w:numPr>
        <w:pBdr>
          <w:top w:val="nil"/>
          <w:left w:val="nil"/>
          <w:bottom w:val="nil"/>
          <w:right w:val="nil"/>
          <w:between w:val="nil"/>
        </w:pBdr>
        <w:spacing w:line="276" w:lineRule="auto"/>
        <w:jc w:val="both"/>
        <w:rPr>
          <w:rFonts w:asciiTheme="minorHAnsi" w:eastAsia="Calibri" w:hAnsiTheme="minorHAnsi" w:cstheme="minorHAnsi"/>
          <w:color w:val="000000"/>
        </w:rPr>
      </w:pPr>
      <w:r w:rsidRPr="00BB5F42">
        <w:rPr>
          <w:rFonts w:asciiTheme="minorHAnsi" w:eastAsia="Calibri" w:hAnsiTheme="minorHAnsi" w:cstheme="minorHAnsi"/>
          <w:color w:val="000000"/>
          <w:lang w:val="pt-BR"/>
        </w:rPr>
        <w:t xml:space="preserve">Norma Técnica Peruana NTP-ISO 900.058:2019. </w:t>
      </w:r>
      <w:r w:rsidRPr="00285D58">
        <w:rPr>
          <w:rFonts w:asciiTheme="minorHAnsi" w:eastAsia="Calibri" w:hAnsiTheme="minorHAnsi" w:cstheme="minorHAnsi"/>
          <w:color w:val="000000"/>
        </w:rPr>
        <w:t>Gestión de residuos sólidos</w:t>
      </w:r>
    </w:p>
    <w:p w14:paraId="00001B36" w14:textId="77777777" w:rsidR="00F664DB" w:rsidRPr="00285D58" w:rsidRDefault="00F664DB" w:rsidP="008D1FFF">
      <w:pPr>
        <w:spacing w:line="276" w:lineRule="auto"/>
        <w:jc w:val="both"/>
        <w:rPr>
          <w:rFonts w:asciiTheme="minorHAnsi" w:eastAsia="Calibri" w:hAnsiTheme="minorHAnsi" w:cstheme="minorHAnsi"/>
        </w:rPr>
      </w:pPr>
    </w:p>
    <w:p w14:paraId="00001B3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2.1.3.10. Gestión ambiental </w:t>
      </w:r>
    </w:p>
    <w:p w14:paraId="00001B38" w14:textId="72B5EA76" w:rsidR="00F664DB" w:rsidRPr="00285D58" w:rsidRDefault="006049C1" w:rsidP="008D1FFF">
      <w:pPr>
        <w:widowControl/>
        <w:numPr>
          <w:ilvl w:val="0"/>
          <w:numId w:val="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Reglamento de Gestión Ambiental del Sector Turismo, aprobado por Resolución Ministerial Nro. 235-2021 – MINCETUR</w:t>
      </w:r>
    </w:p>
    <w:p w14:paraId="00001B39" w14:textId="77777777" w:rsidR="00F664DB" w:rsidRPr="00285D58" w:rsidRDefault="00F664DB" w:rsidP="008D1FFF">
      <w:pPr>
        <w:spacing w:line="276" w:lineRule="auto"/>
        <w:jc w:val="both"/>
        <w:rPr>
          <w:rFonts w:asciiTheme="minorHAnsi" w:eastAsia="Calibri" w:hAnsiTheme="minorHAnsi" w:cstheme="minorHAnsi"/>
        </w:rPr>
      </w:pPr>
    </w:p>
    <w:p w14:paraId="00001B3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2.1.3.11. Gestión de Riesgo de Desastres </w:t>
      </w:r>
    </w:p>
    <w:p w14:paraId="00001B3B" w14:textId="75E00737" w:rsidR="00F664DB" w:rsidRPr="00285D58" w:rsidRDefault="006049C1" w:rsidP="008D1FFF">
      <w:pPr>
        <w:widowControl/>
        <w:numPr>
          <w:ilvl w:val="0"/>
          <w:numId w:val="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Prevención y Reducción del Riesgo de Desastres del Ministerio de Comercio Exterior y Turismo 2023”, aprobado por Resolución Ministerial Nro. 283-2023 – MINCETUR</w:t>
      </w:r>
    </w:p>
    <w:p w14:paraId="00001B3C" w14:textId="4138A29E" w:rsidR="00F664DB" w:rsidRPr="00285D58" w:rsidRDefault="006049C1" w:rsidP="008D1FFF">
      <w:pPr>
        <w:widowControl/>
        <w:numPr>
          <w:ilvl w:val="0"/>
          <w:numId w:val="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para la Evaluación de Riesgos Originados por Fenómenos Naturales – 2da Versión, para la Resolución Jefatural Nro. 112-2014-CENEPRED</w:t>
      </w:r>
    </w:p>
    <w:p w14:paraId="00001B3D" w14:textId="77777777" w:rsidR="00F664DB" w:rsidRPr="00285D58" w:rsidRDefault="00F664DB" w:rsidP="008D1FFF">
      <w:pPr>
        <w:spacing w:line="276" w:lineRule="auto"/>
        <w:jc w:val="both"/>
        <w:rPr>
          <w:rFonts w:asciiTheme="minorHAnsi" w:eastAsia="Calibri" w:hAnsiTheme="minorHAnsi" w:cstheme="minorHAnsi"/>
        </w:rPr>
      </w:pPr>
    </w:p>
    <w:p w14:paraId="00001B3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2.1.3.12. Normas Técnicas sobre BIM </w:t>
      </w:r>
    </w:p>
    <w:p w14:paraId="00001B3F" w14:textId="43C17200" w:rsidR="00F664DB" w:rsidRPr="00285D58" w:rsidRDefault="006049C1" w:rsidP="008D1FFF">
      <w:pPr>
        <w:widowControl/>
        <w:numPr>
          <w:ilvl w:val="0"/>
          <w:numId w:val="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Norma Técnica Peruana NTP-ISO 19650-1:2021 - Organización y digitalización de la información sobre edificios y obras de ingeniería civil, incluyendo el modelado de la información de la construcción (BIM) – Gestión de la información mediante el modelado de la información de la construcción”</w:t>
      </w:r>
    </w:p>
    <w:p w14:paraId="00001B40" w14:textId="686548EC" w:rsidR="00F664DB" w:rsidRPr="00285D58" w:rsidRDefault="006049C1" w:rsidP="008D1FFF">
      <w:pPr>
        <w:widowControl/>
        <w:numPr>
          <w:ilvl w:val="0"/>
          <w:numId w:val="2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Manual de Nomenclatura de documentos al utilizar BIM, elaborado por la Asociación BuldingSMART (denominada anteriormente International Alliance for Interoperability)</w:t>
      </w:r>
    </w:p>
    <w:p w14:paraId="00001B41" w14:textId="77777777" w:rsidR="00F664DB" w:rsidRPr="00285D58" w:rsidRDefault="00F664DB" w:rsidP="008D1FFF">
      <w:pPr>
        <w:spacing w:line="276" w:lineRule="auto"/>
        <w:jc w:val="both"/>
        <w:rPr>
          <w:rFonts w:asciiTheme="minorHAnsi" w:eastAsia="Calibri" w:hAnsiTheme="minorHAnsi" w:cstheme="minorHAnsi"/>
        </w:rPr>
      </w:pPr>
    </w:p>
    <w:p w14:paraId="00001B42"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50" w:name="_heading=h.1djgcep" w:colFirst="0" w:colLast="0"/>
      <w:bookmarkEnd w:id="150"/>
      <w:r w:rsidRPr="00285D58">
        <w:rPr>
          <w:rFonts w:asciiTheme="minorHAnsi" w:eastAsia="Calibri" w:hAnsiTheme="minorHAnsi" w:cstheme="minorHAnsi"/>
          <w:b/>
        </w:rPr>
        <w:lastRenderedPageBreak/>
        <w:t>GENERALIDADES</w:t>
      </w:r>
    </w:p>
    <w:p w14:paraId="00001B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B44" w14:textId="77777777" w:rsidR="00F664DB" w:rsidRPr="00285D58" w:rsidRDefault="00F664DB" w:rsidP="008D1FFF">
      <w:pPr>
        <w:spacing w:line="276" w:lineRule="auto"/>
        <w:jc w:val="both"/>
        <w:rPr>
          <w:rFonts w:asciiTheme="minorHAnsi" w:eastAsia="Calibri" w:hAnsiTheme="minorHAnsi" w:cstheme="minorHAnsi"/>
        </w:rPr>
      </w:pPr>
    </w:p>
    <w:p w14:paraId="00001B4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uno de los siguientes componentes del proyecto:</w:t>
      </w:r>
    </w:p>
    <w:p w14:paraId="00001B46"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Central Yanama</w:t>
      </w:r>
    </w:p>
    <w:p w14:paraId="00001B47"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Estación Central Huanipaca</w:t>
      </w:r>
    </w:p>
    <w:p w14:paraId="00001B48" w14:textId="77777777" w:rsidR="00F664DB" w:rsidRPr="00285D58" w:rsidRDefault="00F664DB" w:rsidP="008D1FFF">
      <w:pPr>
        <w:spacing w:line="276" w:lineRule="auto"/>
        <w:jc w:val="both"/>
        <w:rPr>
          <w:rFonts w:asciiTheme="minorHAnsi" w:eastAsia="Calibri" w:hAnsiTheme="minorHAnsi" w:cstheme="minorHAnsi"/>
        </w:rPr>
      </w:pPr>
    </w:p>
    <w:p w14:paraId="00001B4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B4A" w14:textId="77777777" w:rsidR="00F664DB" w:rsidRPr="00285D58" w:rsidRDefault="00F664DB" w:rsidP="008D1FFF">
      <w:pPr>
        <w:spacing w:line="276" w:lineRule="auto"/>
        <w:jc w:val="both"/>
        <w:rPr>
          <w:rFonts w:asciiTheme="minorHAnsi" w:eastAsia="Calibri" w:hAnsiTheme="minorHAnsi" w:cstheme="minorHAnsi"/>
        </w:rPr>
      </w:pPr>
    </w:p>
    <w:p w14:paraId="00001B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B4C" w14:textId="77777777" w:rsidR="00F664DB" w:rsidRPr="00285D58" w:rsidRDefault="00F664DB" w:rsidP="008D1FFF">
      <w:pPr>
        <w:spacing w:line="276" w:lineRule="auto"/>
        <w:jc w:val="both"/>
        <w:rPr>
          <w:rFonts w:asciiTheme="minorHAnsi" w:eastAsia="Calibri" w:hAnsiTheme="minorHAnsi" w:cstheme="minorHAnsi"/>
        </w:rPr>
      </w:pPr>
    </w:p>
    <w:p w14:paraId="00001B4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B4E" w14:textId="77777777" w:rsidR="00F664DB" w:rsidRPr="00285D58" w:rsidRDefault="006049C1" w:rsidP="00A3732C">
      <w:pPr>
        <w:keepNext/>
        <w:keepLines/>
        <w:numPr>
          <w:ilvl w:val="6"/>
          <w:numId w:val="126"/>
        </w:numPr>
        <w:spacing w:before="360" w:after="80" w:line="276" w:lineRule="auto"/>
        <w:ind w:left="1560" w:hanging="720"/>
        <w:jc w:val="both"/>
        <w:rPr>
          <w:rFonts w:asciiTheme="minorHAnsi" w:eastAsia="Calibri" w:hAnsiTheme="minorHAnsi" w:cstheme="minorHAnsi"/>
          <w:b/>
        </w:rPr>
      </w:pPr>
      <w:bookmarkStart w:id="151" w:name="_heading=h.3xj3v2i" w:colFirst="0" w:colLast="0"/>
      <w:bookmarkEnd w:id="151"/>
      <w:r w:rsidRPr="00285D58">
        <w:rPr>
          <w:rFonts w:asciiTheme="minorHAnsi" w:eastAsia="Calibri" w:hAnsiTheme="minorHAnsi" w:cstheme="minorHAnsi"/>
          <w:b/>
        </w:rPr>
        <w:t xml:space="preserve">METODOLOGÍA BIM </w:t>
      </w:r>
    </w:p>
    <w:p w14:paraId="00001B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y Supervisor. </w:t>
      </w:r>
    </w:p>
    <w:p w14:paraId="00001B50" w14:textId="77777777" w:rsidR="00F664DB" w:rsidRPr="00285D58" w:rsidRDefault="00F664DB" w:rsidP="008D1FFF">
      <w:pPr>
        <w:spacing w:line="276" w:lineRule="auto"/>
        <w:jc w:val="both"/>
        <w:rPr>
          <w:rFonts w:asciiTheme="minorHAnsi" w:eastAsia="Calibri" w:hAnsiTheme="minorHAnsi" w:cstheme="minorHAnsi"/>
        </w:rPr>
      </w:pPr>
    </w:p>
    <w:p w14:paraId="00001B5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B52" w14:textId="77777777" w:rsidR="00F664DB" w:rsidRPr="00285D58" w:rsidRDefault="00F664DB" w:rsidP="008D1FFF">
      <w:pPr>
        <w:spacing w:line="276" w:lineRule="auto"/>
        <w:jc w:val="both"/>
        <w:rPr>
          <w:rFonts w:asciiTheme="minorHAnsi" w:eastAsia="Calibri" w:hAnsiTheme="minorHAnsi" w:cstheme="minorHAnsi"/>
        </w:rPr>
      </w:pPr>
    </w:p>
    <w:p w14:paraId="00001B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B54" w14:textId="77777777" w:rsidR="00F664DB" w:rsidRPr="00285D58" w:rsidRDefault="00F664DB" w:rsidP="008D1FFF">
      <w:pPr>
        <w:spacing w:line="276" w:lineRule="auto"/>
        <w:jc w:val="both"/>
        <w:rPr>
          <w:rFonts w:asciiTheme="minorHAnsi" w:eastAsia="Calibri" w:hAnsiTheme="minorHAnsi" w:cstheme="minorHAnsi"/>
        </w:rPr>
      </w:pPr>
    </w:p>
    <w:p w14:paraId="00001B5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4.1.1 Condiciones generales </w:t>
      </w:r>
    </w:p>
    <w:p w14:paraId="00001B56" w14:textId="77777777" w:rsidR="00F664DB" w:rsidRPr="00285D58" w:rsidRDefault="00F664DB" w:rsidP="008D1FFF">
      <w:pPr>
        <w:spacing w:line="276" w:lineRule="auto"/>
        <w:jc w:val="both"/>
        <w:rPr>
          <w:rFonts w:asciiTheme="minorHAnsi" w:eastAsia="Calibri" w:hAnsiTheme="minorHAnsi" w:cstheme="minorHAnsi"/>
        </w:rPr>
      </w:pPr>
    </w:p>
    <w:p w14:paraId="00001B57"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B58"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acceso a la información que haga parte de la metodología BIM será otorgada al personal específico señalado por el CONCEDENTE y el Supervisor, según corresponda, </w:t>
      </w:r>
      <w:r w:rsidRPr="00285D58">
        <w:rPr>
          <w:rFonts w:asciiTheme="minorHAnsi" w:eastAsia="Calibri" w:hAnsiTheme="minorHAnsi" w:cstheme="minorHAnsi"/>
          <w:color w:val="000000"/>
        </w:rPr>
        <w:lastRenderedPageBreak/>
        <w:t xml:space="preserve">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 </w:t>
      </w:r>
    </w:p>
    <w:p w14:paraId="00001B59"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B5A"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B5B"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B5C"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B5D" w14:textId="77777777" w:rsidR="00F664DB" w:rsidRPr="00285D58" w:rsidRDefault="006049C1" w:rsidP="008D1FFF">
      <w:pPr>
        <w:widowControl/>
        <w:numPr>
          <w:ilvl w:val="0"/>
          <w:numId w:val="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implementación de la metodología BIM, el Concesionario deberá cumplir los criterios aprobados en las Leyes y Disposiciones Aplicables, así como el Apéndice 7 del presente Anexo. </w:t>
      </w:r>
    </w:p>
    <w:p w14:paraId="00001B5E" w14:textId="77777777" w:rsidR="00F664DB" w:rsidRPr="00285D58" w:rsidRDefault="00F664DB" w:rsidP="008D1FFF">
      <w:pPr>
        <w:spacing w:line="276" w:lineRule="auto"/>
        <w:jc w:val="both"/>
        <w:rPr>
          <w:rFonts w:asciiTheme="minorHAnsi" w:eastAsia="Calibri" w:hAnsiTheme="minorHAnsi" w:cstheme="minorHAnsi"/>
        </w:rPr>
      </w:pPr>
    </w:p>
    <w:p w14:paraId="00001B5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B60" w14:textId="77777777" w:rsidR="00F664DB" w:rsidRPr="00285D58" w:rsidRDefault="00F664DB" w:rsidP="008D1FFF">
      <w:pPr>
        <w:spacing w:line="276" w:lineRule="auto"/>
        <w:jc w:val="both"/>
        <w:rPr>
          <w:rFonts w:asciiTheme="minorHAnsi" w:eastAsia="Calibri" w:hAnsiTheme="minorHAnsi" w:cstheme="minorHAnsi"/>
        </w:rPr>
      </w:pPr>
    </w:p>
    <w:p w14:paraId="00001B6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Estaciones a través de un modelo virtual en 3D, implementando la información necesaria y suficiente para el desarrollo de las Obras, facilitando su verificación y seguimiento por parte del CONCEDENTE y del Supervisor. Como referencia, el nivel de detalle mínimo del modelo será LOD 350, sin que se limite al CONCESIONARIO de implementar mayores niveles de detalle, cuando lo considere conveniente. </w:t>
      </w:r>
    </w:p>
    <w:p w14:paraId="00001B62" w14:textId="77777777" w:rsidR="00F664DB" w:rsidRPr="00285D58" w:rsidRDefault="00F664DB" w:rsidP="008D1FFF">
      <w:pPr>
        <w:spacing w:line="276" w:lineRule="auto"/>
        <w:jc w:val="both"/>
        <w:rPr>
          <w:rFonts w:asciiTheme="minorHAnsi" w:eastAsia="Calibri" w:hAnsiTheme="minorHAnsi" w:cstheme="minorHAnsi"/>
        </w:rPr>
      </w:pPr>
    </w:p>
    <w:p w14:paraId="00001B6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B64" w14:textId="77777777" w:rsidR="00F664DB" w:rsidRPr="00285D58" w:rsidRDefault="00F664DB" w:rsidP="008D1FFF">
      <w:pPr>
        <w:spacing w:line="276" w:lineRule="auto"/>
        <w:jc w:val="both"/>
        <w:rPr>
          <w:rFonts w:asciiTheme="minorHAnsi" w:eastAsia="Calibri" w:hAnsiTheme="minorHAnsi" w:cstheme="minorHAnsi"/>
        </w:rPr>
      </w:pPr>
    </w:p>
    <w:p w14:paraId="00001B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los componentes del Proyecto; sin limitarse a lo siguiente:</w:t>
      </w:r>
    </w:p>
    <w:p w14:paraId="00001B66" w14:textId="77777777" w:rsidR="00F664DB" w:rsidRPr="00285D58" w:rsidRDefault="00F664DB" w:rsidP="008D1FFF">
      <w:pPr>
        <w:spacing w:line="276" w:lineRule="auto"/>
        <w:jc w:val="both"/>
        <w:rPr>
          <w:rFonts w:asciiTheme="minorHAnsi" w:eastAsia="Calibri" w:hAnsiTheme="minorHAnsi" w:cstheme="minorHAnsi"/>
        </w:rPr>
      </w:pPr>
    </w:p>
    <w:p w14:paraId="00001B67" w14:textId="1DD9A9E6"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Los documentos de los EDI por etapas, como se refieren en el Apartado 5 del presente Apéndice, según hayan sido presentados, observados o declarados conformes por el CONCEDENTE y el Supervisor</w:t>
      </w:r>
    </w:p>
    <w:p w14:paraId="00001B68" w14:textId="36038025"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Estudios elaborados a cuenta, costo y riesgo del CONCESIONARIO, no requeridos como parte del Contrato</w:t>
      </w:r>
    </w:p>
    <w:p w14:paraId="00001B69" w14:textId="2A1ACBCC"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Leyes y Disposiciones aplicables al Proyecto</w:t>
      </w:r>
    </w:p>
    <w:p w14:paraId="00001B6A" w14:textId="77777777"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aplicables al Proyecto y su estatus de cumplimiento (solicitudes y respuestas) durante su gestión </w:t>
      </w:r>
    </w:p>
    <w:p w14:paraId="00001B6B" w14:textId="32BF77A1"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y entregables previstos para la prestación de los Servicios Obligatorios, conforme a los Capítulos VI y VII del Contrato; incluyendo el Manual de Operación de las Instalaciones, Listados de Equipamiento y Mobiliario, entre otros</w:t>
      </w:r>
    </w:p>
    <w:p w14:paraId="00001B6C" w14:textId="703E2FE9"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del Proyecto, según hayan sido presentados, observados o declarados conforme por el CONCEDENTE y el Supervisor</w:t>
      </w:r>
    </w:p>
    <w:p w14:paraId="00001B6D" w14:textId="77777777" w:rsidR="00F664DB" w:rsidRPr="00285D58" w:rsidRDefault="006049C1" w:rsidP="008D1FFF">
      <w:pPr>
        <w:widowControl/>
        <w:numPr>
          <w:ilvl w:val="0"/>
          <w:numId w:val="2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Plan de Trabajo para cada componente del Proyecto, no observado por el CONCEDENTE y el Supervisor </w:t>
      </w:r>
    </w:p>
    <w:p w14:paraId="00001B6E" w14:textId="77777777" w:rsidR="00F664DB" w:rsidRPr="00285D58" w:rsidRDefault="00F664DB" w:rsidP="008D1FFF">
      <w:pPr>
        <w:spacing w:line="276" w:lineRule="auto"/>
        <w:jc w:val="both"/>
        <w:rPr>
          <w:rFonts w:asciiTheme="minorHAnsi" w:eastAsia="Calibri" w:hAnsiTheme="minorHAnsi" w:cstheme="minorHAnsi"/>
        </w:rPr>
      </w:pPr>
    </w:p>
    <w:p w14:paraId="00001B6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B70" w14:textId="77777777" w:rsidR="00F664DB" w:rsidRPr="00285D58" w:rsidRDefault="00F664DB" w:rsidP="008D1FFF">
      <w:pPr>
        <w:spacing w:line="276" w:lineRule="auto"/>
        <w:jc w:val="both"/>
        <w:rPr>
          <w:rFonts w:asciiTheme="minorHAnsi" w:eastAsia="Calibri" w:hAnsiTheme="minorHAnsi" w:cstheme="minorHAnsi"/>
        </w:rPr>
      </w:pPr>
    </w:p>
    <w:p w14:paraId="00001B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B72" w14:textId="77777777" w:rsidR="00F664DB" w:rsidRPr="00285D58" w:rsidRDefault="00F664DB" w:rsidP="008D1FFF">
      <w:pPr>
        <w:spacing w:line="276" w:lineRule="auto"/>
        <w:jc w:val="both"/>
        <w:rPr>
          <w:rFonts w:asciiTheme="minorHAnsi" w:eastAsia="Calibri" w:hAnsiTheme="minorHAnsi" w:cstheme="minorHAnsi"/>
        </w:rPr>
      </w:pPr>
    </w:p>
    <w:p w14:paraId="00001B7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B74" w14:textId="77777777" w:rsidR="00F664DB" w:rsidRPr="00285D58" w:rsidRDefault="00F664DB" w:rsidP="008D1FFF">
      <w:pPr>
        <w:spacing w:line="276" w:lineRule="auto"/>
        <w:jc w:val="both"/>
        <w:rPr>
          <w:rFonts w:asciiTheme="minorHAnsi" w:eastAsia="Calibri" w:hAnsiTheme="minorHAnsi" w:cstheme="minorHAnsi"/>
        </w:rPr>
      </w:pPr>
    </w:p>
    <w:p w14:paraId="00001B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los componentes del Proyecto, tanto por el CONCEDENTE como el Supervisor. </w:t>
      </w:r>
    </w:p>
    <w:p w14:paraId="00001B76" w14:textId="77777777" w:rsidR="00F664DB" w:rsidRPr="00285D58" w:rsidRDefault="00F664DB" w:rsidP="008D1FFF">
      <w:pPr>
        <w:spacing w:line="276" w:lineRule="auto"/>
        <w:jc w:val="both"/>
        <w:rPr>
          <w:rFonts w:asciiTheme="minorHAnsi" w:eastAsia="Calibri" w:hAnsiTheme="minorHAnsi" w:cstheme="minorHAnsi"/>
        </w:rPr>
      </w:pPr>
    </w:p>
    <w:p w14:paraId="00001B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los componentes del Proyecto y dichas modificaciones cuenten con la conformidad del CONCEDENTE y del Supervisor, el modelo virtual, así como los EDI respectivos, deberán ser actualizados por el CONCESIONARIO.</w:t>
      </w:r>
    </w:p>
    <w:p w14:paraId="00001B78" w14:textId="77777777" w:rsidR="00F664DB" w:rsidRPr="00285D58" w:rsidRDefault="00F664DB" w:rsidP="008D1FFF">
      <w:pPr>
        <w:spacing w:line="276" w:lineRule="auto"/>
        <w:jc w:val="both"/>
        <w:rPr>
          <w:rFonts w:asciiTheme="minorHAnsi" w:eastAsia="Calibri" w:hAnsiTheme="minorHAnsi" w:cstheme="minorHAnsi"/>
        </w:rPr>
      </w:pPr>
    </w:p>
    <w:p w14:paraId="00001B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los componentes del Proyecto, el CONCESIONARIO integrará al Entorno Común de Datos por cada componente, la siguiente información, sin limitarse a las siguientes: </w:t>
      </w:r>
    </w:p>
    <w:p w14:paraId="00001B7A" w14:textId="77777777" w:rsidR="00F664DB" w:rsidRPr="00285D58" w:rsidRDefault="00F664DB" w:rsidP="008D1FFF">
      <w:pPr>
        <w:spacing w:line="276" w:lineRule="auto"/>
        <w:jc w:val="both"/>
        <w:rPr>
          <w:rFonts w:asciiTheme="minorHAnsi" w:eastAsia="Calibri" w:hAnsiTheme="minorHAnsi" w:cstheme="minorHAnsi"/>
        </w:rPr>
      </w:pPr>
    </w:p>
    <w:p w14:paraId="00001B7B" w14:textId="306A5B84"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Entrega de los Bienes de la Concesión, referidos a las Áreas de emplazamiento de los componentes del Proyecto</w:t>
      </w:r>
    </w:p>
    <w:p w14:paraId="00001B7C" w14:textId="7B4598BD"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Actas de Inicio de la Construcción por cada componente</w:t>
      </w:r>
    </w:p>
    <w:p w14:paraId="00001B7D" w14:textId="380176EF"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componente </w:t>
      </w:r>
    </w:p>
    <w:p w14:paraId="00001B7E" w14:textId="494B9659"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Licencias y permisos otorgados y necesarios para el desarrollo de las Obras, para cada componente. Incluirán las renovaciones de aquellas que caduquen durante el respectivo Periodo Pre-operativo</w:t>
      </w:r>
    </w:p>
    <w:p w14:paraId="00001B7F" w14:textId="1AC2202D"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cuaderno de obra correspondiente a cada componente</w:t>
      </w:r>
    </w:p>
    <w:p w14:paraId="00001B80" w14:textId="24592203"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componente, conforme hayan sido observados y recibida conformidad del Supervisor</w:t>
      </w:r>
    </w:p>
    <w:p w14:paraId="00001B81" w14:textId="18C2AAEE"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Obras por componente, con conformidad del CONCEDENTE y el Supervisor</w:t>
      </w:r>
    </w:p>
    <w:p w14:paraId="00001B82" w14:textId="26CD78AA"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Resultados de pruebas de laboratorio y de calidad ejecutados durante el desarrollo de las Obras</w:t>
      </w:r>
    </w:p>
    <w:p w14:paraId="00001B83" w14:textId="57253715" w:rsidR="00F664DB" w:rsidRPr="00285D58" w:rsidRDefault="006049C1" w:rsidP="008D1FFF">
      <w:pPr>
        <w:widowControl/>
        <w:numPr>
          <w:ilvl w:val="0"/>
          <w:numId w:val="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reportes del Supervisor</w:t>
      </w:r>
    </w:p>
    <w:p w14:paraId="00001B84" w14:textId="77777777" w:rsidR="00F664DB" w:rsidRPr="00285D58" w:rsidRDefault="00F664DB" w:rsidP="008D1FFF">
      <w:pPr>
        <w:spacing w:line="276" w:lineRule="auto"/>
        <w:jc w:val="both"/>
        <w:rPr>
          <w:rFonts w:asciiTheme="minorHAnsi" w:eastAsia="Calibri" w:hAnsiTheme="minorHAnsi" w:cstheme="minorHAnsi"/>
        </w:rPr>
      </w:pPr>
    </w:p>
    <w:p w14:paraId="00001B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Durante los procesos de la Puesta en Marcha, se incluirán en el Entorno Común de Datos por componente, los siguientes datos:</w:t>
      </w:r>
    </w:p>
    <w:p w14:paraId="00001B86" w14:textId="77777777" w:rsidR="00F664DB" w:rsidRPr="00285D58" w:rsidRDefault="00F664DB" w:rsidP="008D1FFF">
      <w:pPr>
        <w:spacing w:line="276" w:lineRule="auto"/>
        <w:jc w:val="both"/>
        <w:rPr>
          <w:rFonts w:asciiTheme="minorHAnsi" w:eastAsia="Calibri" w:hAnsiTheme="minorHAnsi" w:cstheme="minorHAnsi"/>
        </w:rPr>
      </w:pPr>
    </w:p>
    <w:p w14:paraId="00001B87" w14:textId="422236A8"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del Manual de Operación de las Instalaciones, declarados conforme por el CONCEDENTE y el Supervisor</w:t>
      </w:r>
    </w:p>
    <w:p w14:paraId="00001B88" w14:textId="77777777"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Copia de los Listados de Equipamiento por componente, declarados conforme por el CONCEDENTE y el Supervisor</w:t>
      </w:r>
    </w:p>
    <w:p w14:paraId="00001B89" w14:textId="77777777"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Notificación de observaciones por componente que resulten de las visitas de verificación como parte de los procesos de la Puesta en Marcha </w:t>
      </w:r>
    </w:p>
    <w:p w14:paraId="00001B8A" w14:textId="17183F9E"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Certificados de Puesta en Marcha por componente, que hayan sido emitidos por el CONCEDENTE</w:t>
      </w:r>
    </w:p>
    <w:p w14:paraId="00001B8B" w14:textId="6B49BC3F" w:rsidR="00F664DB" w:rsidRPr="00285D58" w:rsidRDefault="006049C1" w:rsidP="00A3732C">
      <w:pPr>
        <w:widowControl/>
        <w:numPr>
          <w:ilvl w:val="0"/>
          <w:numId w:val="19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Listado de </w:t>
      </w:r>
      <w:r w:rsidR="00A3225A">
        <w:rPr>
          <w:rFonts w:asciiTheme="minorHAnsi" w:eastAsia="Calibri" w:hAnsiTheme="minorHAnsi" w:cstheme="minorHAnsi"/>
          <w:color w:val="000000"/>
        </w:rPr>
        <w:t>o</w:t>
      </w:r>
      <w:r w:rsidRPr="00285D58">
        <w:rPr>
          <w:rFonts w:asciiTheme="minorHAnsi" w:eastAsia="Calibri" w:hAnsiTheme="minorHAnsi" w:cstheme="minorHAnsi"/>
          <w:color w:val="000000"/>
        </w:rPr>
        <w:t xml:space="preserve">bservaciones por </w:t>
      </w:r>
      <w:r w:rsidR="00A3225A">
        <w:rPr>
          <w:rFonts w:asciiTheme="minorHAnsi" w:eastAsia="Calibri" w:hAnsiTheme="minorHAnsi" w:cstheme="minorHAnsi"/>
          <w:color w:val="000000"/>
        </w:rPr>
        <w:t>C</w:t>
      </w:r>
      <w:r w:rsidRPr="00285D58">
        <w:rPr>
          <w:rFonts w:asciiTheme="minorHAnsi" w:eastAsia="Calibri" w:hAnsiTheme="minorHAnsi" w:cstheme="minorHAnsi"/>
          <w:color w:val="000000"/>
        </w:rPr>
        <w:t>omponente, que se encuentren pendientes de subsanar</w:t>
      </w:r>
    </w:p>
    <w:p w14:paraId="00001B8C" w14:textId="77777777" w:rsidR="00F664DB" w:rsidRPr="00285D58" w:rsidRDefault="00F664DB" w:rsidP="008D1FFF">
      <w:pPr>
        <w:spacing w:line="276" w:lineRule="auto"/>
        <w:jc w:val="both"/>
        <w:rPr>
          <w:rFonts w:asciiTheme="minorHAnsi" w:eastAsia="Calibri" w:hAnsiTheme="minorHAnsi" w:cstheme="minorHAnsi"/>
        </w:rPr>
      </w:pPr>
    </w:p>
    <w:p w14:paraId="00001B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componente para 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00001B8E" w14:textId="77777777" w:rsidR="00F664DB" w:rsidRPr="00285D58" w:rsidRDefault="00F664DB" w:rsidP="008D1FFF">
      <w:pPr>
        <w:spacing w:line="276" w:lineRule="auto"/>
        <w:jc w:val="both"/>
        <w:rPr>
          <w:rFonts w:asciiTheme="minorHAnsi" w:eastAsia="Calibri" w:hAnsiTheme="minorHAnsi" w:cstheme="minorHAnsi"/>
        </w:rPr>
      </w:pPr>
    </w:p>
    <w:p w14:paraId="00001B8F" w14:textId="77777777" w:rsidR="00F664DB" w:rsidRPr="00285D58" w:rsidRDefault="00F664DB" w:rsidP="008D1FFF">
      <w:pPr>
        <w:spacing w:line="276" w:lineRule="auto"/>
        <w:jc w:val="both"/>
        <w:rPr>
          <w:rFonts w:asciiTheme="minorHAnsi" w:eastAsia="Calibri" w:hAnsiTheme="minorHAnsi" w:cstheme="minorHAnsi"/>
        </w:rPr>
      </w:pPr>
    </w:p>
    <w:p w14:paraId="00001B9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B91" w14:textId="77777777" w:rsidR="00F664DB" w:rsidRPr="00285D58" w:rsidRDefault="00F664DB" w:rsidP="008D1FFF">
      <w:pPr>
        <w:spacing w:line="276" w:lineRule="auto"/>
        <w:jc w:val="both"/>
        <w:rPr>
          <w:rFonts w:asciiTheme="minorHAnsi" w:eastAsia="Calibri" w:hAnsiTheme="minorHAnsi" w:cstheme="minorHAnsi"/>
        </w:rPr>
      </w:pPr>
    </w:p>
    <w:p w14:paraId="00001B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B93" w14:textId="77777777" w:rsidR="00F664DB" w:rsidRPr="00285D58" w:rsidRDefault="00F664DB" w:rsidP="008D1FFF">
      <w:pPr>
        <w:spacing w:line="276" w:lineRule="auto"/>
        <w:jc w:val="both"/>
        <w:rPr>
          <w:rFonts w:asciiTheme="minorHAnsi" w:eastAsia="Calibri" w:hAnsiTheme="minorHAnsi" w:cstheme="minorHAnsi"/>
        </w:rPr>
      </w:pPr>
    </w:p>
    <w:p w14:paraId="00001B94" w14:textId="73A682E3"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Descripción del uso de la metodología BIM para el Proyecto, acorde a los alcances previstos en el Contrato para el desarrollo de los diseños y la construcción de las Obras</w:t>
      </w:r>
    </w:p>
    <w:p w14:paraId="00001B95" w14:textId="77F319FB"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nivel de información o desarrollo de los elementos BIM o modelo BIM, conforme a los niveles de detalle señalados en el Apéndice 7 del presente Anexo</w:t>
      </w:r>
    </w:p>
    <w:p w14:paraId="00001B96" w14:textId="4D377C43"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Definición del Entorno Común de Datos</w:t>
      </w:r>
    </w:p>
    <w:p w14:paraId="00001B97" w14:textId="300A51F9"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Señalará a los participantes de la metodología BIM entre el personal del CONCESIONARIO, el CONCEDENTE y el Supervisor</w:t>
      </w:r>
    </w:p>
    <w:p w14:paraId="00001B98" w14:textId="34572611"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definición de los roles, permisos de acceso y alcances para cada uno de los actores, respecto al modelo BIM y la información contenida en el Entorno Común de Datos; cumpliendo como mínimo, lo referido en el Contrato y sus Anexos</w:t>
      </w:r>
    </w:p>
    <w:p w14:paraId="00001B99" w14:textId="7F675019"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la metodología de gestión de la información en la metodología BIM</w:t>
      </w:r>
    </w:p>
    <w:p w14:paraId="00001B9A" w14:textId="3AD79A9D" w:rsidR="00F664DB" w:rsidRPr="00285D58" w:rsidRDefault="006049C1" w:rsidP="00A3732C">
      <w:pPr>
        <w:widowControl/>
        <w:numPr>
          <w:ilvl w:val="0"/>
          <w:numId w:val="19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r w:rsidR="00FC5698" w:rsidRPr="00285D58">
        <w:rPr>
          <w:rFonts w:asciiTheme="minorHAnsi" w:eastAsia="Calibri" w:hAnsiTheme="minorHAnsi" w:cstheme="minorHAnsi"/>
          <w:color w:val="000000"/>
        </w:rPr>
        <w:t>)</w:t>
      </w:r>
    </w:p>
    <w:p w14:paraId="00001B9B" w14:textId="77777777" w:rsidR="00F664DB" w:rsidRPr="00285D58" w:rsidRDefault="00F664DB" w:rsidP="008D1FFF">
      <w:pPr>
        <w:spacing w:line="276" w:lineRule="auto"/>
        <w:jc w:val="both"/>
        <w:rPr>
          <w:rFonts w:asciiTheme="minorHAnsi" w:eastAsia="Calibri" w:hAnsiTheme="minorHAnsi" w:cstheme="minorHAnsi"/>
        </w:rPr>
      </w:pPr>
    </w:p>
    <w:p w14:paraId="00001B9C" w14:textId="77777777" w:rsidR="00F664DB" w:rsidRPr="00285D58" w:rsidRDefault="006049C1" w:rsidP="00A3732C">
      <w:pPr>
        <w:keepNext/>
        <w:keepLines/>
        <w:numPr>
          <w:ilvl w:val="6"/>
          <w:numId w:val="126"/>
        </w:numPr>
        <w:spacing w:before="360" w:after="80" w:line="276" w:lineRule="auto"/>
        <w:ind w:left="1560" w:hanging="851"/>
        <w:jc w:val="both"/>
        <w:rPr>
          <w:rFonts w:asciiTheme="minorHAnsi" w:eastAsia="Calibri" w:hAnsiTheme="minorHAnsi" w:cstheme="minorHAnsi"/>
          <w:b/>
        </w:rPr>
      </w:pPr>
      <w:bookmarkStart w:id="152" w:name="_heading=h.2coe5ab" w:colFirst="0" w:colLast="0"/>
      <w:bookmarkEnd w:id="152"/>
      <w:r w:rsidRPr="00285D58">
        <w:rPr>
          <w:rFonts w:asciiTheme="minorHAnsi" w:eastAsia="Calibri" w:hAnsiTheme="minorHAnsi" w:cstheme="minorHAnsi"/>
          <w:b/>
        </w:rPr>
        <w:t xml:space="preserve">ELABORACIÓN Y CONTENIDO DEL ESTUDIO DEFINITIVO DE INGENIERÍA </w:t>
      </w:r>
    </w:p>
    <w:p w14:paraId="00001B9D" w14:textId="77777777" w:rsidR="00F664DB" w:rsidRPr="00285D58" w:rsidRDefault="00F664DB" w:rsidP="008D1FFF">
      <w:pPr>
        <w:spacing w:line="276" w:lineRule="auto"/>
        <w:jc w:val="both"/>
        <w:rPr>
          <w:rFonts w:asciiTheme="minorHAnsi" w:eastAsia="Calibri" w:hAnsiTheme="minorHAnsi" w:cstheme="minorHAnsi"/>
          <w:b/>
        </w:rPr>
      </w:pPr>
    </w:p>
    <w:p w14:paraId="00001B9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0001B9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BA0" w14:textId="77777777" w:rsidR="00F664DB" w:rsidRPr="00285D58" w:rsidRDefault="00F664DB" w:rsidP="008D1FFF">
      <w:pPr>
        <w:spacing w:line="276" w:lineRule="auto"/>
        <w:jc w:val="both"/>
        <w:rPr>
          <w:rFonts w:asciiTheme="minorHAnsi" w:eastAsia="Calibri" w:hAnsiTheme="minorHAnsi" w:cstheme="minorHAnsi"/>
        </w:rPr>
      </w:pPr>
    </w:p>
    <w:p w14:paraId="00001BA1" w14:textId="77777777" w:rsidR="00F664DB" w:rsidRPr="00285D58" w:rsidRDefault="006049C1" w:rsidP="00A3732C">
      <w:pPr>
        <w:widowControl/>
        <w:numPr>
          <w:ilvl w:val="0"/>
          <w:numId w:val="1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BA2" w14:textId="77777777" w:rsidR="00F664DB" w:rsidRPr="00285D58" w:rsidRDefault="006049C1" w:rsidP="00A3732C">
      <w:pPr>
        <w:widowControl/>
        <w:numPr>
          <w:ilvl w:val="0"/>
          <w:numId w:val="1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Mecánica de Suelos, según lo establecido en el Apéndice 4 del presente Anexo. </w:t>
      </w:r>
    </w:p>
    <w:p w14:paraId="00001BA3" w14:textId="77777777" w:rsidR="00F664DB" w:rsidRPr="00285D58" w:rsidRDefault="00F664DB" w:rsidP="008D1FFF">
      <w:pPr>
        <w:spacing w:line="276" w:lineRule="auto"/>
        <w:jc w:val="both"/>
        <w:rPr>
          <w:rFonts w:asciiTheme="minorHAnsi" w:eastAsia="Calibri" w:hAnsiTheme="minorHAnsi" w:cstheme="minorHAnsi"/>
        </w:rPr>
      </w:pPr>
    </w:p>
    <w:p w14:paraId="00001BA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las estaciones y los teleféricos.</w:t>
      </w:r>
    </w:p>
    <w:p w14:paraId="00001BA5" w14:textId="77777777" w:rsidR="00F664DB" w:rsidRPr="00285D58" w:rsidRDefault="00F664DB" w:rsidP="008D1FFF">
      <w:pPr>
        <w:spacing w:line="276" w:lineRule="auto"/>
        <w:jc w:val="both"/>
        <w:rPr>
          <w:rFonts w:asciiTheme="minorHAnsi" w:eastAsia="Calibri" w:hAnsiTheme="minorHAnsi" w:cstheme="minorHAnsi"/>
        </w:rPr>
      </w:pPr>
    </w:p>
    <w:p w14:paraId="00001BA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donde se emplazarán los componentes del Proyecto, que deban considerarse para el desarrollo de los EDI y de las Obras. Lo anterior incluirá la ejecución de los estudios técnicos necesarios para la identificación de posibles interferencias en las distintas Áreas donde se emplazarán los componentes del Proyecto, incluyendo estudios hidrológicos, de interferencias, entre otros.</w:t>
      </w:r>
    </w:p>
    <w:p w14:paraId="00001BA7" w14:textId="77777777" w:rsidR="00F664DB" w:rsidRPr="00285D58" w:rsidRDefault="00F664DB" w:rsidP="008D1FFF">
      <w:pPr>
        <w:spacing w:line="276" w:lineRule="auto"/>
        <w:jc w:val="both"/>
        <w:rPr>
          <w:rFonts w:asciiTheme="minorHAnsi" w:eastAsia="Calibri" w:hAnsiTheme="minorHAnsi" w:cstheme="minorHAnsi"/>
        </w:rPr>
      </w:pPr>
    </w:p>
    <w:p w14:paraId="00001B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donde se emplazarán los componentes del Proyecto </w:t>
      </w:r>
      <w:r w:rsidRPr="00285D58">
        <w:rPr>
          <w:rFonts w:asciiTheme="minorHAnsi" w:eastAsia="Calibri" w:hAnsiTheme="minorHAnsi" w:cstheme="minorHAnsi"/>
        </w:rPr>
        <w:lastRenderedPageBreak/>
        <w:t xml:space="preserve">incluyendo las acciones que se estimen como pertinentes y necesarias para permitir el desarrollo de las Obras para el cumplimiento de los requerimientos del Contrato; incluyendo, pero sin limitarse a: </w:t>
      </w:r>
    </w:p>
    <w:p w14:paraId="00001BA9" w14:textId="77777777" w:rsidR="00F664DB" w:rsidRPr="00285D58" w:rsidRDefault="00F664DB" w:rsidP="008D1FFF">
      <w:pPr>
        <w:spacing w:line="276" w:lineRule="auto"/>
        <w:jc w:val="both"/>
        <w:rPr>
          <w:rFonts w:asciiTheme="minorHAnsi" w:eastAsia="Calibri" w:hAnsiTheme="minorHAnsi" w:cstheme="minorHAnsi"/>
        </w:rPr>
      </w:pPr>
    </w:p>
    <w:p w14:paraId="00001BAA" w14:textId="1B62A2F2" w:rsidR="00F664DB" w:rsidRPr="00285D58" w:rsidRDefault="006049C1" w:rsidP="00A3732C">
      <w:pPr>
        <w:widowControl/>
        <w:numPr>
          <w:ilvl w:val="0"/>
          <w:numId w:val="1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BAB" w14:textId="3211EA1E" w:rsidR="00F664DB" w:rsidRPr="00285D58" w:rsidRDefault="006049C1" w:rsidP="00A3732C">
      <w:pPr>
        <w:widowControl/>
        <w:numPr>
          <w:ilvl w:val="0"/>
          <w:numId w:val="1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BAC" w14:textId="77777777" w:rsidR="00F664DB" w:rsidRPr="00285D58" w:rsidRDefault="00F664DB" w:rsidP="008D1FFF">
      <w:pPr>
        <w:spacing w:line="276" w:lineRule="auto"/>
        <w:jc w:val="both"/>
        <w:rPr>
          <w:rFonts w:asciiTheme="minorHAnsi" w:eastAsia="Calibri" w:hAnsiTheme="minorHAnsi" w:cstheme="minorHAnsi"/>
        </w:rPr>
      </w:pPr>
    </w:p>
    <w:p w14:paraId="00001B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no podrá invocar la decisión de no ejecutar estudios técnicos complementarios como sustento para la modificación de los plazos y montos del Contrato, en caso de presentarse interferencias no identificadas previamente en las Áreas donde se emplazarán los componentes del Proyecto, que deban ser subsanadas por el CONCESIONARIO para desarrollar las Obras. </w:t>
      </w:r>
    </w:p>
    <w:p w14:paraId="00001BAE" w14:textId="77777777" w:rsidR="00F664DB" w:rsidRPr="00285D58" w:rsidRDefault="00F664DB" w:rsidP="008D1FFF">
      <w:pPr>
        <w:spacing w:line="276" w:lineRule="auto"/>
        <w:jc w:val="both"/>
        <w:rPr>
          <w:rFonts w:asciiTheme="minorHAnsi" w:eastAsia="Calibri" w:hAnsiTheme="minorHAnsi" w:cstheme="minorHAnsi"/>
        </w:rPr>
      </w:pPr>
    </w:p>
    <w:p w14:paraId="00001B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 ANTEPROYECTO </w:t>
      </w:r>
    </w:p>
    <w:p w14:paraId="00001BB0" w14:textId="77777777" w:rsidR="00F664DB" w:rsidRPr="00285D58" w:rsidRDefault="00F664DB" w:rsidP="008D1FFF">
      <w:pPr>
        <w:spacing w:line="276" w:lineRule="auto"/>
        <w:jc w:val="both"/>
        <w:rPr>
          <w:rFonts w:asciiTheme="minorHAnsi" w:eastAsia="Calibri" w:hAnsiTheme="minorHAnsi" w:cstheme="minorHAnsi"/>
        </w:rPr>
      </w:pPr>
    </w:p>
    <w:p w14:paraId="00001BB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Anteproyecto de Arquitectura</w:t>
      </w:r>
    </w:p>
    <w:p w14:paraId="00001BB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 los resultados obtenidos a partir de los trabajos y estudios previos realizados en la Etapa I, y del Trazo definitivo de los Teleféricos, el CONCESIONARIO elaborará el anteproyecto de arquitectura con base a los ambientes detallados en el Anexo 03 y en las Leyes y Disposiciones Aplicables. </w:t>
      </w:r>
    </w:p>
    <w:p w14:paraId="00001BB3" w14:textId="77777777" w:rsidR="00F664DB" w:rsidRPr="00285D58" w:rsidRDefault="00F664DB" w:rsidP="008D1FFF">
      <w:pPr>
        <w:spacing w:line="276" w:lineRule="auto"/>
        <w:jc w:val="both"/>
        <w:rPr>
          <w:rFonts w:asciiTheme="minorHAnsi" w:eastAsia="Calibri" w:hAnsiTheme="minorHAnsi" w:cstheme="minorHAnsi"/>
        </w:rPr>
      </w:pPr>
    </w:p>
    <w:p w14:paraId="00001BB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concepción de las edificaciones y espacios exteriores deben considerar y prever: condiciones arquitectónicas urbanas, condiciones bioclimáticas adecuadas, el contexto urbano, pertinencia estructural y funcional, características de acceso a servicios básicos y otras que permitan la mejor solución de habitabilidad de las edificaciones proyectadas. Todos los sistemas que se propongan deberán ser factibles de construir, mostrar vigencia tecnológica y ser sostenibles en el tiempo. </w:t>
      </w:r>
    </w:p>
    <w:p w14:paraId="00001BB5" w14:textId="77777777" w:rsidR="00F664DB" w:rsidRPr="00285D58" w:rsidRDefault="00F664DB" w:rsidP="008D1FFF">
      <w:pPr>
        <w:spacing w:line="276" w:lineRule="auto"/>
        <w:jc w:val="both"/>
        <w:rPr>
          <w:rFonts w:asciiTheme="minorHAnsi" w:eastAsia="Calibri" w:hAnsiTheme="minorHAnsi" w:cstheme="minorHAnsi"/>
        </w:rPr>
      </w:pPr>
    </w:p>
    <w:p w14:paraId="00001BB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relaciones volumétricas, altura de las edificaciones, elevaciones y fachadas, relación funcional, circulación y flujos de usuarios, materialidad, seguridad particular interna y externa entre otros, deberán ser evaluadas y propuestas por el CONCESIONARIO cumpliendo las Leyes y Disposiciones Aplicables. La propuesta de emplazamiento, propuesta espacial y arquitectónica, así como la propuesta de materialidad, deberá corresponder a la zona bioclimática en la que se encuentra el terreno. </w:t>
      </w:r>
    </w:p>
    <w:p w14:paraId="00001BB7" w14:textId="77777777" w:rsidR="00F664DB" w:rsidRPr="00285D58" w:rsidRDefault="00F664DB" w:rsidP="008D1FFF">
      <w:pPr>
        <w:spacing w:line="276" w:lineRule="auto"/>
        <w:jc w:val="both"/>
        <w:rPr>
          <w:rFonts w:asciiTheme="minorHAnsi" w:eastAsia="Calibri" w:hAnsiTheme="minorHAnsi" w:cstheme="minorHAnsi"/>
        </w:rPr>
      </w:pPr>
    </w:p>
    <w:p w14:paraId="00001B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arquitectónico contendrá el predimensionamiento geométrico general de la estructura, debiéndose representar las geometrías de los elementos estructurales (placas, columnas, losas, escaleras, etc.) en base al predimensionamiento planteado.</w:t>
      </w:r>
    </w:p>
    <w:p w14:paraId="00001BB9" w14:textId="77777777" w:rsidR="00F664DB" w:rsidRPr="00285D58" w:rsidRDefault="00F664DB" w:rsidP="008D1FFF">
      <w:pPr>
        <w:spacing w:line="276" w:lineRule="auto"/>
        <w:jc w:val="both"/>
        <w:rPr>
          <w:rFonts w:asciiTheme="minorHAnsi" w:eastAsia="Calibri" w:hAnsiTheme="minorHAnsi" w:cstheme="minorHAnsi"/>
        </w:rPr>
      </w:pPr>
    </w:p>
    <w:p w14:paraId="00001B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arquitectura será desarrollado como mínimo con el modelo BIM – AR LOD 350. Contendrá, como mínimo, los siguientes documentos: </w:t>
      </w:r>
    </w:p>
    <w:p w14:paraId="00001BBB" w14:textId="77777777" w:rsidR="00F664DB" w:rsidRPr="00285D58" w:rsidRDefault="00F664DB" w:rsidP="008D1FFF">
      <w:pPr>
        <w:spacing w:line="276" w:lineRule="auto"/>
        <w:jc w:val="both"/>
        <w:rPr>
          <w:rFonts w:asciiTheme="minorHAnsi" w:eastAsia="Calibri" w:hAnsiTheme="minorHAnsi" w:cstheme="minorHAnsi"/>
        </w:rPr>
      </w:pPr>
    </w:p>
    <w:p w14:paraId="00001BBC" w14:textId="75F7FCFA"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ubicación con parámetros según formato de la RM No. 305-2017- VIVIENDA, y cortes de calles aledañas y cuadro normativo indicando los parámetros urbanísticos. </w:t>
      </w:r>
      <w:r w:rsidRPr="00285D58">
        <w:rPr>
          <w:rFonts w:asciiTheme="minorHAnsi" w:eastAsia="Calibri" w:hAnsiTheme="minorHAnsi" w:cstheme="minorHAnsi"/>
          <w:color w:val="000000"/>
        </w:rPr>
        <w:lastRenderedPageBreak/>
        <w:t>Incluirá Cuadro de áreas, información de áreas de estructuración urbana, según lo establecido en las Leyes y Disposiciones Aplicables sobre habilitaciones urbanas y edificaciones, conforme al Apartado 2 de la presente sección</w:t>
      </w:r>
    </w:p>
    <w:p w14:paraId="00001BBD" w14:textId="21C9484F"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 General del Anteproyecto de arquitectura, que debe considerar el análisis de condicionantes externos que influyen para la implementación de la infraestructura arquitectónica</w:t>
      </w:r>
    </w:p>
    <w:p w14:paraId="00001BBE"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para finalmente concluir en las estrategias proyectuales tales como: </w:t>
      </w:r>
    </w:p>
    <w:p w14:paraId="00001BBF"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BC0"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BC1"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BC2"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BC3" w14:textId="77777777"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BC4" w14:textId="2EB1BE43" w:rsidR="00F664DB" w:rsidRPr="00285D58" w:rsidRDefault="006049C1" w:rsidP="00A3732C">
      <w:pPr>
        <w:widowControl/>
        <w:numPr>
          <w:ilvl w:val="1"/>
          <w:numId w:val="2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Estrategias de ubicación del equipamiento específico para el correcto funcionamiento de los teleféricos, etc</w:t>
      </w:r>
    </w:p>
    <w:p w14:paraId="00001BC5" w14:textId="7A1CBA64"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áreas del anteproyecto (Programa Arquitectónico Definitivo)</w:t>
      </w:r>
    </w:p>
    <w:p w14:paraId="00001BC6" w14:textId="35323F99" w:rsidR="00F664DB" w:rsidRPr="00285D58" w:rsidRDefault="00000000"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sdt>
        <w:sdtPr>
          <w:rPr>
            <w:rFonts w:asciiTheme="minorHAnsi" w:hAnsiTheme="minorHAnsi" w:cstheme="minorHAnsi"/>
          </w:rPr>
          <w:tag w:val="goog_rdk_156"/>
          <w:id w:val="-1423411653"/>
        </w:sdtPr>
        <w:sdtContent/>
      </w:sdt>
      <w:sdt>
        <w:sdtPr>
          <w:rPr>
            <w:rFonts w:asciiTheme="minorHAnsi" w:hAnsiTheme="minorHAnsi" w:cstheme="minorHAnsi"/>
          </w:rPr>
          <w:tag w:val="goog_rdk_157"/>
          <w:id w:val="255333954"/>
        </w:sdtPr>
        <w:sdtContent/>
      </w:sdt>
      <w:r w:rsidR="006049C1" w:rsidRPr="00285D58">
        <w:rPr>
          <w:rFonts w:asciiTheme="minorHAnsi" w:eastAsia="Calibri" w:hAnsiTheme="minorHAnsi" w:cstheme="minorHAnsi"/>
          <w:color w:val="000000"/>
        </w:rPr>
        <w:t>Planta General de Distribución (plantas arquitectónicas de todos los pisos) a escala 1:100, según corresponda, todos los ambientes deberán indicar sus respectivas áreas</w:t>
      </w:r>
      <w:r w:rsidR="00D55B7A" w:rsidRPr="00285D58">
        <w:rPr>
          <w:rFonts w:asciiTheme="minorHAnsi" w:eastAsia="Calibri" w:hAnsiTheme="minorHAnsi" w:cstheme="minorHAnsi"/>
          <w:color w:val="000000"/>
        </w:rPr>
        <w:t xml:space="preserve"> y cuadro de vanos.</w:t>
      </w:r>
    </w:p>
    <w:p w14:paraId="00001BC7"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Cortes y Elevaciones en escala 1:100 (mínimo 02 cortes longitudinales y 02 cortes transversales y las elevaciones que correspondan). El trazo de los cortes y elevaciones a presentar deben cumplir los requerimientos mínimos indicados anteriormente; además, deberán efectuarse por zonas complejas, donde se presenten cambios de nivel, escaleras, SSHH, topografía con desniveles, etc. </w:t>
      </w:r>
    </w:p>
    <w:p w14:paraId="00001BC8" w14:textId="77777777" w:rsidR="00F664DB" w:rsidRPr="00285D58" w:rsidRDefault="006049C1" w:rsidP="00A3732C">
      <w:pPr>
        <w:widowControl/>
        <w:numPr>
          <w:ilvl w:val="0"/>
          <w:numId w:val="1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con la verificación de medidas (superposición de planos) entre el perímetro registral y el perímetro topográfico del predio, incluyendo las coordenadas UTM y la orientación, debidamente comentado al existir o no discrepancias entre las medidas perimétricas o linderos. Deberá incluir los niveles de piso terminado (N.P.T) cotas y ejes.</w:t>
      </w:r>
    </w:p>
    <w:p w14:paraId="00001BC9" w14:textId="77777777" w:rsidR="00F664DB" w:rsidRPr="00285D58" w:rsidRDefault="00F664DB" w:rsidP="008D1FFF">
      <w:pPr>
        <w:spacing w:line="276" w:lineRule="auto"/>
        <w:jc w:val="both"/>
        <w:rPr>
          <w:rFonts w:asciiTheme="minorHAnsi" w:eastAsia="Calibri" w:hAnsiTheme="minorHAnsi" w:cstheme="minorHAnsi"/>
        </w:rPr>
      </w:pPr>
    </w:p>
    <w:p w14:paraId="00001BC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5.2.2. Anteproyecto de Estructuras </w:t>
      </w:r>
    </w:p>
    <w:p w14:paraId="00001BCB" w14:textId="63BEAED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anteproyecto de estructuras debe determinar el diseño preliminar de todos los elementos estructurales que comprenden las obras nuevas, tanto para las estaciones, como para las obras exteriores (cimentación de torres, cercos perimétricos, muros de contención, portadas de ingreso, cisterna, entre otros). </w:t>
      </w:r>
    </w:p>
    <w:p w14:paraId="00001BCC" w14:textId="77777777" w:rsidR="00F664DB" w:rsidRPr="00285D58" w:rsidRDefault="00F664DB" w:rsidP="008D1FFF">
      <w:pPr>
        <w:spacing w:line="276" w:lineRule="auto"/>
        <w:jc w:val="both"/>
        <w:rPr>
          <w:rFonts w:asciiTheme="minorHAnsi" w:eastAsia="Calibri" w:hAnsiTheme="minorHAnsi" w:cstheme="minorHAnsi"/>
        </w:rPr>
      </w:pPr>
    </w:p>
    <w:p w14:paraId="00001BC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utilizar como información principal los estudios preliminares o básicos del terreno, como el Estudio de Mecánica de suelos y el Levantamiento Topográfico; y deberá definir la alternativa de cimentación más idónea a utilizar, determinando las profundidades de cimentación, las dimensiones, la materialidad, entre otros. </w:t>
      </w:r>
    </w:p>
    <w:p w14:paraId="00001BCE" w14:textId="77777777" w:rsidR="00F664DB" w:rsidRPr="00285D58" w:rsidRDefault="00F664DB" w:rsidP="008D1FFF">
      <w:pPr>
        <w:spacing w:line="276" w:lineRule="auto"/>
        <w:jc w:val="both"/>
        <w:rPr>
          <w:rFonts w:asciiTheme="minorHAnsi" w:eastAsia="Calibri" w:hAnsiTheme="minorHAnsi" w:cstheme="minorHAnsi"/>
        </w:rPr>
      </w:pPr>
    </w:p>
    <w:p w14:paraId="00001BC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Sobre la base de los resultados obtenidos en la etapa de Evaluación Estructural, se contemplarán partidas de seguridad, calzaduras de cimentaciones adyacentes de ser el caso, apuntalamientos a </w:t>
      </w:r>
      <w:r w:rsidRPr="00285D58">
        <w:rPr>
          <w:rFonts w:asciiTheme="minorHAnsi" w:eastAsia="Calibri" w:hAnsiTheme="minorHAnsi" w:cstheme="minorHAnsi"/>
        </w:rPr>
        <w:lastRenderedPageBreak/>
        <w:t>las zonas de trabajo, recomendaciones necesarias indicando proceso constructivo a seguir para garantizar la estabilidad de las estructuras.</w:t>
      </w:r>
    </w:p>
    <w:p w14:paraId="00001BD0" w14:textId="77777777" w:rsidR="00F664DB" w:rsidRPr="00285D58" w:rsidRDefault="00F664DB" w:rsidP="008D1FFF">
      <w:pPr>
        <w:spacing w:line="276" w:lineRule="auto"/>
        <w:jc w:val="both"/>
        <w:rPr>
          <w:rFonts w:asciiTheme="minorHAnsi" w:eastAsia="Calibri" w:hAnsiTheme="minorHAnsi" w:cstheme="minorHAnsi"/>
        </w:rPr>
      </w:pPr>
    </w:p>
    <w:p w14:paraId="00001BD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será desarrollado como mínimo en Mod BIM – AR LOD 350 y contendrá los siguientes documentos, como mínimo:</w:t>
      </w:r>
    </w:p>
    <w:p w14:paraId="00001BD2"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general del anteproyecto de estructuras, la cual debe incluir el predimensionamiento de todos los elementos estructurales, cimentaciones, columnas, muros de corte y albañilería, vigas, losas macizas y aligeradas, muros de contención, cercos perimétricos, portadas, cisternas, entre otros elementos. </w:t>
      </w:r>
    </w:p>
    <w:p w14:paraId="00001BD3"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Planta General de Distribución (todos los pisos y planta de techos) a escala 1:100. </w:t>
      </w:r>
    </w:p>
    <w:p w14:paraId="00001BD4" w14:textId="77777777" w:rsidR="00F664DB" w:rsidRPr="00285D58" w:rsidRDefault="006049C1" w:rsidP="00A3732C">
      <w:pPr>
        <w:widowControl/>
        <w:numPr>
          <w:ilvl w:val="0"/>
          <w:numId w:val="2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Cortes y Elevaciones en escala 1:100 (mínimo 02 cortes por bloque y todas las fachadas de cada bloque), la ubicación de los cortes será por lugares donde se localicen cambios de nivel de piso, etc.</w:t>
      </w:r>
    </w:p>
    <w:p w14:paraId="00001BD5" w14:textId="77777777" w:rsidR="00F664DB" w:rsidRPr="00285D58" w:rsidRDefault="00F664DB" w:rsidP="008D1FFF">
      <w:pPr>
        <w:spacing w:line="276" w:lineRule="auto"/>
        <w:jc w:val="both"/>
        <w:rPr>
          <w:rFonts w:asciiTheme="minorHAnsi" w:eastAsia="Calibri" w:hAnsiTheme="minorHAnsi" w:cstheme="minorHAnsi"/>
        </w:rPr>
      </w:pPr>
    </w:p>
    <w:p w14:paraId="00001BD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anteproyecto de estructuras debe alinearse a lo que establece las Leyes y Disposiciones Aplicables sobre diseño sismorresistentes, incluyendo diseño de estructuras simétricas tanto en planta como en altura. La solución de la estructura propuesta no debe presentar irregularidad estructural.</w:t>
      </w:r>
    </w:p>
    <w:p w14:paraId="00001BD7" w14:textId="77777777" w:rsidR="00F664DB" w:rsidRPr="00285D58" w:rsidRDefault="00F664DB" w:rsidP="008D1FFF">
      <w:pPr>
        <w:spacing w:line="276" w:lineRule="auto"/>
        <w:jc w:val="both"/>
        <w:rPr>
          <w:rFonts w:asciiTheme="minorHAnsi" w:eastAsia="Calibri" w:hAnsiTheme="minorHAnsi" w:cstheme="minorHAnsi"/>
        </w:rPr>
      </w:pPr>
    </w:p>
    <w:p w14:paraId="00001B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verificaciones de irregularidades estructurales en Altura se indican en la Tabla Nº 8 de la Norma E.030 y las verificaciones de irregularidades en Planta se indican en la Tabla Nº 9 de la Norma E.030, es importante señalar que el Anteproyecto de Estructuras guarda concordancia con el Anteproyecto de Arquitectura, en esta etapa ambas especialidades deben dar su aprobación al planteamiento preliminar. </w:t>
      </w:r>
    </w:p>
    <w:p w14:paraId="00001BD9" w14:textId="77777777" w:rsidR="00F664DB" w:rsidRPr="00285D58" w:rsidRDefault="00F664DB" w:rsidP="008D1FFF">
      <w:pPr>
        <w:spacing w:line="276" w:lineRule="auto"/>
        <w:jc w:val="both"/>
        <w:rPr>
          <w:rFonts w:asciiTheme="minorHAnsi" w:eastAsia="Calibri" w:hAnsiTheme="minorHAnsi" w:cstheme="minorHAnsi"/>
        </w:rPr>
      </w:pPr>
    </w:p>
    <w:p w14:paraId="00001BDA" w14:textId="77777777" w:rsidR="00F664DB" w:rsidRPr="00285D58" w:rsidRDefault="00F664DB" w:rsidP="008D1FFF">
      <w:pPr>
        <w:spacing w:line="276" w:lineRule="auto"/>
        <w:jc w:val="both"/>
        <w:rPr>
          <w:rFonts w:asciiTheme="minorHAnsi" w:eastAsia="Calibri" w:hAnsiTheme="minorHAnsi" w:cstheme="minorHAnsi"/>
        </w:rPr>
      </w:pPr>
    </w:p>
    <w:p w14:paraId="00001BD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ETAPA III: ESTUDIO DEFINITIVO DE INGENIERÍA (EDI) </w:t>
      </w:r>
    </w:p>
    <w:p w14:paraId="00001BD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las diferentes especialidades que componen los EDI con fines constructivos. </w:t>
      </w:r>
    </w:p>
    <w:p w14:paraId="00001BDD" w14:textId="77777777" w:rsidR="00F664DB" w:rsidRPr="00285D58" w:rsidRDefault="00F664DB" w:rsidP="008D1FFF">
      <w:pPr>
        <w:spacing w:line="276" w:lineRule="auto"/>
        <w:jc w:val="both"/>
        <w:rPr>
          <w:rFonts w:asciiTheme="minorHAnsi" w:eastAsia="Calibri" w:hAnsiTheme="minorHAnsi" w:cstheme="minorHAnsi"/>
        </w:rPr>
      </w:pPr>
    </w:p>
    <w:p w14:paraId="00001B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EDI comprenden la presentación del desarrollo del proyecto integral de las especialidades de Arquitectura, Seguridad y Evacuación ante Desastres, Estructuras, Instalaciones Sanitarias, Comunicaciones, Instalaciones Eléctricas y/o, Mecánicas e Instalaciones especiales (gas, voceo, cableado estructurado u otras correspondientes) debidamente compatibilizadas entre ellas, que incluyan los planos de obra, memorias descriptivas, memorias de cálculo.</w:t>
      </w:r>
    </w:p>
    <w:p w14:paraId="00001BDF" w14:textId="77777777" w:rsidR="00F664DB" w:rsidRPr="00285D58" w:rsidRDefault="00F664DB" w:rsidP="008D1FFF">
      <w:pPr>
        <w:spacing w:line="276" w:lineRule="auto"/>
        <w:jc w:val="both"/>
        <w:rPr>
          <w:rFonts w:asciiTheme="minorHAnsi" w:eastAsia="Calibri" w:hAnsiTheme="minorHAnsi" w:cstheme="minorHAnsi"/>
        </w:rPr>
      </w:pPr>
    </w:p>
    <w:p w14:paraId="00001B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 cada especialidad, lo cual será determinado por el propio CONCESIONARIO bajo su responsabilidad. </w:t>
      </w:r>
    </w:p>
    <w:p w14:paraId="00001BE1" w14:textId="77777777" w:rsidR="00F664DB" w:rsidRPr="00285D58" w:rsidRDefault="00F664DB" w:rsidP="008D1FFF">
      <w:pPr>
        <w:spacing w:line="276" w:lineRule="auto"/>
        <w:jc w:val="both"/>
        <w:rPr>
          <w:rFonts w:asciiTheme="minorHAnsi" w:eastAsia="Calibri" w:hAnsiTheme="minorHAnsi" w:cstheme="minorHAnsi"/>
        </w:rPr>
      </w:pPr>
    </w:p>
    <w:p w14:paraId="00001B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constarán de las siguientes especialidades: </w:t>
      </w:r>
    </w:p>
    <w:p w14:paraId="00001BE3" w14:textId="77777777" w:rsidR="00F664DB" w:rsidRPr="00285D58" w:rsidRDefault="00F664DB" w:rsidP="008D1FFF">
      <w:pPr>
        <w:spacing w:line="276" w:lineRule="auto"/>
        <w:jc w:val="both"/>
        <w:rPr>
          <w:rFonts w:asciiTheme="minorHAnsi" w:eastAsia="Calibri" w:hAnsiTheme="minorHAnsi" w:cstheme="minorHAnsi"/>
        </w:rPr>
      </w:pPr>
    </w:p>
    <w:p w14:paraId="00001BE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5.3.1. ESPECIALIDAD DE ARQUITECTURA </w:t>
      </w:r>
    </w:p>
    <w:p w14:paraId="00001B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Comprende la definición a nivel constructivo del anteproyecto aprobado e incluye todos los documentos necesarios para su definición y construcción, así como (i) la descripción del proyecto y áreas, especificaciones técnicas, planos, acabados de obra, compatibilización de especialidades, (ii) el análisis térmico de la envolvente de cada edificación y el cálculo de transmitancias de los elementos constructivos correspondientes, y (iii) un análisis solar con el asolamiento, generación de sombras e incidencia de luz solar de cada edificación. </w:t>
      </w:r>
    </w:p>
    <w:p w14:paraId="00001BE6" w14:textId="77777777" w:rsidR="00F664DB" w:rsidRPr="00285D58" w:rsidRDefault="00F664DB" w:rsidP="008D1FFF">
      <w:pPr>
        <w:spacing w:line="276" w:lineRule="auto"/>
        <w:jc w:val="both"/>
        <w:rPr>
          <w:rFonts w:asciiTheme="minorHAnsi" w:eastAsia="Calibri" w:hAnsiTheme="minorHAnsi" w:cstheme="minorHAnsi"/>
        </w:rPr>
      </w:pPr>
    </w:p>
    <w:p w14:paraId="00001BE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elaboración del EDI de arquitectura debe cumplir con las Leyes y Disposiciones Aplicables. El EDI de arquitectura contendrá lo siguiente:</w:t>
      </w:r>
    </w:p>
    <w:p w14:paraId="00001BE8" w14:textId="77777777" w:rsidR="00F664DB" w:rsidRPr="00285D58" w:rsidRDefault="00F664DB" w:rsidP="008D1FFF">
      <w:pPr>
        <w:spacing w:line="276" w:lineRule="auto"/>
        <w:jc w:val="both"/>
        <w:rPr>
          <w:rFonts w:asciiTheme="minorHAnsi" w:eastAsia="Calibri" w:hAnsiTheme="minorHAnsi" w:cstheme="minorHAnsi"/>
        </w:rPr>
      </w:pPr>
    </w:p>
    <w:p w14:paraId="00001BE9"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BEA"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Cuadro de áreas. </w:t>
      </w:r>
    </w:p>
    <w:p w14:paraId="00001BEB"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aparatos sanitarios</w:t>
      </w:r>
    </w:p>
    <w:p w14:paraId="00001BEC"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estacionamientos</w:t>
      </w:r>
    </w:p>
    <w:p w14:paraId="00001BED"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cuarto de residuos sólidos</w:t>
      </w:r>
    </w:p>
    <w:p w14:paraId="00001BEE"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Dimensionamiento de ancho de circulaciones</w:t>
      </w:r>
    </w:p>
    <w:p w14:paraId="00001BEF"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comparativo de metas de proyecto, EDI y Normativa</w:t>
      </w:r>
    </w:p>
    <w:p w14:paraId="00001BF0"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térmico de las edificaciones</w:t>
      </w:r>
    </w:p>
    <w:p w14:paraId="00001BF1"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asolamiento solar</w:t>
      </w:r>
    </w:p>
    <w:p w14:paraId="00001BF2"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índice de ocupación por ambiente de acuerdo con el programa arquitectónico definitivo considerado por el Concesionario</w:t>
      </w:r>
    </w:p>
    <w:p w14:paraId="00001BF3"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acabados</w:t>
      </w:r>
    </w:p>
    <w:p w14:paraId="00001BF4"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Planteamiento de soluciones técnicas para cambios de niveles</w:t>
      </w:r>
    </w:p>
    <w:p w14:paraId="00001BF5"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condicionantes externos q influyen para la implementación de la infraestructura arquitectónico</w:t>
      </w:r>
    </w:p>
    <w:p w14:paraId="00001BF6"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accesibilidad peatonal y vehicular </w:t>
      </w:r>
    </w:p>
    <w:p w14:paraId="00001BF7" w14:textId="77777777" w:rsidR="00F664DB" w:rsidRPr="00285D58" w:rsidRDefault="006049C1" w:rsidP="00A3732C">
      <w:pPr>
        <w:widowControl/>
        <w:numPr>
          <w:ilvl w:val="1"/>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estrategias proyectuales: </w:t>
      </w:r>
    </w:p>
    <w:p w14:paraId="00001BF8"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Ingresos diferenciados </w:t>
      </w:r>
    </w:p>
    <w:p w14:paraId="00001BF9"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Alturas de edificaciones </w:t>
      </w:r>
    </w:p>
    <w:p w14:paraId="00001BFA"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Circulaciones horizontal y vertical </w:t>
      </w:r>
    </w:p>
    <w:p w14:paraId="00001BFB"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administrativas </w:t>
      </w:r>
    </w:p>
    <w:p w14:paraId="00001BFC"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 las áreas de uso turístico  </w:t>
      </w:r>
    </w:p>
    <w:p w14:paraId="00001BFD"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Estrategias de ubicación del equipamiento específico para el correcto funcionamiento de los teleféricos, etc. </w:t>
      </w:r>
    </w:p>
    <w:p w14:paraId="00001BFE" w14:textId="77777777" w:rsidR="00F664DB" w:rsidRPr="00285D58" w:rsidRDefault="006049C1" w:rsidP="00A3732C">
      <w:pPr>
        <w:widowControl/>
        <w:numPr>
          <w:ilvl w:val="2"/>
          <w:numId w:val="2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áreas de expansión para consideraciones futuras (cuando sea factible) </w:t>
      </w:r>
    </w:p>
    <w:p w14:paraId="00001BFF"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Especificaciones técnicas </w:t>
      </w:r>
    </w:p>
    <w:p w14:paraId="00001C00"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Modelamiento BIM</w:t>
      </w:r>
    </w:p>
    <w:p w14:paraId="00001C01" w14:textId="77777777" w:rsidR="00F664DB" w:rsidRPr="00285D58" w:rsidRDefault="006049C1" w:rsidP="00A3732C">
      <w:pPr>
        <w:widowControl/>
        <w:numPr>
          <w:ilvl w:val="0"/>
          <w:numId w:val="207"/>
        </w:numPr>
        <w:pBdr>
          <w:top w:val="nil"/>
          <w:left w:val="nil"/>
          <w:bottom w:val="nil"/>
          <w:right w:val="nil"/>
          <w:between w:val="nil"/>
        </w:pBd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Planos </w:t>
      </w:r>
    </w:p>
    <w:p w14:paraId="00001C02"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y Ubicación de acuerdo con la norma vigente en escala 1:500, 1:10,000, según corresponda.</w:t>
      </w:r>
    </w:p>
    <w:p w14:paraId="00001C03"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 de Distribución General a escala 1:100, indicando inicio de trazado, BM, cotas, niveles, planos de referencia, deberá contener ejes, cotas de niveles, orientación, cortes y elevaciones, especificación de detalles constructivos (como mínimo, dos (2) cortes longitudinales y dos (2) cortes transversales. En caso de considerarlo necesario, el CONCESIONARIO podrá acordar con el SUPERVISOR incrementar la cantidad de cortes y elevaciones. Plano de Ejes y Terrazas a escala 1:100, indicando el inicio del trazado, el BM y los ejes de placas o columnas, muros de contención, pircas, relleno de terreno, ejes y cotas, etc. </w:t>
      </w:r>
    </w:p>
    <w:p w14:paraId="00001C04"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obras exteriores (patios, veredas, losas deportivas, etc.) a escala 1:100, indicando nombre, nivel, acabados, coberturas, mobiliario, vegetación, especificación de detalles constructivos, etc. La propuesta de vegetación debe considerar las condiciones particulares de la zona.</w:t>
      </w:r>
    </w:p>
    <w:p w14:paraId="00001C05" w14:textId="77777777" w:rsidR="00F664DB" w:rsidRPr="00285D58" w:rsidRDefault="006049C1" w:rsidP="00A3732C">
      <w:pPr>
        <w:widowControl/>
        <w:numPr>
          <w:ilvl w:val="1"/>
          <w:numId w:val="2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Detalles constructivos de obra (Escala 1/25, 1/20, 1/10, etc.), deben contener como mínimo, los detalles constructivos de puertas, ventanas, carpintería de cristal, metálica y de madera, pisos, techos y coberturas, cuadro de acabados, baños, vestidores, escaleras, rampas, cielo rasos, mobiliario fijo, elementos exteriores (jardineras, bancas, sardineles, muros, etc.), elementos de evacuación pluvial (canaletas, montantes, cunetas, etc.) y todo detalle que permita comprender las características de los elementos constructivos que serán considerados en la obra. </w:t>
      </w:r>
    </w:p>
    <w:p w14:paraId="00001C06" w14:textId="77777777" w:rsidR="00F664DB" w:rsidRPr="00285D58" w:rsidRDefault="00F664DB" w:rsidP="008D1FFF">
      <w:pPr>
        <w:spacing w:line="276" w:lineRule="auto"/>
        <w:jc w:val="both"/>
        <w:rPr>
          <w:rFonts w:asciiTheme="minorHAnsi" w:eastAsia="Calibri" w:hAnsiTheme="minorHAnsi" w:cstheme="minorHAnsi"/>
        </w:rPr>
      </w:pPr>
    </w:p>
    <w:p w14:paraId="00001C0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ESPECIALIDAD DE SEGURIDAD Y EVACUACIÓN ANTE DESASTRES </w:t>
      </w:r>
    </w:p>
    <w:p w14:paraId="00001C0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rutas de evacuación, cálculo de aforo, señalización y elementos de seguridad indicando ubicación de mobiliario, equipos, así como todos los elementos indicados en el presente apartado.</w:t>
      </w:r>
    </w:p>
    <w:p w14:paraId="00001C09" w14:textId="77777777" w:rsidR="00F664DB" w:rsidRPr="00285D58" w:rsidRDefault="00F664DB" w:rsidP="008D1FFF">
      <w:pPr>
        <w:spacing w:line="276" w:lineRule="auto"/>
        <w:jc w:val="both"/>
        <w:rPr>
          <w:rFonts w:asciiTheme="minorHAnsi" w:eastAsia="Calibri" w:hAnsiTheme="minorHAnsi" w:cstheme="minorHAnsi"/>
        </w:rPr>
      </w:pPr>
    </w:p>
    <w:p w14:paraId="00001C0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comprende el plano de señalización, evacuación (indicando la ubicación de mobiliario y equipos) y plan de seguridad del proyecto arquitectónico, según las Leyes y Disposiciones Aplicables sobre seguridad en estructuras y edificaciones, indicando el cálculo de evacuación máxima de demanda y otros. Los planos de evacuación y seguridad se realizarán a escala 1/50,1/25,1/10,1/5, según se requiera, y llevarán la denominación ‘EVS’, en el que se identificarán rutas, flujos, capacidad del ambiente y zonas de seguridad. Las rutas de evacuación se presentarán con líneas continuas y a colores, utilizando letras o números que indicarán la capacidad por ruta y la capacidad total del local de las estaciones. Asimismo, el entregable deberá considerar el cálculo de evacuación de todas las rutas. </w:t>
      </w:r>
    </w:p>
    <w:p w14:paraId="00001C0B" w14:textId="77777777" w:rsidR="00F664DB" w:rsidRPr="00285D58" w:rsidRDefault="00F664DB" w:rsidP="008D1FFF">
      <w:pPr>
        <w:spacing w:line="276" w:lineRule="auto"/>
        <w:jc w:val="both"/>
        <w:rPr>
          <w:rFonts w:asciiTheme="minorHAnsi" w:eastAsia="Calibri" w:hAnsiTheme="minorHAnsi" w:cstheme="minorHAnsi"/>
        </w:rPr>
      </w:pPr>
    </w:p>
    <w:p w14:paraId="00001C0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Seguridad y Evacuación ante Desastres contendrá lo siguiente: </w:t>
      </w:r>
    </w:p>
    <w:p w14:paraId="00001C0D" w14:textId="77777777" w:rsidR="00F664DB" w:rsidRPr="00285D58" w:rsidRDefault="00F664DB" w:rsidP="008D1FFF">
      <w:pPr>
        <w:spacing w:line="276" w:lineRule="auto"/>
        <w:jc w:val="both"/>
        <w:rPr>
          <w:rFonts w:asciiTheme="minorHAnsi" w:eastAsia="Calibri" w:hAnsiTheme="minorHAnsi" w:cstheme="minorHAnsi"/>
        </w:rPr>
      </w:pPr>
    </w:p>
    <w:p w14:paraId="00001C0E" w14:textId="17287F39"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 Incluirá el desarrollo de: escaleras, rutas de evacuación, sistemas de Seguridad, señalética, sistemas de control y protección contra incendios, especificaciones técnicas; así como características de equipos de seguridad: Puertas de evacuación, Barreras resistentes al fuego, sellos resistentes al fuego, señalización, luces </w:t>
      </w:r>
      <w:r w:rsidRPr="00285D58">
        <w:rPr>
          <w:rFonts w:asciiTheme="minorHAnsi" w:eastAsia="Calibri" w:hAnsiTheme="minorHAnsi" w:cstheme="minorHAnsi"/>
          <w:color w:val="000000"/>
        </w:rPr>
        <w:lastRenderedPageBreak/>
        <w:t>de emergencia, extintores, etc., con los respectivos cálculos según las Leyes y Disposiciones Aplicables, incluyendo como parte del diseño, el cálculo de número de equipos de seguridad, cálculo de tiempo de evacuación especificado para cada ruta de escape, los que deben ser presentadas en cada uno de los planos representativos</w:t>
      </w:r>
    </w:p>
    <w:p w14:paraId="00001C0F" w14:textId="702087A3"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 de Seguridad y Evacuación. - Incluirá el desarrollo y contenido requerido para obtener las autorizaciones sobre defensa civil por la municipalidad correspondiente, conforme a las Leyes y Disposiciones Aplicables</w:t>
      </w:r>
    </w:p>
    <w:p w14:paraId="00001C10" w14:textId="4BCDB5F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11" w14:textId="67FA724E"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12" w14:textId="35320FDE"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w:t>
      </w:r>
    </w:p>
    <w:p w14:paraId="00001C13" w14:textId="174F020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evacuación por nivel. - deberá incluir: mobiliarios respectivos, diagramas unifilares, además Certificados de puesta a tierra y operatividad de extintores y Considerar plano se seguridad (señalética, extintores) </w:t>
      </w:r>
    </w:p>
    <w:p w14:paraId="00001C14" w14:textId="31AD31A0"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evacuación general</w:t>
      </w:r>
    </w:p>
    <w:p w14:paraId="00001C15" w14:textId="335DD47B"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mobiliario</w:t>
      </w:r>
    </w:p>
    <w:p w14:paraId="00001C16" w14:textId="77777777"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w:t>
      </w:r>
    </w:p>
    <w:p w14:paraId="00001C17" w14:textId="59A01156" w:rsidR="00F664DB" w:rsidRPr="00285D58" w:rsidRDefault="006049C1" w:rsidP="00A3732C">
      <w:pPr>
        <w:widowControl/>
        <w:numPr>
          <w:ilvl w:val="0"/>
          <w:numId w:val="1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seguridad. - señalética, estaciones de alarma manual, ubicación de extintores, gabinetes contra incendios, areneros, luminarias y sonorización</w:t>
      </w:r>
    </w:p>
    <w:p w14:paraId="00001C18" w14:textId="77777777" w:rsidR="00F664DB" w:rsidRPr="00285D58" w:rsidRDefault="00F664DB" w:rsidP="008D1FFF">
      <w:pPr>
        <w:spacing w:line="276" w:lineRule="auto"/>
        <w:jc w:val="both"/>
        <w:rPr>
          <w:rFonts w:asciiTheme="minorHAnsi" w:eastAsia="Calibri" w:hAnsiTheme="minorHAnsi" w:cstheme="minorHAnsi"/>
        </w:rPr>
      </w:pPr>
    </w:p>
    <w:p w14:paraId="00001C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Como parte del expediente técnico del Proyecto, a presentarse antes del plazo previsto para la finalización de la Puesta en Marcha, el Concesionario presentará Certificados de puesta a tierra y operatividad de extintores. </w:t>
      </w:r>
    </w:p>
    <w:p w14:paraId="00001C1A" w14:textId="77777777" w:rsidR="00F664DB" w:rsidRPr="00285D58" w:rsidRDefault="00F664DB" w:rsidP="008D1FFF">
      <w:pPr>
        <w:spacing w:line="276" w:lineRule="auto"/>
        <w:jc w:val="both"/>
        <w:rPr>
          <w:rFonts w:asciiTheme="minorHAnsi" w:eastAsia="Calibri" w:hAnsiTheme="minorHAnsi" w:cstheme="minorHAnsi"/>
        </w:rPr>
      </w:pPr>
    </w:p>
    <w:p w14:paraId="00001C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5.3.3. ESPECIALIDAD DE ESTRUCTURAS</w:t>
      </w:r>
    </w:p>
    <w:p w14:paraId="00001C1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todos los elementos estructurales que comprende las obras nuevas tanto para las estaciones, como para las obras exteriores (cimentación de torres, cercos perimétricos, muros de contención, portadas de ingreso, cisterna, etc.), tomando como información básica el Estudio de Mecánica de suelos, el anteproyecto ,levantamiento topográfico y estudio de evaluación de riesgos, debiendo definir la alternativa de cimentación más idónea a utilizar, determinando las profundidades de cimentación de las infraestructuras, especificaciones técnicas de los materiales, si hubiera necesidad de aditivos, de igual manera indicará el tratamiento que se deberá dar a la subrasante de pavimentos de acceso peatonal y vehicular, de acuerdo con las exigencias del Estudio de Suelos. Asimismo, sin importar el tipo de material que se considere en la solución estructural se debe cumplir con lo establecido conforme a las Leyes y Disposiciones Aplicables sobre diseño de concreto y estructuras metálicas, conforme a lo establecido en el Numeral 2.1 del Apéndice 1 del presente anexo.</w:t>
      </w:r>
    </w:p>
    <w:p w14:paraId="00001C1D" w14:textId="77777777" w:rsidR="00F664DB" w:rsidRPr="00285D58" w:rsidRDefault="00F664DB" w:rsidP="008D1FFF">
      <w:pPr>
        <w:spacing w:line="276" w:lineRule="auto"/>
        <w:jc w:val="both"/>
        <w:rPr>
          <w:rFonts w:asciiTheme="minorHAnsi" w:eastAsia="Calibri" w:hAnsiTheme="minorHAnsi" w:cstheme="minorHAnsi"/>
        </w:rPr>
      </w:pPr>
    </w:p>
    <w:p w14:paraId="00001C1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contemplarán partidas de seguridad, apuntalamientos a las zonas de trabajo, recomendaciones necesarias indicando proceso constructivo a seguir para garantizar la estabilidad de las estructuras. </w:t>
      </w:r>
    </w:p>
    <w:p w14:paraId="00001C1F" w14:textId="77777777" w:rsidR="00F664DB" w:rsidRPr="00285D58" w:rsidRDefault="00F664DB" w:rsidP="008D1FFF">
      <w:pPr>
        <w:spacing w:line="276" w:lineRule="auto"/>
        <w:jc w:val="both"/>
        <w:rPr>
          <w:rFonts w:asciiTheme="minorHAnsi" w:eastAsia="Calibri" w:hAnsiTheme="minorHAnsi" w:cstheme="minorHAnsi"/>
        </w:rPr>
      </w:pPr>
    </w:p>
    <w:p w14:paraId="00001C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solución estructural de debe realizar el modelo estructural tridimensional utilizando software especializado para el análisis dinámico modal espectral de edificaciones. Se determinarán </w:t>
      </w:r>
      <w:r w:rsidRPr="00285D58">
        <w:rPr>
          <w:rFonts w:asciiTheme="minorHAnsi" w:eastAsia="Calibri" w:hAnsiTheme="minorHAnsi" w:cstheme="minorHAnsi"/>
        </w:rPr>
        <w:lastRenderedPageBreak/>
        <w:t>las solicitaciones máximas por análisis de gravedad y sísmicas que se presentarán en la estructura de acuerdo con las normas vigentes. Como resultado de este análisis, se determinarán los desplazamientos, los cuales deben ser menores que los umbrales permitidos por las Leyes y Disposiciones Aplicables sobre diseño sismorresistente.</w:t>
      </w:r>
    </w:p>
    <w:p w14:paraId="00001C21" w14:textId="77777777" w:rsidR="00F664DB" w:rsidRPr="00285D58" w:rsidRDefault="00F664DB" w:rsidP="008D1FFF">
      <w:pPr>
        <w:spacing w:line="276" w:lineRule="auto"/>
        <w:jc w:val="both"/>
        <w:rPr>
          <w:rFonts w:asciiTheme="minorHAnsi" w:eastAsia="Calibri" w:hAnsiTheme="minorHAnsi" w:cstheme="minorHAnsi"/>
        </w:rPr>
      </w:pPr>
    </w:p>
    <w:p w14:paraId="00001C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Estructuras contendrá lo siguiente: </w:t>
      </w:r>
    </w:p>
    <w:p w14:paraId="00001C23" w14:textId="6CC5F16C"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descriptiva</w:t>
      </w:r>
    </w:p>
    <w:p w14:paraId="00001C24" w14:textId="77777777"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y modelamiento. En la memoria de cálculo se deben justificar los cálculos de las estructuras, mediante el análisis estructural y el diseño estructural de los elementos estructurales (zapata, columna, viga, placa, losa, etc.) </w:t>
      </w:r>
    </w:p>
    <w:p w14:paraId="00001C25" w14:textId="20AA61A6"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26" w14:textId="5DC95A81"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27" w14:textId="2F6C7196" w:rsidR="00F664DB" w:rsidRPr="00285D58" w:rsidRDefault="006049C1" w:rsidP="00A3732C">
      <w:pPr>
        <w:widowControl/>
        <w:numPr>
          <w:ilvl w:val="0"/>
          <w:numId w:val="1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w:t>
      </w:r>
    </w:p>
    <w:p w14:paraId="00001C28"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cimentación, columnas y placas, a una escala conveniente 1/25, 1/50, 1/20, 1/10 o lo que se requiera de todas las edificaciones que conforman el proyecto, incluyendo las torres de apoyo de los teleféricos, de acuerdo con normas vigentes. </w:t>
      </w:r>
    </w:p>
    <w:p w14:paraId="00001C29"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muros de contención, cisternas, calzaduras y escaleras con los detalles necesarios que permitan entender con claridad los alcances de su construcción, a una escala conveniente 1/25, 1/50, de todas las edificaciones que conforman el proyecto, incluyendo las torres de apoyo de los teleféricos, de acuerdo con normas vigentes. Para los muros de contención que cuenten con pendientes considerables, la presentación de planos debe ser en planta y perfil longitudinal, donde se muestre el nivel de terreno natural y proyectado, pendientes, distancias, y secciones a cada 10 metros donde se muestre todos los elementos que se encuentran en dicha sección. </w:t>
      </w:r>
    </w:p>
    <w:p w14:paraId="00001C2A"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losas de entrepiso, techos y vigas con los detalles necesarios, a una escala conveniente 1/25, 1/50, de todas las edificaciones que conforman el proyecto, de acuerdo con las normas vigentes. </w:t>
      </w:r>
    </w:p>
    <w:p w14:paraId="00001C2B"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cerco perimétrico (si se proyectasen) en el que se muestre el desarrollo en planta y elevación con las cotas de piso al interior y exterior. Para los cercos que cuenten con pendientes considerables, la presentación de planos debe ser en planta y perfil longitudinal, donde se muestre el nivel de terreno natural y proyectado, pendientes, distancias y secciones cada 10 metros donde se muestre todos los elementos que se encuentran en dicha sección. </w:t>
      </w:r>
    </w:p>
    <w:p w14:paraId="00001C2C"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portadas de ingreso (si se proyectasen) y elementos exteriores ya sea de patios, veredas, rampas, coberturas, canaletas, etc. en el que se muestre el desarrollo en planta, elevación y las necesarias que permitan conocer los alcances de su construcción. </w:t>
      </w:r>
    </w:p>
    <w:p w14:paraId="00001C2D"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específicos de ascensores y recintos de equipos especiales los cuales deben ser coherentes con los espacios requeridos por el equipo propuesto, adjuntar las fichas técnicas correspondientes. </w:t>
      </w:r>
    </w:p>
    <w:p w14:paraId="00001C2E" w14:textId="77777777" w:rsidR="00F664DB" w:rsidRPr="00285D58" w:rsidRDefault="006049C1" w:rsidP="00A3732C">
      <w:pPr>
        <w:widowControl/>
        <w:numPr>
          <w:ilvl w:val="1"/>
          <w:numId w:val="1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 general con detalles de distancias mínimas de empalmes, anclajes, traslapes y otros. </w:t>
      </w:r>
    </w:p>
    <w:p w14:paraId="00001C2F" w14:textId="77777777" w:rsidR="00F664DB" w:rsidRPr="00285D58" w:rsidRDefault="00F664DB" w:rsidP="008D1FFF">
      <w:pPr>
        <w:spacing w:line="276" w:lineRule="auto"/>
        <w:jc w:val="both"/>
        <w:rPr>
          <w:rFonts w:asciiTheme="minorHAnsi" w:eastAsia="Calibri" w:hAnsiTheme="minorHAnsi" w:cstheme="minorHAnsi"/>
        </w:rPr>
      </w:pPr>
    </w:p>
    <w:p w14:paraId="00001C3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 ESPECIALIDAD DE INSTALACIONES ELÉCTRICAS </w:t>
      </w:r>
    </w:p>
    <w:p w14:paraId="00001C31" w14:textId="77777777" w:rsidR="00F664DB" w:rsidRPr="00285D58" w:rsidRDefault="00F664DB" w:rsidP="008D1FFF">
      <w:pPr>
        <w:spacing w:line="276" w:lineRule="auto"/>
        <w:jc w:val="both"/>
        <w:rPr>
          <w:rFonts w:asciiTheme="minorHAnsi" w:eastAsia="Calibri" w:hAnsiTheme="minorHAnsi" w:cstheme="minorHAnsi"/>
          <w:b/>
        </w:rPr>
      </w:pPr>
    </w:p>
    <w:p w14:paraId="00001C3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5.3.4.1. INSTALACIONES ELÉCTRICAS DE BAJA TENSIÓN</w:t>
      </w:r>
    </w:p>
    <w:p w14:paraId="00001C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del sistema eléctrico de baja tensión, incluyendo el cálculo de la máxima demanda, diseño de la red de alimentadores, circuitos derivados, estudio lumínico por ambiente, tomacorrientes, sistema de protección contra sobretensiones, protección contra descargas atmosféricas, sistema de puesta a tierra y cálculo de sistemas de protección. </w:t>
      </w:r>
    </w:p>
    <w:p w14:paraId="00001C34" w14:textId="77777777" w:rsidR="00F664DB" w:rsidRPr="00285D58" w:rsidRDefault="00F664DB" w:rsidP="008D1FFF">
      <w:pPr>
        <w:spacing w:line="276" w:lineRule="auto"/>
        <w:jc w:val="both"/>
        <w:rPr>
          <w:rFonts w:asciiTheme="minorHAnsi" w:eastAsia="Calibri" w:hAnsiTheme="minorHAnsi" w:cstheme="minorHAnsi"/>
        </w:rPr>
      </w:pPr>
    </w:p>
    <w:p w14:paraId="00001C3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el EDI de Instalaciones Eléctricas de Baja Tensión se desarrollarán las siguientes redes: </w:t>
      </w:r>
    </w:p>
    <w:p w14:paraId="00001C36" w14:textId="77777777" w:rsidR="00F664DB" w:rsidRPr="00285D58" w:rsidRDefault="00F664DB" w:rsidP="008D1FFF">
      <w:pPr>
        <w:spacing w:line="276" w:lineRule="auto"/>
        <w:jc w:val="both"/>
        <w:rPr>
          <w:rFonts w:asciiTheme="minorHAnsi" w:eastAsia="Calibri" w:hAnsiTheme="minorHAnsi" w:cstheme="minorHAnsi"/>
        </w:rPr>
      </w:pPr>
    </w:p>
    <w:p w14:paraId="00001C37" w14:textId="4EF8F70F"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Iluminación: comprende el cálculo lumínico por espacios de los ambientes interiores</w:t>
      </w:r>
    </w:p>
    <w:p w14:paraId="00001C38" w14:textId="49498816"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fuerza</w:t>
      </w:r>
    </w:p>
    <w:p w14:paraId="00001C39" w14:textId="1FEB8A3A"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toma a tierra</w:t>
      </w:r>
    </w:p>
    <w:p w14:paraId="00001C3A" w14:textId="2A22A32C"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iluminación exterior, que comprende el cálculo lumínico</w:t>
      </w:r>
    </w:p>
    <w:p w14:paraId="00001C3B" w14:textId="41E12AE0"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C3C" w14:textId="7636BDE9" w:rsidR="00F664DB" w:rsidRPr="00285D58" w:rsidRDefault="006049C1" w:rsidP="00A3732C">
      <w:pPr>
        <w:widowControl/>
        <w:numPr>
          <w:ilvl w:val="0"/>
          <w:numId w:val="1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w:t>
      </w:r>
    </w:p>
    <w:p w14:paraId="00001C3D" w14:textId="77777777" w:rsidR="00F664DB" w:rsidRPr="00285D58" w:rsidRDefault="00F664DB" w:rsidP="008D1FFF">
      <w:pPr>
        <w:spacing w:line="276" w:lineRule="auto"/>
        <w:jc w:val="both"/>
        <w:rPr>
          <w:rFonts w:asciiTheme="minorHAnsi" w:eastAsia="Calibri" w:hAnsiTheme="minorHAnsi" w:cstheme="minorHAnsi"/>
        </w:rPr>
      </w:pPr>
    </w:p>
    <w:p w14:paraId="00001C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Baja Tensión contendrá lo siguiente: </w:t>
      </w:r>
    </w:p>
    <w:p w14:paraId="00001C3F" w14:textId="77777777" w:rsidR="00F664DB" w:rsidRPr="00285D58" w:rsidRDefault="00F664DB" w:rsidP="008D1FFF">
      <w:pPr>
        <w:spacing w:line="276" w:lineRule="auto"/>
        <w:jc w:val="both"/>
        <w:rPr>
          <w:rFonts w:asciiTheme="minorHAnsi" w:eastAsia="Calibri" w:hAnsiTheme="minorHAnsi" w:cstheme="minorHAnsi"/>
        </w:rPr>
      </w:pPr>
    </w:p>
    <w:p w14:paraId="00001C40"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Deberá contener la ubicación del proyecto, antecedentes, objetivos, marco regulatorio, alcance del proyecto, características de cada uno de los componentes del sistema, pruebas a realizar, relación de planos. En la memoria descriptiva se debe incluir la descripción de medidas de ecoeficiencia que desarrolle el Concesionario en la solución de los EDI. </w:t>
      </w:r>
    </w:p>
    <w:p w14:paraId="00001C41"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Calculo </w:t>
      </w:r>
    </w:p>
    <w:p w14:paraId="00001C42"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la máxima demanda</w:t>
      </w:r>
    </w:p>
    <w:p w14:paraId="00001C43"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lumínico por ambiente</w:t>
      </w:r>
    </w:p>
    <w:p w14:paraId="00001C44"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alimentadores, circuitos derivados</w:t>
      </w:r>
    </w:p>
    <w:p w14:paraId="00001C45"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protección contra sobretensiones y descargas atmosféricas</w:t>
      </w:r>
    </w:p>
    <w:p w14:paraId="00001C46"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del sistema de puesta a tierra por componente</w:t>
      </w:r>
    </w:p>
    <w:p w14:paraId="00001C47"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Cálculo de corto circuito</w:t>
      </w:r>
    </w:p>
    <w:p w14:paraId="00001C48" w14:textId="77777777" w:rsidR="00F664DB" w:rsidRPr="00285D58" w:rsidRDefault="006049C1" w:rsidP="00A3732C">
      <w:pPr>
        <w:widowControl/>
        <w:numPr>
          <w:ilvl w:val="1"/>
          <w:numId w:val="1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coordinación de protecciones. </w:t>
      </w:r>
    </w:p>
    <w:p w14:paraId="00001C49"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Especificaciones técnicas</w:t>
      </w:r>
    </w:p>
    <w:p w14:paraId="00001C4A"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Metrados </w:t>
      </w:r>
    </w:p>
    <w:p w14:paraId="00001C4B" w14:textId="55398490"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4C" w14:textId="77777777" w:rsidR="00F664DB" w:rsidRPr="00285D58" w:rsidRDefault="006049C1" w:rsidP="00A3732C">
      <w:pPr>
        <w:widowControl/>
        <w:numPr>
          <w:ilvl w:val="0"/>
          <w:numId w:val="1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4D"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Diagramas unifilares, esquemas generales y distribución de tableros </w:t>
      </w:r>
    </w:p>
    <w:p w14:paraId="00001C4E"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generales de 1/200 </w:t>
      </w:r>
    </w:p>
    <w:p w14:paraId="00001C4F"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w:t>
      </w:r>
    </w:p>
    <w:p w14:paraId="00001C50" w14:textId="7777777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Planos de detalle de 1/25, 1/20 1/10 1/5 </w:t>
      </w:r>
    </w:p>
    <w:p w14:paraId="00001C51" w14:textId="6F5A25C7" w:rsidR="00F664DB" w:rsidRPr="00285D58" w:rsidRDefault="006049C1" w:rsidP="00A3732C">
      <w:pPr>
        <w:widowControl/>
        <w:numPr>
          <w:ilvl w:val="1"/>
          <w:numId w:val="17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isométrico de la instalación</w:t>
      </w:r>
    </w:p>
    <w:p w14:paraId="00001C52" w14:textId="77777777" w:rsidR="00F664DB" w:rsidRPr="00285D58" w:rsidRDefault="00F664DB" w:rsidP="008D1FFF">
      <w:pPr>
        <w:spacing w:line="276" w:lineRule="auto"/>
        <w:jc w:val="both"/>
        <w:rPr>
          <w:rFonts w:asciiTheme="minorHAnsi" w:eastAsia="Calibri" w:hAnsiTheme="minorHAnsi" w:cstheme="minorHAnsi"/>
        </w:rPr>
      </w:pPr>
    </w:p>
    <w:p w14:paraId="00001C5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5.3.4.2. INSTALACIONES ELÉCTRICA DE MEDIA TENSIÓN </w:t>
      </w:r>
    </w:p>
    <w:p w14:paraId="00001C54" w14:textId="77777777" w:rsidR="00F664DB" w:rsidRPr="00285D58" w:rsidRDefault="00F664DB" w:rsidP="008D1FFF">
      <w:pPr>
        <w:spacing w:line="276" w:lineRule="auto"/>
        <w:jc w:val="both"/>
        <w:rPr>
          <w:rFonts w:asciiTheme="minorHAnsi" w:eastAsia="Calibri" w:hAnsiTheme="minorHAnsi" w:cstheme="minorHAnsi"/>
        </w:rPr>
      </w:pPr>
    </w:p>
    <w:p w14:paraId="00001C5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del sistema eléctrico de media tensión comprende: subestación eléctrica, transformador, circuito de enlace, sistema de protección contra sobretensiones, protección contra descargas atmosféricas y sistema de puesta a tierra. </w:t>
      </w:r>
    </w:p>
    <w:p w14:paraId="00001C56" w14:textId="77777777" w:rsidR="00F664DB" w:rsidRPr="00285D58" w:rsidRDefault="00F664DB" w:rsidP="008D1FFF">
      <w:pPr>
        <w:spacing w:line="276" w:lineRule="auto"/>
        <w:jc w:val="both"/>
        <w:rPr>
          <w:rFonts w:asciiTheme="minorHAnsi" w:eastAsia="Calibri" w:hAnsiTheme="minorHAnsi" w:cstheme="minorHAnsi"/>
        </w:rPr>
      </w:pPr>
    </w:p>
    <w:p w14:paraId="00001C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este diseño se desarrollarán las siguientes redes: </w:t>
      </w:r>
    </w:p>
    <w:p w14:paraId="00001C58" w14:textId="77777777"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sistema de puesta a tierra</w:t>
      </w:r>
    </w:p>
    <w:p w14:paraId="00001C59" w14:textId="70683422"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distribución de conductores y alimentadores generales</w:t>
      </w:r>
    </w:p>
    <w:p w14:paraId="00001C5A" w14:textId="19EA42D2"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protección (pararrayos, sobretensión)</w:t>
      </w:r>
    </w:p>
    <w:p w14:paraId="00001C5B" w14:textId="77777777"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ET de electricidad de media tensión </w:t>
      </w:r>
    </w:p>
    <w:p w14:paraId="00001C5C" w14:textId="160E1609" w:rsidR="00F664DB" w:rsidRPr="00285D58" w:rsidRDefault="006049C1" w:rsidP="00A3732C">
      <w:pPr>
        <w:widowControl/>
        <w:numPr>
          <w:ilvl w:val="0"/>
          <w:numId w:val="17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 de enlace, subestación y transformación</w:t>
      </w:r>
    </w:p>
    <w:p w14:paraId="00001C5D" w14:textId="77777777" w:rsidR="00F664DB" w:rsidRPr="00285D58" w:rsidRDefault="00F664DB" w:rsidP="008D1FFF">
      <w:pPr>
        <w:spacing w:line="276" w:lineRule="auto"/>
        <w:jc w:val="both"/>
        <w:rPr>
          <w:rFonts w:asciiTheme="minorHAnsi" w:eastAsia="Calibri" w:hAnsiTheme="minorHAnsi" w:cstheme="minorHAnsi"/>
        </w:rPr>
      </w:pPr>
    </w:p>
    <w:p w14:paraId="00001C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Eléctricas de Media Tensión contendrá lo siguiente: </w:t>
      </w:r>
    </w:p>
    <w:p w14:paraId="00001C5F"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60"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61"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de materiales y montaje </w:t>
      </w:r>
    </w:p>
    <w:p w14:paraId="00001C62" w14:textId="29A34D2B"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63" w14:textId="77777777" w:rsidR="00F664DB" w:rsidRPr="00285D58" w:rsidRDefault="006049C1" w:rsidP="00A3732C">
      <w:pPr>
        <w:widowControl/>
        <w:numPr>
          <w:ilvl w:val="0"/>
          <w:numId w:val="1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64" w14:textId="78D431CD" w:rsidR="00F664DB" w:rsidRPr="00BB5F42"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Plano general de redes de acometida 1/200 o 1/500</w:t>
      </w:r>
    </w:p>
    <w:p w14:paraId="00001C65" w14:textId="0A966CD3"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66" w14:textId="77777777"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1/20,1/10 según corresponda</w:t>
      </w:r>
    </w:p>
    <w:p w14:paraId="00001C67" w14:textId="02C37BEB" w:rsidR="00F664DB" w:rsidRPr="00285D58" w:rsidRDefault="006049C1" w:rsidP="00A3732C">
      <w:pPr>
        <w:widowControl/>
        <w:numPr>
          <w:ilvl w:val="1"/>
          <w:numId w:val="15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Diagramas unifilares y esquemas generales</w:t>
      </w:r>
    </w:p>
    <w:p w14:paraId="00001C68" w14:textId="77777777" w:rsidR="00F664DB" w:rsidRPr="00285D58" w:rsidRDefault="00F664DB" w:rsidP="008D1FFF">
      <w:pPr>
        <w:spacing w:line="276" w:lineRule="auto"/>
        <w:jc w:val="both"/>
        <w:rPr>
          <w:rFonts w:asciiTheme="minorHAnsi" w:eastAsia="Calibri" w:hAnsiTheme="minorHAnsi" w:cstheme="minorHAnsi"/>
        </w:rPr>
      </w:pPr>
    </w:p>
    <w:p w14:paraId="00001C6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5.3.5. ESPECIALIDAD DE INSTALACIONES MECÁNICAS </w:t>
      </w:r>
    </w:p>
    <w:p w14:paraId="00001C6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las redes para cumplir las necesidades del sistema mecánico empleado en las estaciones; y efectuar el diseño integral de los siguientes sistemas: </w:t>
      </w:r>
    </w:p>
    <w:p w14:paraId="00001C6B" w14:textId="77777777" w:rsidR="00F664DB" w:rsidRPr="00285D58" w:rsidRDefault="00F664DB" w:rsidP="008D1FFF">
      <w:pPr>
        <w:spacing w:line="276" w:lineRule="auto"/>
        <w:jc w:val="both"/>
        <w:rPr>
          <w:rFonts w:asciiTheme="minorHAnsi" w:eastAsia="Calibri" w:hAnsiTheme="minorHAnsi" w:cstheme="minorHAnsi"/>
        </w:rPr>
      </w:pPr>
    </w:p>
    <w:p w14:paraId="00001C6C" w14:textId="2075A4A4"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ascensores para discapacitados (en caso de que sean necesarios) </w:t>
      </w:r>
    </w:p>
    <w:p w14:paraId="00001C6D" w14:textId="32423483"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Instalaciones de gas, como GLP o gas natural (en caso de ser necesarios)</w:t>
      </w:r>
    </w:p>
    <w:p w14:paraId="00001C6E" w14:textId="69C7596D"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ventilación mecánica (en caso de ser necesarios)</w:t>
      </w:r>
    </w:p>
    <w:p w14:paraId="00001C6F" w14:textId="6C9ABAF5" w:rsidR="00F664DB" w:rsidRPr="00285D58" w:rsidRDefault="006049C1" w:rsidP="00A3732C">
      <w:pPr>
        <w:widowControl/>
        <w:numPr>
          <w:ilvl w:val="0"/>
          <w:numId w:val="16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climatización (en caso de ser necesario)</w:t>
      </w:r>
    </w:p>
    <w:p w14:paraId="00001C70" w14:textId="77777777" w:rsidR="00F664DB" w:rsidRPr="00285D58" w:rsidRDefault="00F664DB" w:rsidP="008D1FFF">
      <w:pPr>
        <w:spacing w:line="276" w:lineRule="auto"/>
        <w:jc w:val="both"/>
        <w:rPr>
          <w:rFonts w:asciiTheme="minorHAnsi" w:eastAsia="Calibri" w:hAnsiTheme="minorHAnsi" w:cstheme="minorHAnsi"/>
        </w:rPr>
      </w:pPr>
    </w:p>
    <w:p w14:paraId="00001C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Mecánicas contendrá lo siguiente: </w:t>
      </w:r>
    </w:p>
    <w:p w14:paraId="00001C72"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73"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74"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Cálculo de distribución de redes de tuberías para gas. </w:t>
      </w:r>
    </w:p>
    <w:p w14:paraId="00001C75"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76" w14:textId="23645048"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77" w14:textId="77777777" w:rsidR="00F664DB" w:rsidRPr="00285D58" w:rsidRDefault="006049C1" w:rsidP="00A3732C">
      <w:pPr>
        <w:widowControl/>
        <w:numPr>
          <w:ilvl w:val="0"/>
          <w:numId w:val="16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Planos </w:t>
      </w:r>
    </w:p>
    <w:p w14:paraId="00001C78" w14:textId="78506E8C"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79" w14:textId="77777777"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distribución de 1/50 (Donde requiera instalación mecánica) </w:t>
      </w:r>
    </w:p>
    <w:p w14:paraId="00001C7A" w14:textId="77777777" w:rsidR="00F664DB" w:rsidRPr="00285D58" w:rsidRDefault="006049C1" w:rsidP="00A3732C">
      <w:pPr>
        <w:widowControl/>
        <w:numPr>
          <w:ilvl w:val="1"/>
          <w:numId w:val="1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C7B" w14:textId="77777777" w:rsidR="00F664DB" w:rsidRPr="00285D58" w:rsidRDefault="00F664DB" w:rsidP="008D1FFF">
      <w:pPr>
        <w:spacing w:line="276" w:lineRule="auto"/>
        <w:jc w:val="both"/>
        <w:rPr>
          <w:rFonts w:asciiTheme="minorHAnsi" w:eastAsia="Calibri" w:hAnsiTheme="minorHAnsi" w:cstheme="minorHAnsi"/>
        </w:rPr>
      </w:pPr>
    </w:p>
    <w:p w14:paraId="00001C7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5.3.6. ESPECIALIDAD DE INSTALACIONES SANITARIAS</w:t>
      </w:r>
    </w:p>
    <w:p w14:paraId="00001C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especialidad de instalaciones sanitarias considera cálculo de la dotación, el cálculo del almacenamiento (volumen de cisterna y tanque elevado), cálculo del diámetro de medidor, cálculo del diámetro de la acometida, cálculo de la máxima demanda simultánea y caudal de bombeo, calculo hidráulico de la red de agua hasta el punto más desfavorable (presiones, velocidades, diámetros, etc.), el cálculo de la altura dinámica total, y la potencia de la bomba, cálculo para el diseño de la red de agua caliente y capacidad de la terma o calentadores, cálculo para el diseño de la red de desagüe, cálculo para el diseño del sistema de drenaje pluvial, y el cálculo para la red de sistema contra incendio, de acuerdo con el uso y requerimientos de cada edificación y conforme a las Leyes y Disposiciones Aplicables.</w:t>
      </w:r>
    </w:p>
    <w:p w14:paraId="00001C7E" w14:textId="77777777" w:rsidR="00F664DB" w:rsidRPr="00285D58" w:rsidRDefault="00F664DB" w:rsidP="008D1FFF">
      <w:pPr>
        <w:spacing w:line="276" w:lineRule="auto"/>
        <w:jc w:val="both"/>
        <w:rPr>
          <w:rFonts w:asciiTheme="minorHAnsi" w:eastAsia="Calibri" w:hAnsiTheme="minorHAnsi" w:cstheme="minorHAnsi"/>
        </w:rPr>
      </w:pPr>
    </w:p>
    <w:p w14:paraId="00001C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los siguientes sistemas: </w:t>
      </w:r>
    </w:p>
    <w:p w14:paraId="00001C80" w14:textId="40ADDE8E"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y conexión domiciliaria (cálculo de conexión domiciliaria otorgada por empresa administradora de agua y saneamiento)</w:t>
      </w:r>
    </w:p>
    <w:p w14:paraId="00001C81" w14:textId="693FC46D"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Suministro e instalación de red de alimentación de agua (desde la red pública hasta el sistema de almacenamiento de la infraestructura)</w:t>
      </w:r>
    </w:p>
    <w:p w14:paraId="00001C82" w14:textId="77777777"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abastecimiento de agua (cisterna y/o tanque elevado): Sistema de abastecimiento de agua (cisterna y/o tanque elevado) </w:t>
      </w:r>
    </w:p>
    <w:p w14:paraId="00001C83" w14:textId="3F760ED4"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Redes de agua caliente. El desarrollo de las redes de agua caliente será de acuerdo a los requerimientos de cada edificación</w:t>
      </w:r>
    </w:p>
    <w:p w14:paraId="00001C84" w14:textId="09A152EE"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contra incendios</w:t>
      </w:r>
    </w:p>
    <w:p w14:paraId="00001C85" w14:textId="01790BB7"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desagüe y ventilación</w:t>
      </w:r>
    </w:p>
    <w:p w14:paraId="00001C86" w14:textId="28CC4011"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drenaje pluvial (canaletas de piso y canaletas aéreas)</w:t>
      </w:r>
    </w:p>
    <w:p w14:paraId="00001C87" w14:textId="4783E172" w:rsidR="00F664DB" w:rsidRPr="00285D58" w:rsidRDefault="006049C1" w:rsidP="00A3732C">
      <w:pPr>
        <w:widowControl/>
        <w:numPr>
          <w:ilvl w:val="0"/>
          <w:numId w:val="15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agua para riego, el cual será definido por el Concesionario teniendo en cuenta la localización de cada edificación y las Leyes y Disposiciones Aplicables</w:t>
      </w:r>
    </w:p>
    <w:p w14:paraId="00001C88" w14:textId="77777777" w:rsidR="00F664DB" w:rsidRPr="00285D58" w:rsidRDefault="00F664DB" w:rsidP="008D1FFF">
      <w:pPr>
        <w:spacing w:line="276" w:lineRule="auto"/>
        <w:jc w:val="both"/>
        <w:rPr>
          <w:rFonts w:asciiTheme="minorHAnsi" w:eastAsia="Calibri" w:hAnsiTheme="minorHAnsi" w:cstheme="minorHAnsi"/>
        </w:rPr>
      </w:pPr>
    </w:p>
    <w:p w14:paraId="00001C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Sanitarias contendrá lo siguiente: </w:t>
      </w:r>
    </w:p>
    <w:p w14:paraId="00001C8A"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incluyendo descripción de medidas de ecoeficiencia </w:t>
      </w:r>
    </w:p>
    <w:p w14:paraId="00001C8B"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8C"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8D"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Modelamiento BIM. </w:t>
      </w:r>
    </w:p>
    <w:p w14:paraId="00001C8E" w14:textId="77777777" w:rsidR="00F664DB" w:rsidRPr="00285D58" w:rsidRDefault="006049C1" w:rsidP="00A3732C">
      <w:pPr>
        <w:widowControl/>
        <w:numPr>
          <w:ilvl w:val="0"/>
          <w:numId w:val="15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8F" w14:textId="296CB6AB"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90" w14:textId="410E47B6"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91" w14:textId="0550070F" w:rsidR="00F664DB" w:rsidRPr="00285D58" w:rsidRDefault="006049C1" w:rsidP="00A3732C">
      <w:pPr>
        <w:widowControl/>
        <w:numPr>
          <w:ilvl w:val="1"/>
          <w:numId w:val="15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detalle de 1/25, 1/20, 1/10</w:t>
      </w:r>
    </w:p>
    <w:p w14:paraId="00001C92" w14:textId="77777777" w:rsidR="00F664DB" w:rsidRPr="00285D58" w:rsidRDefault="00F664DB" w:rsidP="008D1FFF">
      <w:pPr>
        <w:spacing w:line="276" w:lineRule="auto"/>
        <w:jc w:val="both"/>
        <w:rPr>
          <w:rFonts w:asciiTheme="minorHAnsi" w:eastAsia="Calibri" w:hAnsiTheme="minorHAnsi" w:cstheme="minorHAnsi"/>
          <w:b/>
        </w:rPr>
      </w:pPr>
    </w:p>
    <w:p w14:paraId="00001C9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5.3.7. ESPECIALIDAD DE INSTALACIONES DE TELECOMUNICACIONES </w:t>
      </w:r>
    </w:p>
    <w:p w14:paraId="00001C9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Comprende el diseño y cálculo de las siguientes redes con el objeto de dar servicio a los diferentes espacios: </w:t>
      </w:r>
    </w:p>
    <w:p w14:paraId="00001C95"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sonido. </w:t>
      </w:r>
    </w:p>
    <w:p w14:paraId="00001C96"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telefonía fija.</w:t>
      </w:r>
    </w:p>
    <w:p w14:paraId="00001C97"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video vigilancia </w:t>
      </w:r>
    </w:p>
    <w:p w14:paraId="00001C98" w14:textId="216E0011"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detección contraincendios general, por edificio (identificando el ambiente específico)</w:t>
      </w:r>
    </w:p>
    <w:p w14:paraId="00001C99" w14:textId="28C3B734"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 de cableado estructurado</w:t>
      </w:r>
    </w:p>
    <w:p w14:paraId="00001C9A" w14:textId="77777777" w:rsidR="00F664DB" w:rsidRPr="00285D58" w:rsidRDefault="006049C1" w:rsidP="00A3732C">
      <w:pPr>
        <w:widowControl/>
        <w:numPr>
          <w:ilvl w:val="0"/>
          <w:numId w:val="16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Sistema de puesta a tierra </w:t>
      </w:r>
    </w:p>
    <w:p w14:paraId="00001C9B" w14:textId="77777777" w:rsidR="00F664DB" w:rsidRPr="00285D58" w:rsidRDefault="00F664DB" w:rsidP="008D1FFF">
      <w:pPr>
        <w:spacing w:line="276" w:lineRule="auto"/>
        <w:jc w:val="both"/>
        <w:rPr>
          <w:rFonts w:asciiTheme="minorHAnsi" w:eastAsia="Calibri" w:hAnsiTheme="minorHAnsi" w:cstheme="minorHAnsi"/>
        </w:rPr>
      </w:pPr>
    </w:p>
    <w:p w14:paraId="00001C9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EDI de Instalaciones de Telecomunicaciones contendrá lo siguiente: </w:t>
      </w:r>
    </w:p>
    <w:p w14:paraId="00001C9D"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descriptiva </w:t>
      </w:r>
    </w:p>
    <w:p w14:paraId="00001C9E"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Memoria de Cálculo </w:t>
      </w:r>
    </w:p>
    <w:p w14:paraId="00001C9F"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Especificaciones técnicas </w:t>
      </w:r>
    </w:p>
    <w:p w14:paraId="00001CA0" w14:textId="0830F85B"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 BIM</w:t>
      </w:r>
    </w:p>
    <w:p w14:paraId="00001CA1" w14:textId="77777777" w:rsidR="00F664DB" w:rsidRPr="00285D58" w:rsidRDefault="006049C1" w:rsidP="00A3732C">
      <w:pPr>
        <w:widowControl/>
        <w:numPr>
          <w:ilvl w:val="0"/>
          <w:numId w:val="16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w:t>
      </w:r>
    </w:p>
    <w:p w14:paraId="00001CA2" w14:textId="59B462D8"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redes generales de 1/200</w:t>
      </w:r>
    </w:p>
    <w:p w14:paraId="00001CA3" w14:textId="6C68F47F"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Planos de distribución de 1/50</w:t>
      </w:r>
    </w:p>
    <w:p w14:paraId="00001CA4" w14:textId="77777777" w:rsidR="00F664DB" w:rsidRPr="00285D58" w:rsidRDefault="006049C1" w:rsidP="00A3732C">
      <w:pPr>
        <w:widowControl/>
        <w:numPr>
          <w:ilvl w:val="1"/>
          <w:numId w:val="16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Planos de detalle de 1/25, 1/20 1/10 </w:t>
      </w:r>
    </w:p>
    <w:p w14:paraId="00001CA5" w14:textId="77777777" w:rsidR="00F664DB" w:rsidRPr="00285D58" w:rsidRDefault="00F664DB" w:rsidP="008D1FFF">
      <w:pPr>
        <w:spacing w:line="276" w:lineRule="auto"/>
        <w:jc w:val="both"/>
        <w:rPr>
          <w:rFonts w:asciiTheme="minorHAnsi" w:eastAsia="Calibri" w:hAnsiTheme="minorHAnsi" w:cstheme="minorHAnsi"/>
        </w:rPr>
      </w:pPr>
    </w:p>
    <w:p w14:paraId="00001CA6" w14:textId="77777777" w:rsidR="00F664DB" w:rsidRPr="00285D58" w:rsidRDefault="00F664DB" w:rsidP="008D1FFF">
      <w:pPr>
        <w:spacing w:line="276" w:lineRule="auto"/>
        <w:jc w:val="both"/>
        <w:rPr>
          <w:rFonts w:asciiTheme="minorHAnsi" w:eastAsia="Calibri" w:hAnsiTheme="minorHAnsi" w:cstheme="minorHAnsi"/>
        </w:rPr>
      </w:pPr>
    </w:p>
    <w:p w14:paraId="00001C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5.3.8. METRADOS Y PRESUPUESTO</w:t>
      </w:r>
    </w:p>
    <w:p w14:paraId="00001C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elaborará el metrado por especialidad en base a las especialidades y las especificaciones técnicas. Debe encontrarse alineado a las Leyes y Disposiciones Aplicables sobre metrados de edificaciones. </w:t>
      </w:r>
    </w:p>
    <w:p w14:paraId="00001CA9" w14:textId="77777777" w:rsidR="00F664DB" w:rsidRPr="00285D58" w:rsidRDefault="00F664DB" w:rsidP="008D1FFF">
      <w:pPr>
        <w:spacing w:line="276" w:lineRule="auto"/>
        <w:jc w:val="both"/>
        <w:rPr>
          <w:rFonts w:asciiTheme="minorHAnsi" w:eastAsia="Calibri" w:hAnsiTheme="minorHAnsi" w:cstheme="minorHAnsi"/>
        </w:rPr>
      </w:pPr>
    </w:p>
    <w:p w14:paraId="00001C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metrado se elaborará especificando los metrados por cada edificación o componente. Contendrá el presupuesto general y por especialidades, análisis de precios unitarios, relación de materiales, Consolidado del Presupuesto, Resumen del Presupuesto, Desagregado de Gastos Generales. </w:t>
      </w:r>
    </w:p>
    <w:p w14:paraId="00001CAB" w14:textId="77777777" w:rsidR="00F664DB" w:rsidRPr="00285D58" w:rsidRDefault="00F664DB" w:rsidP="008D1FFF">
      <w:pPr>
        <w:spacing w:line="276" w:lineRule="auto"/>
        <w:jc w:val="both"/>
        <w:rPr>
          <w:rFonts w:asciiTheme="minorHAnsi" w:eastAsia="Calibri" w:hAnsiTheme="minorHAnsi" w:cstheme="minorHAnsi"/>
        </w:rPr>
      </w:pPr>
    </w:p>
    <w:p w14:paraId="00001CA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EDI de metrados y presupuesto contendrá lo siguiente:</w:t>
      </w:r>
    </w:p>
    <w:p w14:paraId="00001CAD"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metrados por especialidad </w:t>
      </w:r>
    </w:p>
    <w:p w14:paraId="00001CAE"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Sustento de metrados </w:t>
      </w:r>
    </w:p>
    <w:p w14:paraId="00001CAF"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Presupuesto general y consolidado </w:t>
      </w:r>
    </w:p>
    <w:p w14:paraId="00001CB0"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costos unitarios </w:t>
      </w:r>
    </w:p>
    <w:p w14:paraId="00001CB1" w14:textId="77777777" w:rsidR="00F664DB" w:rsidRPr="00285D58" w:rsidRDefault="006049C1" w:rsidP="00A3732C">
      <w:pPr>
        <w:widowControl/>
        <w:numPr>
          <w:ilvl w:val="0"/>
          <w:numId w:val="16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Listado de insumos</w:t>
      </w:r>
    </w:p>
    <w:p w14:paraId="00001CB2"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Presupuesto consolidado</w:t>
      </w:r>
    </w:p>
    <w:p w14:paraId="00001CB3"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adquisiciones</w:t>
      </w:r>
    </w:p>
    <w:p w14:paraId="00001CB4"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 de Ejecución de Obra y Equipamiento valorizado</w:t>
      </w:r>
    </w:p>
    <w:p w14:paraId="00001CB5"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PERT – CPM</w:t>
      </w:r>
    </w:p>
    <w:p w14:paraId="00001CB6"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Diagrama GANTT</w:t>
      </w:r>
    </w:p>
    <w:p w14:paraId="00001CB7" w14:textId="77777777" w:rsidR="00F664DB" w:rsidRPr="00285D58" w:rsidRDefault="006049C1" w:rsidP="00A3732C">
      <w:pPr>
        <w:widowControl/>
        <w:numPr>
          <w:ilvl w:val="1"/>
          <w:numId w:val="15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Desagregado de Gastos generales</w:t>
      </w:r>
    </w:p>
    <w:p w14:paraId="00001CB8" w14:textId="77777777" w:rsidR="00F664DB" w:rsidRPr="00285D58" w:rsidRDefault="00F664DB" w:rsidP="008D1FFF">
      <w:pPr>
        <w:spacing w:line="276" w:lineRule="auto"/>
        <w:jc w:val="both"/>
        <w:rPr>
          <w:rFonts w:asciiTheme="minorHAnsi" w:eastAsia="Calibri" w:hAnsiTheme="minorHAnsi" w:cstheme="minorHAnsi"/>
        </w:rPr>
      </w:pPr>
    </w:p>
    <w:p w14:paraId="00001CB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5.4. LICENCIAS, PERMISOS, AUTORIZACIONES Y FACTIBILIDADES </w:t>
      </w:r>
    </w:p>
    <w:p w14:paraId="00001CBA" w14:textId="77777777" w:rsidR="00F664DB" w:rsidRPr="00285D58" w:rsidRDefault="00F664DB" w:rsidP="008D1FFF">
      <w:pPr>
        <w:spacing w:line="276" w:lineRule="auto"/>
        <w:jc w:val="both"/>
        <w:rPr>
          <w:rFonts w:asciiTheme="minorHAnsi" w:eastAsia="Calibri" w:hAnsiTheme="minorHAnsi" w:cstheme="minorHAnsi"/>
        </w:rPr>
      </w:pPr>
    </w:p>
    <w:p w14:paraId="00001CB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5.4.1. ASPECTOS AMBIENTALES </w:t>
      </w:r>
    </w:p>
    <w:p w14:paraId="00001CB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Instrumentos de Gestión Ambiental, según corresponda. </w:t>
      </w:r>
    </w:p>
    <w:p w14:paraId="00001CBD" w14:textId="77777777" w:rsidR="00F664DB" w:rsidRPr="00285D58" w:rsidRDefault="00F664DB" w:rsidP="008D1FFF">
      <w:pPr>
        <w:spacing w:line="276" w:lineRule="auto"/>
        <w:jc w:val="both"/>
        <w:rPr>
          <w:rFonts w:asciiTheme="minorHAnsi" w:eastAsia="Calibri" w:hAnsiTheme="minorHAnsi" w:cstheme="minorHAnsi"/>
        </w:rPr>
      </w:pPr>
    </w:p>
    <w:p w14:paraId="00001CB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5.4.2. CERTIFICADO DE INEXISTENCIA DE RESTOS ARQUEOLÓGICOS </w:t>
      </w:r>
    </w:p>
    <w:p w14:paraId="00001CB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CONCESIONARIO, en cumplimiento de las Leyes y Disposiciones Aplicables e incluirá los documentos complementarios exigibles. </w:t>
      </w:r>
    </w:p>
    <w:p w14:paraId="00001CC0" w14:textId="77777777" w:rsidR="00F664DB" w:rsidRPr="00285D58" w:rsidRDefault="00F664DB" w:rsidP="008D1FFF">
      <w:pPr>
        <w:spacing w:line="276" w:lineRule="auto"/>
        <w:jc w:val="both"/>
        <w:rPr>
          <w:rFonts w:asciiTheme="minorHAnsi" w:eastAsia="Calibri" w:hAnsiTheme="minorHAnsi" w:cstheme="minorHAnsi"/>
        </w:rPr>
      </w:pPr>
    </w:p>
    <w:p w14:paraId="00001CC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5.4.3. PLAN DE MONITOREO ARQUEOLÓGICO</w:t>
      </w:r>
    </w:p>
    <w:p w14:paraId="00001CC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CC3" w14:textId="77777777" w:rsidR="00F664DB" w:rsidRPr="00285D58" w:rsidRDefault="00F664DB" w:rsidP="008D1FFF">
      <w:pPr>
        <w:spacing w:line="276" w:lineRule="auto"/>
        <w:jc w:val="both"/>
        <w:rPr>
          <w:rFonts w:asciiTheme="minorHAnsi" w:eastAsia="Calibri" w:hAnsiTheme="minorHAnsi" w:cstheme="minorHAnsi"/>
        </w:rPr>
      </w:pPr>
    </w:p>
    <w:p w14:paraId="00001CC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5.4.4. FACTIBILIDADES DE SERVICIOS</w:t>
      </w:r>
    </w:p>
    <w:p w14:paraId="00001CC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la petición de factibilidad de los Servicios Esenciales, cuando corresponda. Los ingenieros de las especialidades correspondientes son los responsables de preparar el proyecto de pedido de factibilidad a las Empresas Prestadoras de Servicios o al Organismo Regulador competente del sector, debiendo coordinar y presentar la información de acuerdo con los requisitos exigidos por las Leyes y Disposiciones Aplicables, incluyendo los siguientes documentos:</w:t>
      </w:r>
    </w:p>
    <w:p w14:paraId="00001CC6" w14:textId="77777777" w:rsidR="00F664DB" w:rsidRPr="00285D58" w:rsidRDefault="00F664DB" w:rsidP="008D1FFF">
      <w:pPr>
        <w:spacing w:line="276" w:lineRule="auto"/>
        <w:jc w:val="both"/>
        <w:rPr>
          <w:rFonts w:asciiTheme="minorHAnsi" w:eastAsia="Calibri" w:hAnsiTheme="minorHAnsi" w:cstheme="minorHAnsi"/>
        </w:rPr>
      </w:pPr>
    </w:p>
    <w:p w14:paraId="00001CC7"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suministro eléctrico en Media o Baja Tensión y punto de acometida eléctrica para la Potencia requerida y Máxima demanda Proyectada, a la entidad prestadora de servicio o la Autoridad Gubernamental Competente correspondiente. </w:t>
      </w:r>
    </w:p>
    <w:p w14:paraId="00001CC8"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servicio de agua potable y desagüe, a fin de que el respectivo proyecto esté adecuado a las características de las redes públicas. </w:t>
      </w:r>
    </w:p>
    <w:p w14:paraId="00001CC9" w14:textId="77777777" w:rsidR="00F664DB" w:rsidRPr="00285D58" w:rsidRDefault="006049C1" w:rsidP="00A3732C">
      <w:pPr>
        <w:widowControl/>
        <w:numPr>
          <w:ilvl w:val="0"/>
          <w:numId w:val="1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Factibilidad de Telecomunicaciones a la empresa prestadora de servicios correspondiente. En caso de ser necesario se incluirán los proyectos de redes de enlace o complementarias, que deberán ser aprobadas por las empresas suministradoras, a costo y riesgo del CONCESIONARIO. </w:t>
      </w:r>
    </w:p>
    <w:p w14:paraId="00001CCA" w14:textId="77777777" w:rsidR="00F664DB" w:rsidRPr="00285D58" w:rsidRDefault="00F664DB" w:rsidP="008D1FFF">
      <w:pPr>
        <w:spacing w:line="276" w:lineRule="auto"/>
        <w:jc w:val="both"/>
        <w:rPr>
          <w:rFonts w:asciiTheme="minorHAnsi" w:eastAsia="Calibri" w:hAnsiTheme="minorHAnsi" w:cstheme="minorHAnsi"/>
        </w:rPr>
      </w:pPr>
    </w:p>
    <w:p w14:paraId="00001CC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5.4.5. LICENCIAS MUNICIPALES </w:t>
      </w:r>
    </w:p>
    <w:p w14:paraId="00001CC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CCD" w14:textId="77777777" w:rsidR="00F664DB" w:rsidRPr="00285D58" w:rsidRDefault="00F664DB" w:rsidP="008D1FFF">
      <w:pPr>
        <w:spacing w:line="276" w:lineRule="auto"/>
        <w:jc w:val="both"/>
        <w:rPr>
          <w:rFonts w:asciiTheme="minorHAnsi" w:eastAsia="Calibri" w:hAnsiTheme="minorHAnsi" w:cstheme="minorHAnsi"/>
        </w:rPr>
      </w:pPr>
    </w:p>
    <w:p w14:paraId="00001CC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5.5. RECORRIDO VIRTUAL Y VISTAS DEL PROYECTO</w:t>
      </w:r>
    </w:p>
    <w:p w14:paraId="00001CC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CONCESIONARIO debe presentar recorridos virtuales de los espacios interiores y exteriores del EDI que muestren con claridad la solución del proyecto, con una duración mínima de dos (2) minutos. </w:t>
      </w:r>
    </w:p>
    <w:p w14:paraId="00001CD0" w14:textId="77777777" w:rsidR="00F664DB" w:rsidRPr="00285D58" w:rsidRDefault="00F664DB" w:rsidP="008D1FFF">
      <w:pPr>
        <w:spacing w:line="276" w:lineRule="auto"/>
        <w:jc w:val="both"/>
        <w:rPr>
          <w:rFonts w:asciiTheme="minorHAnsi" w:eastAsia="Calibri" w:hAnsiTheme="minorHAnsi" w:cstheme="minorHAnsi"/>
        </w:rPr>
      </w:pPr>
    </w:p>
    <w:p w14:paraId="00001CD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CD2" w14:textId="77777777" w:rsidR="00F664DB" w:rsidRPr="00285D58" w:rsidRDefault="00F664DB" w:rsidP="008D1FFF">
      <w:pPr>
        <w:spacing w:line="276" w:lineRule="auto"/>
        <w:jc w:val="both"/>
        <w:rPr>
          <w:rFonts w:asciiTheme="minorHAnsi" w:eastAsia="Calibri" w:hAnsiTheme="minorHAnsi" w:cstheme="minorHAnsi"/>
        </w:rPr>
      </w:pPr>
    </w:p>
    <w:p w14:paraId="00001CD3" w14:textId="77777777" w:rsidR="00F664DB" w:rsidRPr="00285D58" w:rsidRDefault="006049C1" w:rsidP="008D1FFF">
      <w:pPr>
        <w:spacing w:line="276" w:lineRule="auto"/>
        <w:ind w:left="1560" w:hanging="567"/>
        <w:jc w:val="both"/>
        <w:rPr>
          <w:rFonts w:asciiTheme="minorHAnsi" w:eastAsia="Calibri" w:hAnsiTheme="minorHAnsi" w:cstheme="minorHAnsi"/>
          <w:b/>
        </w:rPr>
      </w:pPr>
      <w:r w:rsidRPr="00285D58">
        <w:rPr>
          <w:rFonts w:asciiTheme="minorHAnsi" w:eastAsia="Calibri" w:hAnsiTheme="minorHAnsi" w:cstheme="minorHAnsi"/>
          <w:b/>
        </w:rPr>
        <w:t xml:space="preserve">6. </w:t>
      </w:r>
      <w:r w:rsidRPr="00285D58">
        <w:rPr>
          <w:rFonts w:asciiTheme="minorHAnsi" w:eastAsia="Calibri" w:hAnsiTheme="minorHAnsi" w:cstheme="minorHAnsi"/>
          <w:b/>
        </w:rPr>
        <w:tab/>
        <w:t>FORMATOS DE ENTREGA</w:t>
      </w:r>
    </w:p>
    <w:p w14:paraId="00001CD4" w14:textId="77777777" w:rsidR="00F664DB" w:rsidRPr="00285D58" w:rsidRDefault="00F664DB" w:rsidP="008D1FFF">
      <w:pPr>
        <w:spacing w:line="276" w:lineRule="auto"/>
        <w:jc w:val="both"/>
        <w:rPr>
          <w:rFonts w:asciiTheme="minorHAnsi" w:eastAsia="Calibri" w:hAnsiTheme="minorHAnsi" w:cstheme="minorHAnsi"/>
          <w:b/>
        </w:rPr>
      </w:pPr>
    </w:p>
    <w:p w14:paraId="00001CD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CD6" w14:textId="77777777" w:rsidR="00F664DB" w:rsidRPr="00285D58" w:rsidRDefault="00F664DB" w:rsidP="008D1FFF">
      <w:pPr>
        <w:spacing w:line="276" w:lineRule="auto"/>
        <w:jc w:val="both"/>
        <w:rPr>
          <w:rFonts w:asciiTheme="minorHAnsi" w:eastAsia="Calibri" w:hAnsiTheme="minorHAnsi" w:cstheme="minorHAnsi"/>
          <w:b/>
        </w:rPr>
      </w:pPr>
    </w:p>
    <w:p w14:paraId="00001CD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C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CD9" w14:textId="77777777" w:rsidR="00F664DB" w:rsidRPr="00285D58" w:rsidRDefault="00F664DB" w:rsidP="008D1FFF">
      <w:pPr>
        <w:spacing w:line="276" w:lineRule="auto"/>
        <w:jc w:val="both"/>
        <w:rPr>
          <w:rFonts w:asciiTheme="minorHAnsi" w:eastAsia="Calibri" w:hAnsiTheme="minorHAnsi" w:cstheme="minorHAnsi"/>
        </w:rPr>
      </w:pPr>
    </w:p>
    <w:p w14:paraId="00001C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C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CDC" w14:textId="77777777" w:rsidR="00F664DB" w:rsidRPr="00285D58" w:rsidRDefault="00F664DB" w:rsidP="008D1FFF">
      <w:pPr>
        <w:spacing w:line="276" w:lineRule="auto"/>
        <w:jc w:val="both"/>
        <w:rPr>
          <w:rFonts w:asciiTheme="minorHAnsi" w:eastAsia="Calibri" w:hAnsiTheme="minorHAnsi" w:cstheme="minorHAnsi"/>
        </w:rPr>
      </w:pPr>
    </w:p>
    <w:p w14:paraId="00001CD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C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CDF" w14:textId="77777777" w:rsidR="00F664DB" w:rsidRPr="00285D58" w:rsidRDefault="00F664DB" w:rsidP="008D1FFF">
      <w:pPr>
        <w:spacing w:line="276" w:lineRule="auto"/>
        <w:jc w:val="both"/>
        <w:rPr>
          <w:rFonts w:asciiTheme="minorHAnsi" w:eastAsia="Calibri" w:hAnsiTheme="minorHAnsi" w:cstheme="minorHAnsi"/>
        </w:rPr>
      </w:pPr>
    </w:p>
    <w:p w14:paraId="00001CE0" w14:textId="77777777" w:rsidR="00F664DB" w:rsidRPr="00285D58" w:rsidRDefault="006049C1" w:rsidP="00A3732C">
      <w:pPr>
        <w:widowControl/>
        <w:numPr>
          <w:ilvl w:val="0"/>
          <w:numId w:val="1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CE1"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de documentos en: editor de textos (doc, rtf, etc), hojas de cálculo (xls, etc.), documento digital (PDF). </w:t>
      </w:r>
    </w:p>
    <w:p w14:paraId="00001CE2"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CE3"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CE4"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CE5"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CE6"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Modelamientos estructurales en el software establecidos por el CONCEDENTE.</w:t>
      </w:r>
    </w:p>
    <w:p w14:paraId="00001CE7"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CE8" w14:textId="77777777" w:rsidR="00F664DB" w:rsidRPr="00285D58" w:rsidRDefault="006049C1" w:rsidP="00A3732C">
      <w:pPr>
        <w:widowControl/>
        <w:numPr>
          <w:ilvl w:val="1"/>
          <w:numId w:val="13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CE9" w14:textId="77777777" w:rsidR="00F664DB" w:rsidRPr="00285D58" w:rsidRDefault="006049C1" w:rsidP="00A3732C">
      <w:pPr>
        <w:widowControl/>
        <w:numPr>
          <w:ilvl w:val="0"/>
          <w:numId w:val="15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CEA" w14:textId="77777777" w:rsidR="00F664DB" w:rsidRPr="00285D58" w:rsidRDefault="00F664DB" w:rsidP="008D1FFF">
      <w:pPr>
        <w:spacing w:line="276" w:lineRule="auto"/>
        <w:jc w:val="both"/>
        <w:rPr>
          <w:rFonts w:asciiTheme="minorHAnsi" w:eastAsia="Calibri" w:hAnsiTheme="minorHAnsi" w:cstheme="minorHAnsi"/>
          <w:b/>
          <w:smallCaps/>
        </w:rPr>
      </w:pPr>
    </w:p>
    <w:p w14:paraId="00001CEB" w14:textId="77777777" w:rsidR="00F664DB" w:rsidRPr="00285D58" w:rsidRDefault="00F664DB" w:rsidP="008D1FFF">
      <w:pPr>
        <w:spacing w:line="276" w:lineRule="auto"/>
        <w:jc w:val="both"/>
        <w:rPr>
          <w:rFonts w:asciiTheme="minorHAnsi" w:eastAsia="Calibri" w:hAnsiTheme="minorHAnsi" w:cstheme="minorHAnsi"/>
          <w:b/>
          <w:smallCaps/>
        </w:rPr>
      </w:pPr>
    </w:p>
    <w:p w14:paraId="00001CEC" w14:textId="77777777" w:rsidR="00F664DB" w:rsidRPr="00285D58" w:rsidRDefault="006049C1" w:rsidP="008D1FFF">
      <w:pPr>
        <w:widowControl/>
        <w:spacing w:after="160" w:line="276" w:lineRule="auto"/>
        <w:jc w:val="both"/>
        <w:rPr>
          <w:rFonts w:asciiTheme="minorHAnsi" w:eastAsia="Calibri" w:hAnsiTheme="minorHAnsi" w:cstheme="minorHAnsi"/>
          <w:b/>
          <w:color w:val="1F4E79"/>
        </w:rPr>
      </w:pPr>
      <w:r w:rsidRPr="00285D58">
        <w:rPr>
          <w:rFonts w:asciiTheme="minorHAnsi" w:hAnsiTheme="minorHAnsi" w:cstheme="minorHAnsi"/>
        </w:rPr>
        <w:br w:type="page"/>
      </w:r>
    </w:p>
    <w:p w14:paraId="00001CED" w14:textId="2BA1920E"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53" w:name="_heading=h.2jxsxqh" w:colFirst="0" w:colLast="0"/>
      <w:bookmarkStart w:id="154" w:name="_Toc193979281"/>
      <w:bookmarkEnd w:id="153"/>
      <w:r w:rsidRPr="00285D58">
        <w:rPr>
          <w:rFonts w:asciiTheme="minorHAnsi" w:eastAsia="Calibri" w:hAnsiTheme="minorHAnsi" w:cstheme="minorHAnsi"/>
          <w:b/>
          <w:color w:val="1F4E79"/>
          <w:sz w:val="22"/>
          <w:szCs w:val="22"/>
        </w:rPr>
        <w:lastRenderedPageBreak/>
        <w:t>ANEXO 08 - APÉNDICE 3 – ESPECIFICACIONES PARA EL DESARROLLO DEL ESTUDIO DEFINITIVO DE INGENIERÍA DE LAS VÍAS TURÍSTICAS</w:t>
      </w:r>
      <w:bookmarkEnd w:id="154"/>
      <w:r w:rsidRPr="00285D58">
        <w:rPr>
          <w:rFonts w:asciiTheme="minorHAnsi" w:eastAsia="Calibri" w:hAnsiTheme="minorHAnsi" w:cstheme="minorHAnsi"/>
          <w:b/>
          <w:color w:val="1F4E79"/>
          <w:sz w:val="22"/>
          <w:szCs w:val="22"/>
        </w:rPr>
        <w:t xml:space="preserve"> </w:t>
      </w:r>
    </w:p>
    <w:p w14:paraId="00001CEE" w14:textId="77777777" w:rsidR="00F664DB" w:rsidRPr="00285D58" w:rsidRDefault="006049C1" w:rsidP="00A3732C">
      <w:pPr>
        <w:keepNext/>
        <w:keepLines/>
        <w:numPr>
          <w:ilvl w:val="3"/>
          <w:numId w:val="130"/>
        </w:numPr>
        <w:spacing w:before="360" w:after="80" w:line="276" w:lineRule="auto"/>
        <w:ind w:left="1560"/>
        <w:jc w:val="both"/>
        <w:rPr>
          <w:rFonts w:asciiTheme="minorHAnsi" w:eastAsia="Calibri" w:hAnsiTheme="minorHAnsi" w:cstheme="minorHAnsi"/>
          <w:b/>
        </w:rPr>
      </w:pPr>
      <w:bookmarkStart w:id="155" w:name="_heading=h.rtofi4" w:colFirst="0" w:colLast="0"/>
      <w:bookmarkEnd w:id="155"/>
      <w:r w:rsidRPr="00285D58">
        <w:rPr>
          <w:rFonts w:asciiTheme="minorHAnsi" w:eastAsia="Calibri" w:hAnsiTheme="minorHAnsi" w:cstheme="minorHAnsi"/>
          <w:b/>
        </w:rPr>
        <w:t xml:space="preserve">OBJETO </w:t>
      </w:r>
    </w:p>
    <w:p w14:paraId="00001C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documento tiene por objeto definir los requerimientos mínimos para la elaboración del EDI de Obras de las Vías Turísticas, así como los documentos que lo integran. </w:t>
      </w:r>
    </w:p>
    <w:p w14:paraId="00001CF0" w14:textId="77777777" w:rsidR="00F664DB" w:rsidRPr="00285D58" w:rsidRDefault="006049C1" w:rsidP="00A3732C">
      <w:pPr>
        <w:keepNext/>
        <w:keepLines/>
        <w:numPr>
          <w:ilvl w:val="3"/>
          <w:numId w:val="130"/>
        </w:numPr>
        <w:spacing w:before="360" w:after="80" w:line="276" w:lineRule="auto"/>
        <w:ind w:left="1560"/>
        <w:jc w:val="both"/>
        <w:rPr>
          <w:rFonts w:asciiTheme="minorHAnsi" w:eastAsia="Calibri" w:hAnsiTheme="minorHAnsi" w:cstheme="minorHAnsi"/>
          <w:b/>
        </w:rPr>
      </w:pPr>
      <w:bookmarkStart w:id="156" w:name="_heading=h.3btby5x" w:colFirst="0" w:colLast="0"/>
      <w:bookmarkEnd w:id="156"/>
      <w:r w:rsidRPr="00285D58">
        <w:rPr>
          <w:rFonts w:asciiTheme="minorHAnsi" w:eastAsia="Calibri" w:hAnsiTheme="minorHAnsi" w:cstheme="minorHAnsi"/>
          <w:b/>
        </w:rPr>
        <w:t xml:space="preserve">NORMATIVA </w:t>
      </w:r>
    </w:p>
    <w:p w14:paraId="00001CF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del EDI de Obras deberá realizarse de acuerdo con las Leyes y Disposiciones Aplicables, considerando las normas técnicas respectivas, así como sus modificaciones y actualizaciones. En caso de contradicción o ambigüedad entre la normativa nacional y la norma internacional, prima la norma nacional.</w:t>
      </w:r>
    </w:p>
    <w:p w14:paraId="00001C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 responsable de considerar las Leyes y Disposiciones Aplicables para el cumplimiento de sus obligaciones, entre las que se encuentran, como referencia, las siguientes: </w:t>
      </w:r>
    </w:p>
    <w:p w14:paraId="00001CF3" w14:textId="77777777" w:rsidR="00F664DB" w:rsidRPr="00285D58" w:rsidRDefault="00F664DB" w:rsidP="008D1FFF">
      <w:pPr>
        <w:spacing w:line="276" w:lineRule="auto"/>
        <w:jc w:val="both"/>
        <w:rPr>
          <w:rFonts w:asciiTheme="minorHAnsi" w:eastAsia="Calibri" w:hAnsiTheme="minorHAnsi" w:cstheme="minorHAnsi"/>
        </w:rPr>
      </w:pPr>
    </w:p>
    <w:p w14:paraId="00001C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BASE LEGAL NACIONAL </w:t>
      </w:r>
    </w:p>
    <w:p w14:paraId="00001CF5" w14:textId="77777777" w:rsidR="00F664DB" w:rsidRPr="00285D58" w:rsidRDefault="00F664DB" w:rsidP="008D1FFF">
      <w:pPr>
        <w:spacing w:line="276" w:lineRule="auto"/>
        <w:jc w:val="both"/>
        <w:rPr>
          <w:rFonts w:asciiTheme="minorHAnsi" w:eastAsia="Calibri" w:hAnsiTheme="minorHAnsi" w:cstheme="minorHAnsi"/>
          <w:b/>
        </w:rPr>
      </w:pPr>
    </w:p>
    <w:p w14:paraId="00001CF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2.1.1. BASE LEGAL GENERAL </w:t>
      </w:r>
    </w:p>
    <w:p w14:paraId="00001CF7"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General del Ambiente, aprobada por la Ley Nro. 28611. </w:t>
      </w:r>
    </w:p>
    <w:p w14:paraId="00001CF8"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 que crea el Sistema Nacional de Gestión del Riesgo de Desastres (SINAGERD), aprobada por la Ley Nro. 29664; y su Reglamento, aprobado por Decreto Supremo Nro. </w:t>
      </w:r>
    </w:p>
    <w:p w14:paraId="00001CF9"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Decreto Legislativo que regula la Promoción de la Inversión Privada mediante Asociaciones Público Privadas y Proyectos en Activos, aprobado por Decreto Legislativo Nro. 1362, y su Reglamento, aprobado por Decreto Supremo 240-2018-EF </w:t>
      </w:r>
    </w:p>
    <w:p w14:paraId="00001CFA"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Nacional de Gestión de Riesgo de Desastres – PLANAGERD 2022-2030, aprobado por Decreto Supremo Nro. 115-2022-PCM. </w:t>
      </w:r>
    </w:p>
    <w:p w14:paraId="00001CFB"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Política Nacional de Gestión del Riesgo de Desastres al 2050, aprobado por Decreto Supremo 038-2021-PCM </w:t>
      </w:r>
    </w:p>
    <w:p w14:paraId="00001CFC"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de Metrados, aprobada por Resolución Directoral Nro. 073 010/VIVIENDA/VMCS-DNC. </w:t>
      </w:r>
    </w:p>
    <w:p w14:paraId="00001CFD" w14:textId="77777777" w:rsidR="00F664DB" w:rsidRPr="00285D58" w:rsidRDefault="006049C1" w:rsidP="00A3732C">
      <w:pPr>
        <w:widowControl/>
        <w:numPr>
          <w:ilvl w:val="0"/>
          <w:numId w:val="6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“Especificaciones Técnicas para Levantamientos Geodésicos Verticales”, aprobada por Resolución Jefatural Nro. 057-2016/IGN/UCNN. </w:t>
      </w:r>
    </w:p>
    <w:p w14:paraId="00001CFE" w14:textId="77777777" w:rsidR="00F664DB" w:rsidRPr="00285D58" w:rsidRDefault="00F664DB" w:rsidP="008D1FFF">
      <w:pPr>
        <w:spacing w:line="276" w:lineRule="auto"/>
        <w:jc w:val="both"/>
        <w:rPr>
          <w:rFonts w:asciiTheme="minorHAnsi" w:eastAsia="Calibri" w:hAnsiTheme="minorHAnsi" w:cstheme="minorHAnsi"/>
        </w:rPr>
      </w:pPr>
    </w:p>
    <w:p w14:paraId="00001CF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NORMAS TÉCNICAS BÁSICAS</w:t>
      </w:r>
    </w:p>
    <w:p w14:paraId="00001D00" w14:textId="77777777" w:rsidR="00F664DB" w:rsidRPr="00285D58" w:rsidRDefault="006049C1" w:rsidP="00A3732C">
      <w:pPr>
        <w:widowControl/>
        <w:numPr>
          <w:ilvl w:val="0"/>
          <w:numId w:val="8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Nacional de Gestión de Infraestructura Vial, aprobado por Decreto Supremo Nro. 034-2008 – MTC, y modificado por los Decretos Supremos N° 003-2009-MTC y N° 011-2009-MTC y N° 012-201 – MTC.  </w:t>
      </w:r>
    </w:p>
    <w:p w14:paraId="00001D01" w14:textId="77777777" w:rsidR="00F664DB" w:rsidRPr="00285D58" w:rsidRDefault="00F664DB" w:rsidP="008D1FFF">
      <w:pPr>
        <w:spacing w:line="276" w:lineRule="auto"/>
        <w:jc w:val="both"/>
        <w:rPr>
          <w:rFonts w:asciiTheme="minorHAnsi" w:eastAsia="Calibri" w:hAnsiTheme="minorHAnsi" w:cstheme="minorHAnsi"/>
        </w:rPr>
      </w:pPr>
    </w:p>
    <w:p w14:paraId="00001D02" w14:textId="77777777" w:rsidR="00F664DB" w:rsidRPr="00285D58" w:rsidRDefault="00F664DB" w:rsidP="008D1FFF">
      <w:pPr>
        <w:spacing w:line="276" w:lineRule="auto"/>
        <w:jc w:val="both"/>
        <w:rPr>
          <w:rFonts w:asciiTheme="minorHAnsi" w:eastAsia="Calibri" w:hAnsiTheme="minorHAnsi" w:cstheme="minorHAnsi"/>
        </w:rPr>
      </w:pPr>
    </w:p>
    <w:p w14:paraId="00001D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 NORMAS TÉCNICAS ESPECÍFICAS </w:t>
      </w:r>
    </w:p>
    <w:p w14:paraId="00001D04" w14:textId="77777777" w:rsidR="00F664DB" w:rsidRPr="00285D58" w:rsidRDefault="00F664DB" w:rsidP="008D1FFF">
      <w:pPr>
        <w:spacing w:line="276" w:lineRule="auto"/>
        <w:jc w:val="both"/>
        <w:rPr>
          <w:rFonts w:asciiTheme="minorHAnsi" w:eastAsia="Calibri" w:hAnsiTheme="minorHAnsi" w:cstheme="minorHAnsi"/>
          <w:b/>
        </w:rPr>
      </w:pPr>
    </w:p>
    <w:p w14:paraId="00001D0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2.1.3.1. Manual de Carreteras</w:t>
      </w:r>
    </w:p>
    <w:p w14:paraId="00001D06"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22-2013-MTC/14 “(Manual de Carreteras: Especificaciones Técnicas Generales para Construcción” </w:t>
      </w:r>
    </w:p>
    <w:p w14:paraId="00001D07"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03-2018-MTC 14 “Manual de Carreteras: Diseño Geométrico “ </w:t>
      </w:r>
    </w:p>
    <w:p w14:paraId="00001D08"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36-2016-MTC14 “Manual de Carreteras: Túneles, Muros y Obras Complementarias” </w:t>
      </w:r>
    </w:p>
    <w:p w14:paraId="00001D09"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19-2018-MTC14 “Manual de Carreteras: Puentes” </w:t>
      </w:r>
    </w:p>
    <w:p w14:paraId="00001D0A"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10-2014-MTC14 “Manual de Carreteras: Suelos, Geología, Geotecnia y Pavimentos” </w:t>
      </w:r>
    </w:p>
    <w:p w14:paraId="00001D0B"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18-2016-MTC14 “Manual de Carreteras: Ensayo de Materiales” </w:t>
      </w:r>
    </w:p>
    <w:p w14:paraId="00001D0C"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20-2011-MTC14 “Manual de Carreteras: Hidrología, Hidráulica y Drenaje” </w:t>
      </w:r>
    </w:p>
    <w:p w14:paraId="00001D0D"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RD Nº 05-2016-MTC14 “Manual de Carreteras: Mantenimiento o Conservación Vial y Parte IV”</w:t>
      </w:r>
    </w:p>
    <w:p w14:paraId="00001D0E"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Nº 16-2016-MTC14 “Manual de Carreteras: Dispositivos de Control del Tránsito Automotor para Calles y Carreteras” </w:t>
      </w:r>
    </w:p>
    <w:p w14:paraId="00001D0F"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RD N° 05-2017-MTC14 “Manual de Carreteras: Seguridad Vial” </w:t>
      </w:r>
    </w:p>
    <w:p w14:paraId="00001D10" w14:textId="77777777" w:rsidR="00F664DB" w:rsidRPr="00285D58" w:rsidRDefault="006049C1" w:rsidP="00A3732C">
      <w:pPr>
        <w:widowControl/>
        <w:numPr>
          <w:ilvl w:val="0"/>
          <w:numId w:val="7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RD Nº 22-2015-MTC14 “Manual de Carreteras: Manual de Inventarios Viales y Parte IV”</w:t>
      </w:r>
    </w:p>
    <w:p w14:paraId="00001D11" w14:textId="77777777" w:rsidR="00F664DB" w:rsidRPr="00285D58" w:rsidRDefault="00F664DB" w:rsidP="008D1FFF">
      <w:pPr>
        <w:spacing w:line="276" w:lineRule="auto"/>
        <w:jc w:val="both"/>
        <w:rPr>
          <w:rFonts w:asciiTheme="minorHAnsi" w:eastAsia="Calibri" w:hAnsiTheme="minorHAnsi" w:cstheme="minorHAnsi"/>
        </w:rPr>
      </w:pPr>
    </w:p>
    <w:p w14:paraId="00001D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2.1.3.2. Estructuras</w:t>
      </w:r>
    </w:p>
    <w:p w14:paraId="00001D13"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E.020-Cargas, del Reglamento Nacional de Edificaciones, aprobado por Decreto Supremo Nro. 011-2006-VIVIENDA. </w:t>
      </w:r>
    </w:p>
    <w:p w14:paraId="00001D14"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E.030 - Diseño Sismorresistente, del Reglamento Nacional de Edificaciones, aprobado por Decreto Supremo Nro. 011-2006-VIVIENDA. </w:t>
      </w:r>
    </w:p>
    <w:p w14:paraId="00001D15"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E.050 - Suelos y Cimentaciones, del Reglamento Nacional de Edificaciones, aprobado por Decreto Supremo Nro. 011-2006-VIVIENDA. </w:t>
      </w:r>
    </w:p>
    <w:p w14:paraId="00001D16" w14:textId="77777777" w:rsidR="00F664DB" w:rsidRPr="00285D58" w:rsidRDefault="006049C1" w:rsidP="00A3732C">
      <w:pPr>
        <w:widowControl/>
        <w:numPr>
          <w:ilvl w:val="0"/>
          <w:numId w:val="18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E.060 - Concreto Armado, del Reglamento Nacional de Edificaciones, aprobado por Decreto Supremo Nro. 011-2006-VIVIENDA. </w:t>
      </w:r>
    </w:p>
    <w:p w14:paraId="00001D17" w14:textId="77777777" w:rsidR="00F664DB" w:rsidRPr="00285D58" w:rsidRDefault="00F664DB" w:rsidP="008D1FFF">
      <w:pPr>
        <w:spacing w:line="276" w:lineRule="auto"/>
        <w:jc w:val="both"/>
        <w:rPr>
          <w:rFonts w:asciiTheme="minorHAnsi" w:eastAsia="Calibri" w:hAnsiTheme="minorHAnsi" w:cstheme="minorHAnsi"/>
        </w:rPr>
      </w:pPr>
    </w:p>
    <w:p w14:paraId="00001D1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2.1.3.3. Gestión ambiental </w:t>
      </w:r>
    </w:p>
    <w:p w14:paraId="00001D19"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Reglamento de Gestión Ambiental del Sector Turismo, aprobado por Resolución Ministerial Nro. 235-2021 – MINCETUR. </w:t>
      </w:r>
    </w:p>
    <w:p w14:paraId="00001D1A" w14:textId="77777777" w:rsidR="00F664DB" w:rsidRPr="00285D58" w:rsidRDefault="00F664DB" w:rsidP="008D1FFF">
      <w:pPr>
        <w:spacing w:line="276" w:lineRule="auto"/>
        <w:jc w:val="both"/>
        <w:rPr>
          <w:rFonts w:asciiTheme="minorHAnsi" w:eastAsia="Calibri" w:hAnsiTheme="minorHAnsi" w:cstheme="minorHAnsi"/>
        </w:rPr>
      </w:pPr>
    </w:p>
    <w:p w14:paraId="00001D1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2.1.3.4. Gestión de Riesgo de Desastres </w:t>
      </w:r>
    </w:p>
    <w:p w14:paraId="00001D1C" w14:textId="77777777" w:rsidR="00F664DB" w:rsidRPr="00285D58" w:rsidRDefault="006049C1" w:rsidP="00A3732C">
      <w:pPr>
        <w:widowControl/>
        <w:numPr>
          <w:ilvl w:val="0"/>
          <w:numId w:val="1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 Prevención y Reducción del Riesgo de Desastres del Ministerio de Comercio Exterior y Turismo 2023”, aprobado por Resolución Ministerial Nro. 283-2023 – MINCETUR. </w:t>
      </w:r>
    </w:p>
    <w:p w14:paraId="00001D1D" w14:textId="77777777" w:rsidR="00F664DB" w:rsidRPr="00285D58" w:rsidRDefault="006049C1" w:rsidP="00A3732C">
      <w:pPr>
        <w:widowControl/>
        <w:numPr>
          <w:ilvl w:val="0"/>
          <w:numId w:val="1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Manual para la Evaluación de Riesgos Originados por Fenómenos Naturales – 2da Versión, para la Resolución Jefatural Nro. 112-2014-CENEPRED. </w:t>
      </w:r>
    </w:p>
    <w:p w14:paraId="00001D1E" w14:textId="77777777" w:rsidR="00F664DB" w:rsidRPr="00285D58" w:rsidRDefault="00F664DB" w:rsidP="008D1FFF">
      <w:pPr>
        <w:spacing w:line="276" w:lineRule="auto"/>
        <w:jc w:val="both"/>
        <w:rPr>
          <w:rFonts w:asciiTheme="minorHAnsi" w:eastAsia="Calibri" w:hAnsiTheme="minorHAnsi" w:cstheme="minorHAnsi"/>
        </w:rPr>
      </w:pPr>
    </w:p>
    <w:p w14:paraId="00001D1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2.1.3.5. Normas Técnicas sobre BIM </w:t>
      </w:r>
    </w:p>
    <w:p w14:paraId="00001D20" w14:textId="77777777" w:rsidR="00F664DB" w:rsidRPr="00285D58" w:rsidRDefault="006049C1" w:rsidP="00A3732C">
      <w:pPr>
        <w:widowControl/>
        <w:numPr>
          <w:ilvl w:val="0"/>
          <w:numId w:val="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Norma Técnica Peruana NTP-ISO 19650-1:2021 - Organización y digitalización de la información sobre edificios y obras de ingeniería civil, incluyendo el modelado de la </w:t>
      </w:r>
      <w:r w:rsidRPr="00285D58">
        <w:rPr>
          <w:rFonts w:asciiTheme="minorHAnsi" w:eastAsia="Calibri" w:hAnsiTheme="minorHAnsi" w:cstheme="minorHAnsi"/>
          <w:color w:val="000000"/>
        </w:rPr>
        <w:lastRenderedPageBreak/>
        <w:t xml:space="preserve">información de la construcción (BIM) – Gestión de la información mediante el modelado de la información de la construcción”. </w:t>
      </w:r>
    </w:p>
    <w:p w14:paraId="00001D21" w14:textId="77777777" w:rsidR="00F664DB" w:rsidRPr="00285D58" w:rsidRDefault="006049C1" w:rsidP="00A3732C">
      <w:pPr>
        <w:widowControl/>
        <w:numPr>
          <w:ilvl w:val="0"/>
          <w:numId w:val="8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Manual de Nomenclatura de documentos al utilizar BIM, elaborado por la Asociación BuldingSMART (denominada anteriormente International Alliance for Interoperability). </w:t>
      </w:r>
    </w:p>
    <w:p w14:paraId="00001D22" w14:textId="77777777" w:rsidR="00F664DB" w:rsidRPr="00285D58" w:rsidRDefault="00F664DB" w:rsidP="008D1FFF">
      <w:pPr>
        <w:spacing w:line="276" w:lineRule="auto"/>
        <w:jc w:val="both"/>
        <w:rPr>
          <w:rFonts w:asciiTheme="minorHAnsi" w:eastAsia="Calibri" w:hAnsiTheme="minorHAnsi" w:cstheme="minorHAnsi"/>
        </w:rPr>
      </w:pPr>
    </w:p>
    <w:p w14:paraId="00001D23" w14:textId="77777777" w:rsidR="00F664DB" w:rsidRPr="00285D58" w:rsidRDefault="006049C1" w:rsidP="008D1FFF">
      <w:pPr>
        <w:spacing w:line="276" w:lineRule="auto"/>
        <w:jc w:val="both"/>
        <w:rPr>
          <w:rFonts w:asciiTheme="minorHAnsi" w:eastAsia="Calibri" w:hAnsiTheme="minorHAnsi" w:cstheme="minorHAnsi"/>
          <w:b/>
          <w:lang w:val="en-US"/>
        </w:rPr>
      </w:pPr>
      <w:r w:rsidRPr="00285D58">
        <w:rPr>
          <w:rFonts w:asciiTheme="minorHAnsi" w:eastAsia="Calibri" w:hAnsiTheme="minorHAnsi" w:cstheme="minorHAnsi"/>
          <w:b/>
          <w:lang w:val="en-US"/>
        </w:rPr>
        <w:t xml:space="preserve">2.2. REFERENCIAS NORMATIVAS INTERNACIONALES </w:t>
      </w:r>
    </w:p>
    <w:p w14:paraId="00001D24" w14:textId="77777777" w:rsidR="00F664DB" w:rsidRPr="00285D58" w:rsidRDefault="006049C1" w:rsidP="008D1FFF">
      <w:pPr>
        <w:widowControl/>
        <w:pBdr>
          <w:top w:val="nil"/>
          <w:left w:val="nil"/>
          <w:bottom w:val="nil"/>
          <w:right w:val="nil"/>
          <w:between w:val="nil"/>
        </w:pBdr>
        <w:spacing w:line="276" w:lineRule="auto"/>
        <w:ind w:left="927" w:hanging="360"/>
        <w:jc w:val="both"/>
        <w:rPr>
          <w:rFonts w:asciiTheme="minorHAnsi" w:eastAsia="Calibri" w:hAnsiTheme="minorHAnsi" w:cstheme="minorHAnsi"/>
          <w:color w:val="000000"/>
          <w:lang w:val="en-US"/>
        </w:rPr>
      </w:pPr>
      <w:r w:rsidRPr="00285D58">
        <w:rPr>
          <w:rFonts w:asciiTheme="minorHAnsi" w:eastAsia="Calibri" w:hAnsiTheme="minorHAnsi" w:cstheme="minorHAnsi"/>
          <w:color w:val="000000"/>
          <w:lang w:val="en-US"/>
        </w:rPr>
        <w:t>A policy on geometric design of highways and streets 2011 (Green book), American Association of State Highway and Transportation Officials - AASHTO.</w:t>
      </w:r>
    </w:p>
    <w:p w14:paraId="00001D25" w14:textId="77777777" w:rsidR="00F664DB" w:rsidRPr="00285D58" w:rsidRDefault="00F664DB" w:rsidP="008D1FFF">
      <w:pPr>
        <w:spacing w:line="276" w:lineRule="auto"/>
        <w:jc w:val="both"/>
        <w:rPr>
          <w:rFonts w:asciiTheme="minorHAnsi" w:eastAsia="Calibri" w:hAnsiTheme="minorHAnsi" w:cstheme="minorHAnsi"/>
          <w:lang w:val="en-US"/>
        </w:rPr>
      </w:pPr>
    </w:p>
    <w:p w14:paraId="00001D26"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7" w:name="_heading=h.1qym8dq" w:colFirst="0" w:colLast="0"/>
      <w:bookmarkEnd w:id="157"/>
      <w:r w:rsidRPr="00285D58">
        <w:rPr>
          <w:rFonts w:asciiTheme="minorHAnsi" w:eastAsia="Calibri" w:hAnsiTheme="minorHAnsi" w:cstheme="minorHAnsi"/>
          <w:b/>
        </w:rPr>
        <w:t>GENERALIDADES</w:t>
      </w:r>
    </w:p>
    <w:p w14:paraId="00001D2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se desarrollarán cumpliendo con las Leyes y Disposiciones Aplicables y de acuerdo con lo establecido en el Anexo 03 del Contrato de Concesión, y deberán incluir los contenidos descritos en el presente Anexo. </w:t>
      </w:r>
    </w:p>
    <w:p w14:paraId="00001D28" w14:textId="77777777" w:rsidR="00F664DB" w:rsidRPr="00285D58" w:rsidRDefault="00F664DB" w:rsidP="008D1FFF">
      <w:pPr>
        <w:spacing w:line="276" w:lineRule="auto"/>
        <w:jc w:val="both"/>
        <w:rPr>
          <w:rFonts w:asciiTheme="minorHAnsi" w:eastAsia="Calibri" w:hAnsiTheme="minorHAnsi" w:cstheme="minorHAnsi"/>
        </w:rPr>
      </w:pPr>
    </w:p>
    <w:p w14:paraId="00001D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 un EDI por cada una de las vías del proyecto:</w:t>
      </w:r>
    </w:p>
    <w:p w14:paraId="00001D2A"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Vía Turística Kiuñalla – Estación Kiuñalla</w:t>
      </w:r>
    </w:p>
    <w:p w14:paraId="00001D2B" w14:textId="77777777" w:rsidR="00F664DB" w:rsidRPr="00285D58" w:rsidRDefault="006049C1" w:rsidP="00A3732C">
      <w:pPr>
        <w:widowControl/>
        <w:numPr>
          <w:ilvl w:val="0"/>
          <w:numId w:val="7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Vía Turística Yanama – Estación San Juan</w:t>
      </w:r>
    </w:p>
    <w:p w14:paraId="00001D2C" w14:textId="77777777" w:rsidR="00F664DB" w:rsidRPr="00285D58" w:rsidRDefault="00F664DB" w:rsidP="008D1FFF">
      <w:pPr>
        <w:spacing w:line="276" w:lineRule="auto"/>
        <w:jc w:val="both"/>
        <w:rPr>
          <w:rFonts w:asciiTheme="minorHAnsi" w:eastAsia="Calibri" w:hAnsiTheme="minorHAnsi" w:cstheme="minorHAnsi"/>
        </w:rPr>
      </w:pPr>
    </w:p>
    <w:p w14:paraId="00001D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documentos que se elaboren como parte del EDI deberán ser de fácil comprensión, claros y precisos, evitando errores de interpretación durante el proceso constructivo. </w:t>
      </w:r>
    </w:p>
    <w:p w14:paraId="00001D2E" w14:textId="77777777" w:rsidR="00F664DB" w:rsidRPr="00285D58" w:rsidRDefault="00F664DB" w:rsidP="008D1FFF">
      <w:pPr>
        <w:spacing w:line="276" w:lineRule="auto"/>
        <w:jc w:val="both"/>
        <w:rPr>
          <w:rFonts w:asciiTheme="minorHAnsi" w:eastAsia="Calibri" w:hAnsiTheme="minorHAnsi" w:cstheme="minorHAnsi"/>
        </w:rPr>
      </w:pPr>
    </w:p>
    <w:p w14:paraId="00001D2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Cada vez que se presente el entregable al Supervisor de Obra como parte de la elaboración del EDI, este deberá estar firmado por los especialistas participantes de acuerdo con su especialidad y el jefe de proyecto correspondiente por parte del CONCESIONARIO. </w:t>
      </w:r>
    </w:p>
    <w:p w14:paraId="00001D30" w14:textId="77777777" w:rsidR="00F664DB" w:rsidRPr="00285D58" w:rsidRDefault="00F664DB" w:rsidP="008D1FFF">
      <w:pPr>
        <w:spacing w:line="276" w:lineRule="auto"/>
        <w:jc w:val="both"/>
        <w:rPr>
          <w:rFonts w:asciiTheme="minorHAnsi" w:eastAsia="Calibri" w:hAnsiTheme="minorHAnsi" w:cstheme="minorHAnsi"/>
        </w:rPr>
      </w:pPr>
    </w:p>
    <w:p w14:paraId="00001D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responsable por la información contenida en los EDI.</w:t>
      </w:r>
    </w:p>
    <w:p w14:paraId="00001D32"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8" w:name="_heading=h.4ay9r1j" w:colFirst="0" w:colLast="0"/>
      <w:bookmarkEnd w:id="158"/>
      <w:r w:rsidRPr="00285D58">
        <w:rPr>
          <w:rFonts w:asciiTheme="minorHAnsi" w:eastAsia="Calibri" w:hAnsiTheme="minorHAnsi" w:cstheme="minorHAnsi"/>
          <w:b/>
        </w:rPr>
        <w:t xml:space="preserve">METODOLOGÍA BIM </w:t>
      </w:r>
    </w:p>
    <w:p w14:paraId="00001D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mediante el uso de una metodología de trabajo Building Information Modeling – BIM conforme a los alcances señalados en el presente apartado. Para el desarrollo de la metodología BIM, el CONCESIONARIO deberá considerar el cumplimiento de los alcances, hitos, responsabilidades y requerimientos descritos en el Contrato y sus Anexos. El marco de trabajo BIM será el formato de trabajo para todos los integrantes del Proyecto: CONCEDENTE, CONCESIONARIO y Supervisor. </w:t>
      </w:r>
    </w:p>
    <w:p w14:paraId="00001D34" w14:textId="77777777" w:rsidR="00F664DB" w:rsidRPr="00285D58" w:rsidRDefault="00F664DB" w:rsidP="008D1FFF">
      <w:pPr>
        <w:spacing w:line="276" w:lineRule="auto"/>
        <w:jc w:val="both"/>
        <w:rPr>
          <w:rFonts w:asciiTheme="minorHAnsi" w:eastAsia="Calibri" w:hAnsiTheme="minorHAnsi" w:cstheme="minorHAnsi"/>
        </w:rPr>
      </w:pPr>
    </w:p>
    <w:p w14:paraId="00001D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 Alcances de la Metodología BIM para el desarrollo del Proyecto</w:t>
      </w:r>
    </w:p>
    <w:p w14:paraId="00001D36" w14:textId="77777777" w:rsidR="00F664DB" w:rsidRPr="00285D58" w:rsidRDefault="00F664DB" w:rsidP="008D1FFF">
      <w:pPr>
        <w:spacing w:line="276" w:lineRule="auto"/>
        <w:jc w:val="both"/>
        <w:rPr>
          <w:rFonts w:asciiTheme="minorHAnsi" w:eastAsia="Calibri" w:hAnsiTheme="minorHAnsi" w:cstheme="minorHAnsi"/>
        </w:rPr>
      </w:pPr>
    </w:p>
    <w:p w14:paraId="00001D3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será implementada en los periodos del Proyecto, incluyendo el diseño y desarrollo de los EDI, la construcción de las Obras y el periodo de operación y mantenimiento.</w:t>
      </w:r>
    </w:p>
    <w:p w14:paraId="00001D38" w14:textId="77777777" w:rsidR="00F664DB" w:rsidRPr="00285D58" w:rsidRDefault="00F664DB" w:rsidP="008D1FFF">
      <w:pPr>
        <w:spacing w:line="276" w:lineRule="auto"/>
        <w:jc w:val="both"/>
        <w:rPr>
          <w:rFonts w:asciiTheme="minorHAnsi" w:eastAsia="Calibri" w:hAnsiTheme="minorHAnsi" w:cstheme="minorHAnsi"/>
        </w:rPr>
      </w:pPr>
    </w:p>
    <w:p w14:paraId="00001D3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4.1.1 Condiciones generales </w:t>
      </w:r>
    </w:p>
    <w:p w14:paraId="00001D3A" w14:textId="77777777" w:rsidR="00F664DB" w:rsidRPr="00285D58" w:rsidRDefault="00F664DB" w:rsidP="008D1FFF">
      <w:pPr>
        <w:spacing w:line="276" w:lineRule="auto"/>
        <w:jc w:val="both"/>
        <w:rPr>
          <w:rFonts w:asciiTheme="minorHAnsi" w:eastAsia="Calibri" w:hAnsiTheme="minorHAnsi" w:cstheme="minorHAnsi"/>
        </w:rPr>
      </w:pPr>
    </w:p>
    <w:p w14:paraId="00001D3B"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no sustituirá ninguno de los aspectos previstos para la comunicación entre las Partes ni la entrega y revisión de documentos e información previstos en el Contrato de Concesión y sus Anexos. Las notificaciones, comunicaciones y respuestas entre las Partes deben presentarse conforme a lo establecido en el Contrato de Concesión, incluyendo la entrega impresa y electrónica de los EDI, conforme a lo señalado en el Apartado 6 de la presente Sección. </w:t>
      </w:r>
    </w:p>
    <w:p w14:paraId="00001D3C"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acceso a la información que haga parte de la metodología BIM será otorgada al personal específico señalado por el CONCEDENTE y el Supervisor, según corresponda, permitiendo a éstos, hacer comentarios u observaciones a los EDI, y demás documentos de entrega obligatoria por parte del Concesionario, sin que dichas observaciones tengan carácter oficial u obligatorio hacia el CONCESIONARIO. Las observaciones emitidas por el CONCEDENTE y el Supervisor, serán presentadas de manera formal por escrito y conforme a los procesos de revisión señalados en el Capítulo VI del Contrato de Concesión. El personal que asignen el CONCEDENTE y el Supervisor deberá ser notificado al CONCESIONARIO a partir de la Fecha de Cierre, y antes del plazo previsto para la entrega del Plan de Ejecución BIM </w:t>
      </w:r>
    </w:p>
    <w:p w14:paraId="00001D3D"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determinará a su cuenta, costo y riesgo las plataformas y software que harán parte de la metodología BIM, tomando como referencia lo indicado en el Apéndice del presente Anexo. </w:t>
      </w:r>
    </w:p>
    <w:p w14:paraId="00001D3E"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implementación de la metodología BIM no implicará acciones de capacitación ni de provisión de equipos de cómputo y software por parte del CONCESIONARIO, al CONCEDENTE ni al Supervisor. </w:t>
      </w:r>
    </w:p>
    <w:p w14:paraId="00001D3F"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metodología BIM que implemente el CONCESIONARIO deberá estar alineada con los estándares BIM nacionales e internacionales vigentes en el momento de la implementación, conforme a las Leyes y Disposiciones Aplicables. </w:t>
      </w:r>
    </w:p>
    <w:p w14:paraId="00001D40"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comentarios, opiniones, recomendaciones o requerimientos que emitan el Concedente o el Supervisor dentro del Entorno de Datos Comunes, así como en reuniones de trabajo colaborativo, no significarán una transferencia de los riesgos en el diseño, construcción, modificación de plazos ni de costos hacia el Concedente, siendo responsabilidad del Concesionario verificar dichos comentarios y atenderlos según considere, bajo su propio riesgo. </w:t>
      </w:r>
    </w:p>
    <w:p w14:paraId="00001D41" w14:textId="77777777" w:rsidR="00F664DB" w:rsidRPr="00285D58" w:rsidRDefault="006049C1" w:rsidP="00A3732C">
      <w:pPr>
        <w:widowControl/>
        <w:numPr>
          <w:ilvl w:val="0"/>
          <w:numId w:val="7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implementación de la metodología BIM, el Concesionario deberá cumplir los criterios aprobados en las Leyes y Disposiciones Aplicables, así como el Apéndice 7 del presente Anexo. </w:t>
      </w:r>
    </w:p>
    <w:p w14:paraId="00001D42" w14:textId="77777777" w:rsidR="00F664DB" w:rsidRPr="00285D58" w:rsidRDefault="00F664DB" w:rsidP="008D1FFF">
      <w:pPr>
        <w:spacing w:line="276" w:lineRule="auto"/>
        <w:jc w:val="both"/>
        <w:rPr>
          <w:rFonts w:asciiTheme="minorHAnsi" w:eastAsia="Calibri" w:hAnsiTheme="minorHAnsi" w:cstheme="minorHAnsi"/>
        </w:rPr>
      </w:pPr>
    </w:p>
    <w:p w14:paraId="00001D43" w14:textId="77777777" w:rsidR="00F664DB" w:rsidRPr="00285D58" w:rsidRDefault="00F664DB" w:rsidP="008D1FFF">
      <w:pPr>
        <w:spacing w:line="276" w:lineRule="auto"/>
        <w:jc w:val="both"/>
        <w:rPr>
          <w:rFonts w:asciiTheme="minorHAnsi" w:eastAsia="Calibri" w:hAnsiTheme="minorHAnsi" w:cstheme="minorHAnsi"/>
        </w:rPr>
      </w:pPr>
    </w:p>
    <w:p w14:paraId="00001D4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4.1.2 Alcances de la metodología BIM durante el desarrollo de los diseños </w:t>
      </w:r>
    </w:p>
    <w:p w14:paraId="00001D45" w14:textId="77777777" w:rsidR="00F664DB" w:rsidRPr="00285D58" w:rsidRDefault="00F664DB" w:rsidP="008D1FFF">
      <w:pPr>
        <w:spacing w:line="276" w:lineRule="auto"/>
        <w:jc w:val="both"/>
        <w:rPr>
          <w:rFonts w:asciiTheme="minorHAnsi" w:eastAsia="Calibri" w:hAnsiTheme="minorHAnsi" w:cstheme="minorHAnsi"/>
        </w:rPr>
      </w:pPr>
    </w:p>
    <w:p w14:paraId="00001D4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los diseños de las Vías Turísticas a través de un modelo virtual en 3D, implementando la información necesaria y suficiente para el desarrollo de las Obras, facilitando </w:t>
      </w:r>
      <w:r w:rsidRPr="00285D58">
        <w:rPr>
          <w:rFonts w:asciiTheme="minorHAnsi" w:eastAsia="Calibri" w:hAnsiTheme="minorHAnsi" w:cstheme="minorHAnsi"/>
        </w:rPr>
        <w:lastRenderedPageBreak/>
        <w:t xml:space="preserve">su verificación y seguimiento por parte del CONCEDENTE y del Supervisor. Como referencia, el nivel de detalle mínimo del modelo será LOD 350, sin que se limite al CONCESIONARIO de implementar mayores niveles de detalle, cuando lo considere conveniente. </w:t>
      </w:r>
    </w:p>
    <w:p w14:paraId="00001D47" w14:textId="77777777" w:rsidR="00F664DB" w:rsidRPr="00285D58" w:rsidRDefault="00F664DB" w:rsidP="008D1FFF">
      <w:pPr>
        <w:spacing w:line="276" w:lineRule="auto"/>
        <w:jc w:val="both"/>
        <w:rPr>
          <w:rFonts w:asciiTheme="minorHAnsi" w:eastAsia="Calibri" w:hAnsiTheme="minorHAnsi" w:cstheme="minorHAnsi"/>
        </w:rPr>
      </w:pPr>
    </w:p>
    <w:p w14:paraId="00001D4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emitirá los planos y documentos de los EDI por etapas, de acuerdo con lo señalado en el Apartado 5 del presente Apéndice, basándose en el desarrollo del modelo virtual.</w:t>
      </w:r>
    </w:p>
    <w:p w14:paraId="00001D49" w14:textId="77777777" w:rsidR="00F664DB" w:rsidRPr="00285D58" w:rsidRDefault="00F664DB" w:rsidP="008D1FFF">
      <w:pPr>
        <w:spacing w:line="276" w:lineRule="auto"/>
        <w:jc w:val="both"/>
        <w:rPr>
          <w:rFonts w:asciiTheme="minorHAnsi" w:eastAsia="Calibri" w:hAnsiTheme="minorHAnsi" w:cstheme="minorHAnsi"/>
        </w:rPr>
      </w:pPr>
    </w:p>
    <w:p w14:paraId="00001D4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implementará un Entorno Común de Datos en el cual integrará la información del Proyecto como parte del expediente técnico para todas las Vías Turísticas; sin limitarse a lo siguiente:</w:t>
      </w:r>
    </w:p>
    <w:p w14:paraId="00001D4B" w14:textId="77777777" w:rsidR="00F664DB" w:rsidRPr="00285D58" w:rsidRDefault="00F664DB" w:rsidP="008D1FFF">
      <w:pPr>
        <w:spacing w:line="276" w:lineRule="auto"/>
        <w:jc w:val="both"/>
        <w:rPr>
          <w:rFonts w:asciiTheme="minorHAnsi" w:eastAsia="Calibri" w:hAnsiTheme="minorHAnsi" w:cstheme="minorHAnsi"/>
        </w:rPr>
      </w:pPr>
    </w:p>
    <w:p w14:paraId="00001D4C"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 los EDI por etapas, como se refieren en el Apartado 5 del presente Apéndice, según hayan sido presentados, observados o declarados conformes por el CONCEDENTE y el Supervisor. </w:t>
      </w:r>
    </w:p>
    <w:p w14:paraId="00001D4D"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Estudios elaborados a cuenta, costo y riesgo del CONCESIONARIO, no requeridos como parte del Contrato. </w:t>
      </w:r>
    </w:p>
    <w:p w14:paraId="00001D4E"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Leyes y Disposiciones aplicables al Proyecto. </w:t>
      </w:r>
    </w:p>
    <w:p w14:paraId="00001D4F"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aplicables al Proyecto y su estatus de cumplimiento (solicitudes y respuestas) durante su gestión </w:t>
      </w:r>
    </w:p>
    <w:p w14:paraId="00001D50"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documentos y entregables previstos para la prestación de los Servicios Obligatorios, conforme a los Capítulos VI y VII del Contrato.</w:t>
      </w:r>
    </w:p>
    <w:p w14:paraId="00001D51"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documentos del Proyecto, según hayan sido presentados, observados o declarados conforme por el CONCEDENTE y el Supervisor. </w:t>
      </w:r>
    </w:p>
    <w:p w14:paraId="00001D52" w14:textId="77777777" w:rsidR="00F664DB" w:rsidRPr="00285D58" w:rsidRDefault="006049C1" w:rsidP="00A3732C">
      <w:pPr>
        <w:widowControl/>
        <w:numPr>
          <w:ilvl w:val="0"/>
          <w:numId w:val="9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Plan de Trabajo para cada Vía Turística, no observado por el CONCEDENTE y el Supervisor.</w:t>
      </w:r>
    </w:p>
    <w:p w14:paraId="00001D53" w14:textId="77777777" w:rsidR="00F664DB" w:rsidRPr="00285D58" w:rsidRDefault="00F664DB" w:rsidP="008D1FFF">
      <w:pPr>
        <w:spacing w:line="276" w:lineRule="auto"/>
        <w:jc w:val="both"/>
        <w:rPr>
          <w:rFonts w:asciiTheme="minorHAnsi" w:eastAsia="Calibri" w:hAnsiTheme="minorHAnsi" w:cstheme="minorHAnsi"/>
        </w:rPr>
      </w:pPr>
    </w:p>
    <w:p w14:paraId="00001D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través del Entorno Común de Datos, se proporcionará acceso a la información del Proyecto al personal del CONCEDENTE y del Supervisor, permitiendo que realicen opiniones, observaciones o recomendaciones. Quedará bajo discreción y responsabilidad del CONCESIONARIO atender las recomendaciones que emitan el CONCEDENTE y el Supervisor dentro del Entorno Común de Datos de la metodología BIM, ya que no sustituirán los motivos de las u observaciones que sean presentadas de manera formal por el CONCEDENTE y el Supervisor en los procesos de entrega y revisión referidos en los Capítulos VI y VII del Contrato.</w:t>
      </w:r>
    </w:p>
    <w:p w14:paraId="00001D55" w14:textId="77777777" w:rsidR="00F664DB" w:rsidRPr="00285D58" w:rsidRDefault="00F664DB" w:rsidP="008D1FFF">
      <w:pPr>
        <w:spacing w:line="276" w:lineRule="auto"/>
        <w:jc w:val="both"/>
        <w:rPr>
          <w:rFonts w:asciiTheme="minorHAnsi" w:eastAsia="Calibri" w:hAnsiTheme="minorHAnsi" w:cstheme="minorHAnsi"/>
        </w:rPr>
      </w:pPr>
    </w:p>
    <w:p w14:paraId="00001D5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permisos de acceso a la información serán propuestos por el CONCESIONARIO a través del Plan de Ejecución BIM que elabore y presente al CONCEDENTE. </w:t>
      </w:r>
    </w:p>
    <w:p w14:paraId="00001D57" w14:textId="77777777" w:rsidR="00F664DB" w:rsidRPr="00285D58" w:rsidRDefault="00F664DB" w:rsidP="008D1FFF">
      <w:pPr>
        <w:spacing w:line="276" w:lineRule="auto"/>
        <w:jc w:val="both"/>
        <w:rPr>
          <w:rFonts w:asciiTheme="minorHAnsi" w:eastAsia="Calibri" w:hAnsiTheme="minorHAnsi" w:cstheme="minorHAnsi"/>
        </w:rPr>
      </w:pPr>
    </w:p>
    <w:p w14:paraId="00001D5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4.1.3 Alcances de la metodología BIM durante la construcción de las Obras </w:t>
      </w:r>
    </w:p>
    <w:p w14:paraId="00001D59" w14:textId="77777777" w:rsidR="00F664DB" w:rsidRPr="00285D58" w:rsidRDefault="00F664DB" w:rsidP="008D1FFF">
      <w:pPr>
        <w:spacing w:line="276" w:lineRule="auto"/>
        <w:jc w:val="both"/>
        <w:rPr>
          <w:rFonts w:asciiTheme="minorHAnsi" w:eastAsia="Calibri" w:hAnsiTheme="minorHAnsi" w:cstheme="minorHAnsi"/>
        </w:rPr>
      </w:pPr>
    </w:p>
    <w:p w14:paraId="00001D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través del Entorno Común de Datos, El CONCESIONARIO tomará como referencia el modelo virtual en el que se generó la conformidad de los EDI por parte del CONCEDENTE, a fin de llevar a cabo el seguimiento de la construcción de las Vías Turísticas, tanto por el CONCEDENTE como el Supervisor. </w:t>
      </w:r>
    </w:p>
    <w:p w14:paraId="00001D5B" w14:textId="77777777" w:rsidR="00F664DB" w:rsidRPr="00285D58" w:rsidRDefault="00F664DB" w:rsidP="008D1FFF">
      <w:pPr>
        <w:spacing w:line="276" w:lineRule="auto"/>
        <w:jc w:val="both"/>
        <w:rPr>
          <w:rFonts w:asciiTheme="minorHAnsi" w:eastAsia="Calibri" w:hAnsiTheme="minorHAnsi" w:cstheme="minorHAnsi"/>
        </w:rPr>
      </w:pPr>
    </w:p>
    <w:p w14:paraId="00001D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que surjan modificaciones al diseño durante el desarrollo de la construcción de las Vías Turísticas y dichas modificaciones cuenten con la conformidad del CONCEDENTE y del Supervisor, el modelo virtual, así como los EDI respectivos, deberán ser actualizados por el CONCESIONARIO.</w:t>
      </w:r>
    </w:p>
    <w:p w14:paraId="00001D5D" w14:textId="77777777" w:rsidR="00F664DB" w:rsidRPr="00285D58" w:rsidRDefault="00F664DB" w:rsidP="008D1FFF">
      <w:pPr>
        <w:spacing w:line="276" w:lineRule="auto"/>
        <w:jc w:val="both"/>
        <w:rPr>
          <w:rFonts w:asciiTheme="minorHAnsi" w:eastAsia="Calibri" w:hAnsiTheme="minorHAnsi" w:cstheme="minorHAnsi"/>
        </w:rPr>
      </w:pPr>
    </w:p>
    <w:p w14:paraId="00001D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Durante el desarrollo de la construcción de las Vías Turísticas, el CONCESIONARIO integrará al Entorno Común de Datos por cada Vía Turística, la siguiente información, sin limitarse a las siguientes: </w:t>
      </w:r>
    </w:p>
    <w:p w14:paraId="00001D5F" w14:textId="77777777" w:rsidR="00F664DB" w:rsidRPr="00285D58" w:rsidRDefault="00F664DB" w:rsidP="008D1FFF">
      <w:pPr>
        <w:spacing w:line="276" w:lineRule="auto"/>
        <w:jc w:val="both"/>
        <w:rPr>
          <w:rFonts w:asciiTheme="minorHAnsi" w:eastAsia="Calibri" w:hAnsiTheme="minorHAnsi" w:cstheme="minorHAnsi"/>
        </w:rPr>
      </w:pPr>
    </w:p>
    <w:p w14:paraId="00001D60"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Entrega de los Bienes de la Concesión, referidos a las Áreas de las Vías Turísticas. </w:t>
      </w:r>
    </w:p>
    <w:p w14:paraId="00001D61"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Actas de Inicio de la Construcción por cada Vía Turística. </w:t>
      </w:r>
    </w:p>
    <w:p w14:paraId="00001D62"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versión declarada conforme por el CONCEDENTE de los EDI para cada Vía Turística. </w:t>
      </w:r>
    </w:p>
    <w:p w14:paraId="00001D63"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Licencias y permisos otorgados y necesarios para el desarrollo de las Obras, para cada Vía Turística. Incluirán las renovaciones de aquellas que caduquen durante el respectivo Periodo Pre-operativo. </w:t>
      </w:r>
    </w:p>
    <w:p w14:paraId="00001D64"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del cuaderno de obra correspondiente a cada Vía Turística. </w:t>
      </w:r>
    </w:p>
    <w:p w14:paraId="00001D65"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Reportes de Avance de Obra correspondiente a cada Vía Turística, conforme hayan sido observados y recibida conformidad del Supervisor.</w:t>
      </w:r>
    </w:p>
    <w:p w14:paraId="00001D66"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Cronograma de Ejecución de Obras de cada Vía Turística, con conformidad del CONCEDENTE y el Supervisor. </w:t>
      </w:r>
    </w:p>
    <w:p w14:paraId="00001D67"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Resultados de pruebas de laboratorio y de calidad ejecutados durante el desarrollo de las Obras. </w:t>
      </w:r>
    </w:p>
    <w:p w14:paraId="00001D68" w14:textId="77777777" w:rsidR="00F664DB" w:rsidRPr="00285D58" w:rsidRDefault="006049C1" w:rsidP="00A3732C">
      <w:pPr>
        <w:widowControl/>
        <w:numPr>
          <w:ilvl w:val="0"/>
          <w:numId w:val="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Copia de los reportes del Supervisor. </w:t>
      </w:r>
    </w:p>
    <w:p w14:paraId="00001D69" w14:textId="77777777" w:rsidR="00F664DB" w:rsidRPr="00285D58" w:rsidRDefault="00F664DB" w:rsidP="008D1FFF">
      <w:pPr>
        <w:spacing w:line="276" w:lineRule="auto"/>
        <w:jc w:val="both"/>
        <w:rPr>
          <w:rFonts w:asciiTheme="minorHAnsi" w:eastAsia="Calibri" w:hAnsiTheme="minorHAnsi" w:cstheme="minorHAnsi"/>
        </w:rPr>
      </w:pPr>
    </w:p>
    <w:p w14:paraId="00001D6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deberá permitir el seguimiento del desarrollo de las Obras por parte del CONCEDENTE y el Supervisor, identificando el avance de construcción, la implementación de matrices de interferencias, entre otros propuestos por el CONCESIONARIO para dar seguimiento al desarrollo de las Obras y que deberá proponer en Plan de Ejecución BIM.</w:t>
      </w:r>
    </w:p>
    <w:p w14:paraId="00001D6B" w14:textId="77777777" w:rsidR="00F664DB" w:rsidRPr="00285D58" w:rsidRDefault="00F664DB" w:rsidP="008D1FFF">
      <w:pPr>
        <w:spacing w:line="276" w:lineRule="auto"/>
        <w:jc w:val="both"/>
        <w:rPr>
          <w:rFonts w:asciiTheme="minorHAnsi" w:eastAsia="Calibri" w:hAnsiTheme="minorHAnsi" w:cstheme="minorHAnsi"/>
        </w:rPr>
      </w:pPr>
    </w:p>
    <w:p w14:paraId="00001D6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4.1.3 Contenido del Plan de Ejecución BIM</w:t>
      </w:r>
    </w:p>
    <w:p w14:paraId="00001D6D" w14:textId="77777777" w:rsidR="00F664DB" w:rsidRPr="00285D58" w:rsidRDefault="00F664DB" w:rsidP="008D1FFF">
      <w:pPr>
        <w:spacing w:line="276" w:lineRule="auto"/>
        <w:jc w:val="both"/>
        <w:rPr>
          <w:rFonts w:asciiTheme="minorHAnsi" w:eastAsia="Calibri" w:hAnsiTheme="minorHAnsi" w:cstheme="minorHAnsi"/>
        </w:rPr>
      </w:pPr>
    </w:p>
    <w:p w14:paraId="00001D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presentará al CONCEDENTE el Plan de Ejecución BIM para el desarrollo del Proyecto, el cual deberá incluir, como mínimo, la descripción y alcances de: </w:t>
      </w:r>
    </w:p>
    <w:p w14:paraId="00001D6F" w14:textId="77777777" w:rsidR="00F664DB" w:rsidRPr="00285D58" w:rsidRDefault="00F664DB" w:rsidP="008D1FFF">
      <w:pPr>
        <w:spacing w:line="276" w:lineRule="auto"/>
        <w:jc w:val="both"/>
        <w:rPr>
          <w:rFonts w:asciiTheme="minorHAnsi" w:eastAsia="Calibri" w:hAnsiTheme="minorHAnsi" w:cstheme="minorHAnsi"/>
        </w:rPr>
      </w:pPr>
    </w:p>
    <w:p w14:paraId="00001D77" w14:textId="77777777" w:rsidR="00F664DB" w:rsidRPr="00285D58" w:rsidRDefault="00F664DB" w:rsidP="008D1FFF">
      <w:pPr>
        <w:spacing w:line="276" w:lineRule="auto"/>
        <w:jc w:val="both"/>
        <w:rPr>
          <w:rFonts w:asciiTheme="minorHAnsi" w:eastAsia="Calibri" w:hAnsiTheme="minorHAnsi" w:cstheme="minorHAnsi"/>
        </w:rPr>
      </w:pPr>
    </w:p>
    <w:p w14:paraId="00001D78"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del uso de la metodología BIM para el Proyecto, acorde a los alcances previstos en el Contrato para el desarrollo de los diseños y la construcción de las Obras. </w:t>
      </w:r>
    </w:p>
    <w:p w14:paraId="00001D79"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nivel de información o desarrollo de los elementos BIM o modelo BIM, conforme a los niveles de detalle señalados en el Apéndice 7 del presente Anexo. </w:t>
      </w:r>
    </w:p>
    <w:p w14:paraId="00001D7A"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del Entorno Común de Datos, </w:t>
      </w:r>
    </w:p>
    <w:p w14:paraId="00001D7B"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Señalará a los participantes de la metodología BIM entre el personal del CONCESIONARIO, el CONCEDENTE y el Supervisor. </w:t>
      </w:r>
    </w:p>
    <w:p w14:paraId="00001D7C"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La definición de los roles, permisos de acceso y alcances para cada uno de los actores, respecto al modelo BIM y la información contenida en el Entorno Común de Datos; cumpliendo como mínimo, lo referido en el Contrato y sus Anexos. </w:t>
      </w:r>
    </w:p>
    <w:p w14:paraId="00001D7D"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Descripción de la metodología de gestión de la información en la metodología BIM. </w:t>
      </w:r>
    </w:p>
    <w:p w14:paraId="00001D7E" w14:textId="77777777" w:rsidR="00F664DB" w:rsidRPr="00285D58" w:rsidRDefault="006049C1" w:rsidP="00A3732C">
      <w:pPr>
        <w:widowControl/>
        <w:numPr>
          <w:ilvl w:val="0"/>
          <w:numId w:val="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los procedimientos para la implementación de reuniones colaborativas entre el CONCEDENTE, el CONCESIONARIO y el Supervisor, durante el desarrollo de los EDI (cuando corresponda).</w:t>
      </w:r>
    </w:p>
    <w:p w14:paraId="00001D80"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59" w:name="_heading=h.2q3k19c" w:colFirst="0" w:colLast="0"/>
      <w:bookmarkEnd w:id="159"/>
      <w:r w:rsidRPr="00285D58">
        <w:rPr>
          <w:rFonts w:asciiTheme="minorHAnsi" w:eastAsia="Calibri" w:hAnsiTheme="minorHAnsi" w:cstheme="minorHAnsi"/>
          <w:b/>
        </w:rPr>
        <w:t xml:space="preserve">ELABORACIÓN Y CONTENIDO DEL ESTUDIO DEFINITIVO DE INGENIERÍA </w:t>
      </w:r>
    </w:p>
    <w:p w14:paraId="00001D81" w14:textId="77777777" w:rsidR="00F664DB" w:rsidRPr="00285D58" w:rsidRDefault="00F664DB" w:rsidP="008D1FFF">
      <w:pPr>
        <w:spacing w:line="276" w:lineRule="auto"/>
        <w:jc w:val="both"/>
        <w:rPr>
          <w:rFonts w:asciiTheme="minorHAnsi" w:eastAsia="Calibri" w:hAnsiTheme="minorHAnsi" w:cstheme="minorHAnsi"/>
          <w:b/>
        </w:rPr>
      </w:pPr>
    </w:p>
    <w:p w14:paraId="00001D8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5.1. ETAPA I - TRABAJOS PREVIOS y RECONOCIMIENTO DE CAMPO </w:t>
      </w:r>
    </w:p>
    <w:p w14:paraId="00001D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presentará los estudios preliminares o básicos, teniendo en cuenta las condiciones del terreno y lo establecido en las Leyes y Disposiciones Aplicables, incluyendo de manera enunciativa más no limitativa:</w:t>
      </w:r>
    </w:p>
    <w:p w14:paraId="00001D84" w14:textId="77777777" w:rsidR="00F664DB" w:rsidRPr="00285D58" w:rsidRDefault="00F664DB" w:rsidP="008D1FFF">
      <w:pPr>
        <w:spacing w:line="276" w:lineRule="auto"/>
        <w:jc w:val="both"/>
        <w:rPr>
          <w:rFonts w:asciiTheme="minorHAnsi" w:eastAsia="Calibri" w:hAnsiTheme="minorHAnsi" w:cstheme="minorHAnsi"/>
        </w:rPr>
      </w:pPr>
    </w:p>
    <w:p w14:paraId="00001D85"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Levantamiento Topográfico del terreno y su entorno, según el Apéndice 3 del presente Anexo. </w:t>
      </w:r>
    </w:p>
    <w:p w14:paraId="00001D86"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Suelos, canteras y fuentes de agua, según lo establecido en el Apéndice 5 del presente Anexo. </w:t>
      </w:r>
    </w:p>
    <w:p w14:paraId="00001D87" w14:textId="77777777" w:rsidR="00F664DB" w:rsidRPr="00285D58" w:rsidRDefault="006049C1" w:rsidP="00A3732C">
      <w:pPr>
        <w:widowControl/>
        <w:numPr>
          <w:ilvl w:val="0"/>
          <w:numId w:val="9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Estudio de Hidrología e Hidráulica, según lo establecido en el Apéndice 6 del presente Anexo. </w:t>
      </w:r>
    </w:p>
    <w:p w14:paraId="00001D88" w14:textId="77777777" w:rsidR="00F664DB" w:rsidRPr="00285D58" w:rsidRDefault="00F664DB" w:rsidP="008D1FFF">
      <w:pPr>
        <w:spacing w:line="276" w:lineRule="auto"/>
        <w:jc w:val="both"/>
        <w:rPr>
          <w:rFonts w:asciiTheme="minorHAnsi" w:eastAsia="Calibri" w:hAnsiTheme="minorHAnsi" w:cstheme="minorHAnsi"/>
        </w:rPr>
      </w:pPr>
    </w:p>
    <w:p w14:paraId="00001D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las condiciones de diseño que deban incluirse para el desarrollo de los diseños y el EDI respectivo para cada vía.</w:t>
      </w:r>
    </w:p>
    <w:p w14:paraId="00001D8A" w14:textId="77777777" w:rsidR="00F664DB" w:rsidRPr="00285D58" w:rsidRDefault="00F664DB" w:rsidP="008D1FFF">
      <w:pPr>
        <w:spacing w:line="276" w:lineRule="auto"/>
        <w:jc w:val="both"/>
        <w:rPr>
          <w:rFonts w:asciiTheme="minorHAnsi" w:eastAsia="Calibri" w:hAnsiTheme="minorHAnsi" w:cstheme="minorHAnsi"/>
        </w:rPr>
      </w:pPr>
    </w:p>
    <w:p w14:paraId="00001D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 responsabilidad del CONCESIONARIO llevar a cabo estudios adicionales a lo señalado en esta sección a fin de determinar los parámetros de diseño de cada EDI y las condiciones preexistentes en las Áreas de las vías, que deban considerarse para el desarrollo de los EDI y de las Obras. Lo anterior incluirá la ejecución de los estudios técnicos necesarios para la identificación de posibles interferencias en las distintas Áreas de las vías.</w:t>
      </w:r>
    </w:p>
    <w:p w14:paraId="00001D8C" w14:textId="77777777" w:rsidR="00F664DB" w:rsidRPr="00285D58" w:rsidRDefault="00F664DB" w:rsidP="008D1FFF">
      <w:pPr>
        <w:spacing w:line="276" w:lineRule="auto"/>
        <w:jc w:val="both"/>
        <w:rPr>
          <w:rFonts w:asciiTheme="minorHAnsi" w:eastAsia="Calibri" w:hAnsiTheme="minorHAnsi" w:cstheme="minorHAnsi"/>
        </w:rPr>
      </w:pPr>
    </w:p>
    <w:p w14:paraId="00001D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Corresponderá al CONCESIONARIO, a su cuenta y costo, y bajo su propio riesgo, la liberación de las interferencias que se presenten en las Áreas de las vías, incluyendo las acciones que se estimen como pertinentes y necesarias para permitir el desarrollo de las Obras para el cumplimiento de los requerimientos del Contrato; incluyendo, pero sin limitarse a: </w:t>
      </w:r>
    </w:p>
    <w:p w14:paraId="00001D8E" w14:textId="77777777" w:rsidR="00F664DB" w:rsidRPr="00285D58" w:rsidRDefault="00F664DB" w:rsidP="008D1FFF">
      <w:pPr>
        <w:spacing w:line="276" w:lineRule="auto"/>
        <w:jc w:val="both"/>
        <w:rPr>
          <w:rFonts w:asciiTheme="minorHAnsi" w:eastAsia="Calibri" w:hAnsiTheme="minorHAnsi" w:cstheme="minorHAnsi"/>
        </w:rPr>
      </w:pPr>
    </w:p>
    <w:p w14:paraId="00001D8F" w14:textId="77777777" w:rsidR="00F664DB" w:rsidRPr="00285D58" w:rsidRDefault="006049C1" w:rsidP="00A3732C">
      <w:pPr>
        <w:widowControl/>
        <w:numPr>
          <w:ilvl w:val="0"/>
          <w:numId w:val="10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ejecución de obras vinculadas a la liberación de las interferencias, cualquiera que estas sean, siempre que sean necesarias para el desarrollo de las Obras.</w:t>
      </w:r>
    </w:p>
    <w:p w14:paraId="00001D90" w14:textId="77777777" w:rsidR="00F664DB" w:rsidRPr="00285D58" w:rsidRDefault="006049C1" w:rsidP="00A3732C">
      <w:pPr>
        <w:widowControl/>
        <w:numPr>
          <w:ilvl w:val="0"/>
          <w:numId w:val="10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gestiones que sean pertinentes ante las Autoridades Gubernamentales.</w:t>
      </w:r>
    </w:p>
    <w:p w14:paraId="00001D91" w14:textId="77777777" w:rsidR="00F664DB" w:rsidRPr="00285D58" w:rsidRDefault="00F664DB" w:rsidP="008D1FFF">
      <w:pPr>
        <w:spacing w:line="276" w:lineRule="auto"/>
        <w:jc w:val="both"/>
        <w:rPr>
          <w:rFonts w:asciiTheme="minorHAnsi" w:eastAsia="Calibri" w:hAnsiTheme="minorHAnsi" w:cstheme="minorHAnsi"/>
        </w:rPr>
      </w:pPr>
    </w:p>
    <w:p w14:paraId="00001D9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CONCESIONARIO no podrá invocar la decisión de no ejecutar estudios técnicos complementarios como sustento para la modificación de los plazos y montos del Contrato, en caso de presentarse interferencias no identificadas previamente en las Áreas de las vías de la Concesión que deban ser subsanadas por el CONCESIONARIO para desarrollar las Obras. </w:t>
      </w:r>
    </w:p>
    <w:p w14:paraId="00001D93" w14:textId="77777777" w:rsidR="00F664DB" w:rsidRPr="00285D58" w:rsidRDefault="00F664DB" w:rsidP="008D1FFF">
      <w:pPr>
        <w:spacing w:line="276" w:lineRule="auto"/>
        <w:jc w:val="both"/>
        <w:rPr>
          <w:rFonts w:asciiTheme="minorHAnsi" w:eastAsia="Calibri" w:hAnsiTheme="minorHAnsi" w:cstheme="minorHAnsi"/>
        </w:rPr>
      </w:pPr>
    </w:p>
    <w:p w14:paraId="00001D9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 ETAPA II: ESTUDIO DEFINITIVO DE INGENIERÍA (EDI) </w:t>
      </w:r>
    </w:p>
    <w:p w14:paraId="00001D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desarrollará el EDI de las vías con fines constructivos. Los EDI comprenden la presentación del desarrollo del proyecto integral de las vías el cual incluye: Diseño Geométrico, Diseño de Pavimentos, Diseño de Estructuras, Diseño de Drenaje, Seguridad Vial y Señalización, Planos, Metrados y Presupuestos y Especificaciones Técnicas. </w:t>
      </w:r>
    </w:p>
    <w:p w14:paraId="00001D96" w14:textId="77777777" w:rsidR="00F664DB" w:rsidRPr="00285D58" w:rsidRDefault="00F664DB" w:rsidP="008D1FFF">
      <w:pPr>
        <w:spacing w:line="276" w:lineRule="auto"/>
        <w:jc w:val="both"/>
        <w:rPr>
          <w:rFonts w:asciiTheme="minorHAnsi" w:eastAsia="Calibri" w:hAnsiTheme="minorHAnsi" w:cstheme="minorHAnsi"/>
        </w:rPr>
      </w:pPr>
    </w:p>
    <w:p w14:paraId="00001D9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proyecto será desarrollado como mínimo en Mod BIM – AR LOD 350 y superiores, según se requiera para el nivel de detalle determinado por el propio CONCESIONARIO bajo su responsabilidad. </w:t>
      </w:r>
    </w:p>
    <w:p w14:paraId="00001D98" w14:textId="77777777" w:rsidR="00F664DB" w:rsidRPr="00285D58" w:rsidRDefault="00F664DB" w:rsidP="008D1FFF">
      <w:pPr>
        <w:spacing w:line="276" w:lineRule="auto"/>
        <w:jc w:val="both"/>
        <w:rPr>
          <w:rFonts w:asciiTheme="minorHAnsi" w:eastAsia="Calibri" w:hAnsiTheme="minorHAnsi" w:cstheme="minorHAnsi"/>
        </w:rPr>
      </w:pPr>
    </w:p>
    <w:p w14:paraId="00001D9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EDI, además de incluir los estudios desarrollados en la etapa anterior, se deberá elaborar lo siguiente:  </w:t>
      </w:r>
    </w:p>
    <w:p w14:paraId="00001D9A" w14:textId="77777777" w:rsidR="00F664DB" w:rsidRPr="00285D58" w:rsidRDefault="00F664DB" w:rsidP="008D1FFF">
      <w:pPr>
        <w:spacing w:line="276" w:lineRule="auto"/>
        <w:jc w:val="both"/>
        <w:rPr>
          <w:rFonts w:asciiTheme="minorHAnsi" w:eastAsia="Calibri" w:hAnsiTheme="minorHAnsi" w:cstheme="minorHAnsi"/>
        </w:rPr>
      </w:pPr>
    </w:p>
    <w:p w14:paraId="00001D9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 DISEÑO</w:t>
      </w:r>
    </w:p>
    <w:p w14:paraId="00001D9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  </w:t>
      </w:r>
    </w:p>
    <w:p w14:paraId="00001D9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5.2.1.1. GEOMÉTRICO</w:t>
      </w:r>
    </w:p>
    <w:p w14:paraId="00001D9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geométrico del trazo de las vías (alineamiento horizontal y vertical). El CONCESIONARIO diseñará el trazo de las vías en base a la demanda estimada y las características detalladas en el Anexo 03 y en las Leyes y Disposiciones Aplicables, conteniendo la memoria de cálculo, planos y demás documentos, según corresponda y teniendo en consideración lo siguiente:</w:t>
      </w:r>
    </w:p>
    <w:p w14:paraId="00001D9F" w14:textId="77777777" w:rsidR="00F664DB" w:rsidRPr="00285D58" w:rsidRDefault="00F664DB" w:rsidP="008D1FFF">
      <w:pPr>
        <w:spacing w:line="276" w:lineRule="auto"/>
        <w:jc w:val="both"/>
        <w:rPr>
          <w:rFonts w:asciiTheme="minorHAnsi" w:eastAsia="Calibri" w:hAnsiTheme="minorHAnsi" w:cstheme="minorHAnsi"/>
        </w:rPr>
      </w:pPr>
    </w:p>
    <w:p w14:paraId="00001DA0"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Criterios técnicos generales adoptados para el diseño geométrico en planta, perfil y sección transversal del proyecto.</w:t>
      </w:r>
    </w:p>
    <w:p w14:paraId="00001DA1"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del proyecto.</w:t>
      </w:r>
    </w:p>
    <w:p w14:paraId="00001DA2"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Velocidades de diseño del proyecto por tramos homogéneos.</w:t>
      </w:r>
    </w:p>
    <w:p w14:paraId="00001DA3"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Visibilidad, curvas horizontales y verticales, tangentes, pendientes, peraltes, sección transversal, taludes, intersecciones, etc. </w:t>
      </w:r>
    </w:p>
    <w:p w14:paraId="00001DA4" w14:textId="77777777" w:rsidR="00F664DB" w:rsidRPr="00285D58" w:rsidRDefault="006049C1" w:rsidP="00A3732C">
      <w:pPr>
        <w:widowControl/>
        <w:numPr>
          <w:ilvl w:val="0"/>
          <w:numId w:val="6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Memoria de cálculo, planos y otros, de acuerdo con los requerimientos del CONCEDENTE.</w:t>
      </w:r>
    </w:p>
    <w:p w14:paraId="00001DA5" w14:textId="77777777" w:rsidR="00F664DB" w:rsidRPr="00285D58" w:rsidRDefault="00F664DB" w:rsidP="008D1FFF">
      <w:pPr>
        <w:spacing w:line="276" w:lineRule="auto"/>
        <w:jc w:val="both"/>
        <w:rPr>
          <w:rFonts w:asciiTheme="minorHAnsi" w:eastAsia="Calibri" w:hAnsiTheme="minorHAnsi" w:cstheme="minorHAnsi"/>
        </w:rPr>
      </w:pPr>
    </w:p>
    <w:p w14:paraId="00001DA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5.2.1.2. PAVIMENTOS</w:t>
      </w:r>
    </w:p>
    <w:p w14:paraId="00001DA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el diseño de la estructura del pavimento de las vías. El CONCESIONARIO diseñará el trazo de las vías en base a los resultados obtenidos en el estudio de suelos y a las Leyes y Disposiciones Aplicables, conteniendo la memoria de cálculo, planos y demás documentos, según corresponda y teniendo en consideración lo siguiente:</w:t>
      </w:r>
    </w:p>
    <w:p w14:paraId="00001DA8" w14:textId="77777777" w:rsidR="00F664DB" w:rsidRPr="00285D58" w:rsidRDefault="00F664DB" w:rsidP="008D1FFF">
      <w:pPr>
        <w:spacing w:line="276" w:lineRule="auto"/>
        <w:jc w:val="both"/>
        <w:rPr>
          <w:rFonts w:asciiTheme="minorHAnsi" w:eastAsia="Calibri" w:hAnsiTheme="minorHAnsi" w:cstheme="minorHAnsi"/>
          <w:b/>
        </w:rPr>
      </w:pPr>
    </w:p>
    <w:p w14:paraId="00001DA9"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Resumen de los parámetros de diseño de la estructura de pavimento. </w:t>
      </w:r>
    </w:p>
    <w:p w14:paraId="00001DAA"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Presentación de los análisis de laboratorio efectuados, sustentando adecuadamente las metodologías usadas. </w:t>
      </w:r>
    </w:p>
    <w:p w14:paraId="00001DAB"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Estrategia de mantenimiento o conservación, en función a la evolución de daños en el tiempo y las medidas correctivas correspondientes. </w:t>
      </w:r>
    </w:p>
    <w:p w14:paraId="00001DAC" w14:textId="77777777" w:rsidR="00F664DB" w:rsidRPr="00285D58" w:rsidRDefault="006049C1" w:rsidP="00A3732C">
      <w:pPr>
        <w:widowControl/>
        <w:numPr>
          <w:ilvl w:val="0"/>
          <w:numId w:val="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las distintas acciones que se deberán efectuarse desde el inicio hasta el final de la vida útil del proyecto.</w:t>
      </w:r>
    </w:p>
    <w:p w14:paraId="00001DAD" w14:textId="77777777" w:rsidR="00F664DB" w:rsidRPr="00285D58" w:rsidRDefault="00F664DB" w:rsidP="008D1FFF">
      <w:pPr>
        <w:spacing w:line="276" w:lineRule="auto"/>
        <w:jc w:val="both"/>
        <w:rPr>
          <w:rFonts w:asciiTheme="minorHAnsi" w:eastAsia="Calibri" w:hAnsiTheme="minorHAnsi" w:cstheme="minorHAnsi"/>
        </w:rPr>
      </w:pPr>
    </w:p>
    <w:p w14:paraId="00001DAE" w14:textId="77777777" w:rsidR="00F664DB" w:rsidRPr="00285D58" w:rsidRDefault="00F664DB" w:rsidP="008D1FFF">
      <w:pPr>
        <w:spacing w:line="276" w:lineRule="auto"/>
        <w:jc w:val="both"/>
        <w:rPr>
          <w:rFonts w:asciiTheme="minorHAnsi" w:eastAsia="Calibri" w:hAnsiTheme="minorHAnsi" w:cstheme="minorHAnsi"/>
        </w:rPr>
      </w:pPr>
    </w:p>
    <w:p w14:paraId="00001DA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5.2.1.3. ESTRUCTURAS</w:t>
      </w:r>
    </w:p>
    <w:p w14:paraId="00001DB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diseño de los diferentes tipos de estructuras que acompañaran o complementarán las vías, tales como puentes, túneles, obras de drenaje, muros, obras complementarias y otros, debiendo cumplir la normatividad vigente sobre la materia, conteniendo la memoria de cálculo, planos y demás documentos, según corresponda y teniendo en consideración básicamente lo siguiente: </w:t>
      </w:r>
    </w:p>
    <w:p w14:paraId="00001DB1" w14:textId="77777777" w:rsidR="00F664DB" w:rsidRPr="00285D58" w:rsidRDefault="00F664DB" w:rsidP="008D1FFF">
      <w:pPr>
        <w:spacing w:line="276" w:lineRule="auto"/>
        <w:jc w:val="both"/>
        <w:rPr>
          <w:rFonts w:asciiTheme="minorHAnsi" w:eastAsia="Calibri" w:hAnsiTheme="minorHAnsi" w:cstheme="minorHAnsi"/>
        </w:rPr>
      </w:pPr>
    </w:p>
    <w:p w14:paraId="00001DB2"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criterios de diseño utilizados.</w:t>
      </w:r>
    </w:p>
    <w:p w14:paraId="00001DB3"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justificación técnica, del tipo y magnitud de las cargas.</w:t>
      </w:r>
    </w:p>
    <w:p w14:paraId="00001DB4"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Mediciones, ensayos y evaluaciones para determinar la condición funcional y estructural de las obras de drenaje existentes. </w:t>
      </w:r>
    </w:p>
    <w:p w14:paraId="00001DB5" w14:textId="77777777" w:rsidR="00F664DB" w:rsidRPr="00285D58" w:rsidRDefault="006049C1" w:rsidP="00A3732C">
      <w:pPr>
        <w:widowControl/>
        <w:numPr>
          <w:ilvl w:val="0"/>
          <w:numId w:val="5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Resúmenes de los principales resultados y comprobaciones.</w:t>
      </w:r>
    </w:p>
    <w:p w14:paraId="00001DB6"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DB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5.2.1.4. DRENAJE</w:t>
      </w:r>
    </w:p>
    <w:p w14:paraId="00001DB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los resultados del diseño hidráulico de las obras de drenaje requeridas por el proyecto, tales como alcantarillas, cunetas, zanjas de coronación, subdrenes, disipadores de energía, badenes, etc., en base a los resultados obtenidos en el estudio de hidrología y a las Leyes y Disposiciones Aplicables, y contendrá la memoria de cálculo, planos y demás documentos, según corresponda, teniendo básicamente en consideración lo siguiente:</w:t>
      </w:r>
    </w:p>
    <w:p w14:paraId="00001DB9" w14:textId="77777777" w:rsidR="00F664DB" w:rsidRPr="00285D58" w:rsidRDefault="00F664DB" w:rsidP="008D1FFF">
      <w:pPr>
        <w:spacing w:line="276" w:lineRule="auto"/>
        <w:jc w:val="both"/>
        <w:rPr>
          <w:rFonts w:asciiTheme="minorHAnsi" w:eastAsia="Calibri" w:hAnsiTheme="minorHAnsi" w:cstheme="minorHAnsi"/>
        </w:rPr>
      </w:pPr>
    </w:p>
    <w:p w14:paraId="00001DBA"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Diseño de los sistemas de drenaje requeridos, cuyo funcionamiento debe ser integral y eficiente. </w:t>
      </w:r>
    </w:p>
    <w:p w14:paraId="00001DBB"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rehabilitación o reparación de estructuras existentes que se mantienen en el proyecto y diseño de las obras de reemplazo.</w:t>
      </w:r>
    </w:p>
    <w:p w14:paraId="00001DBC"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adecuado de la altura de la rasante de la vía, en zonas de topografía plana o terrenos de cultivo bajo riego adyacentes, para evitar efectos de inundación y saturación de la plataforma.</w:t>
      </w:r>
    </w:p>
    <w:p w14:paraId="00001DBD" w14:textId="77777777" w:rsidR="00F664DB" w:rsidRPr="00285D58" w:rsidRDefault="006049C1" w:rsidP="00A3732C">
      <w:pPr>
        <w:widowControl/>
        <w:numPr>
          <w:ilvl w:val="0"/>
          <w:numId w:val="5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manejo adecuado de la precipitación pluvial, que posibilite el restablecimiento de la cobertura vegetal.</w:t>
      </w:r>
    </w:p>
    <w:p w14:paraId="00001DBE" w14:textId="77777777" w:rsidR="00F664DB" w:rsidRPr="00285D58" w:rsidRDefault="00F664DB" w:rsidP="008D1FFF">
      <w:pPr>
        <w:spacing w:line="276" w:lineRule="auto"/>
        <w:jc w:val="both"/>
        <w:rPr>
          <w:rFonts w:asciiTheme="minorHAnsi" w:eastAsia="Calibri" w:hAnsiTheme="minorHAnsi" w:cstheme="minorHAnsi"/>
          <w:b/>
        </w:rPr>
      </w:pPr>
    </w:p>
    <w:p w14:paraId="00001DB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5.2.1.5. SEGURIDAD VIAL Y SEÑALIZACIÓN</w:t>
      </w:r>
    </w:p>
    <w:p w14:paraId="00001DC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Comprenderá el diseño de los dispositivos de control del tránsito vehicular y los elementos de seguridad vial de las vías, incluyendo los planos de señalización y los procedimientos de control, en concordancia con las Leyes y Disposiciones Aplicables, incluyendo básicamente lo siguiente:  </w:t>
      </w:r>
    </w:p>
    <w:p w14:paraId="00001DC1" w14:textId="77777777" w:rsidR="00F664DB" w:rsidRPr="00285D58" w:rsidRDefault="00F664DB" w:rsidP="008D1FFF">
      <w:pPr>
        <w:spacing w:line="276" w:lineRule="auto"/>
        <w:jc w:val="both"/>
        <w:rPr>
          <w:rFonts w:asciiTheme="minorHAnsi" w:eastAsia="Calibri" w:hAnsiTheme="minorHAnsi" w:cstheme="minorHAnsi"/>
        </w:rPr>
      </w:pPr>
    </w:p>
    <w:p w14:paraId="00001DC2" w14:textId="77777777" w:rsidR="00F664DB" w:rsidRPr="00285D58" w:rsidRDefault="006049C1" w:rsidP="00A3732C">
      <w:pPr>
        <w:widowControl/>
        <w:numPr>
          <w:ilvl w:val="0"/>
          <w:numId w:val="1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Diseño de la señalización en concordancia con lo dispuesto en el Manual de Dispositivos para el Control de Tránsito Automotor para Calles y Carreteras, y las Especificaciones Técnicas de Pinturas para Obras Viales, vigentes. </w:t>
      </w:r>
    </w:p>
    <w:p w14:paraId="00001DC3" w14:textId="77777777" w:rsidR="00F664DB" w:rsidRPr="00285D58" w:rsidRDefault="006049C1" w:rsidP="00A3732C">
      <w:pPr>
        <w:widowControl/>
        <w:numPr>
          <w:ilvl w:val="0"/>
          <w:numId w:val="10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Diseño de la ubicación de los elementos de seguridad vial tales como sistema de contención tipo barreras de seguridad, sistemas de control satelital de velocidades, reductores de velocidad tipo resaltos, tachas reflectivas y otros según corresponda.</w:t>
      </w:r>
    </w:p>
    <w:p w14:paraId="00001DC4" w14:textId="77777777" w:rsidR="00F664DB" w:rsidRPr="00285D58" w:rsidRDefault="00F664DB" w:rsidP="008D1FFF">
      <w:pPr>
        <w:spacing w:line="276" w:lineRule="auto"/>
        <w:jc w:val="both"/>
        <w:rPr>
          <w:rFonts w:asciiTheme="minorHAnsi" w:eastAsia="Calibri" w:hAnsiTheme="minorHAnsi" w:cstheme="minorHAnsi"/>
          <w:b/>
        </w:rPr>
      </w:pPr>
    </w:p>
    <w:p w14:paraId="00001DC5" w14:textId="77777777" w:rsidR="00F664DB" w:rsidRPr="00285D58" w:rsidRDefault="00F664DB" w:rsidP="008D1FFF">
      <w:pPr>
        <w:spacing w:line="276" w:lineRule="auto"/>
        <w:jc w:val="both"/>
        <w:rPr>
          <w:rFonts w:asciiTheme="minorHAnsi" w:eastAsia="Calibri" w:hAnsiTheme="minorHAnsi" w:cstheme="minorHAnsi"/>
          <w:b/>
        </w:rPr>
      </w:pPr>
    </w:p>
    <w:p w14:paraId="00001D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5.2.2. PLANOS</w:t>
      </w:r>
    </w:p>
    <w:p w14:paraId="00001D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planos de las vías del proyecto serán presentados en las escalas, formatos, tamaños, cantidades y demás requerimientos del Supervisor y el CONCEDENTE, y de la normativa vigente. Además, deberán estar debidamente identificados, numerados, codificados y protegidos; asimismo, contendrán una leyenda en la que entre otros se indicará la fecha, el nombre del responsable de su elaboración y aprobación, sello y firma, según corresponda. Básicamente abarcará lo siguientes planos:</w:t>
      </w:r>
    </w:p>
    <w:p w14:paraId="00001DC8" w14:textId="77777777" w:rsidR="00F664DB" w:rsidRPr="00285D58" w:rsidRDefault="00F664DB" w:rsidP="008D1FFF">
      <w:pPr>
        <w:spacing w:line="276" w:lineRule="auto"/>
        <w:jc w:val="both"/>
        <w:rPr>
          <w:rFonts w:asciiTheme="minorHAnsi" w:eastAsia="Calibri" w:hAnsiTheme="minorHAnsi" w:cstheme="minorHAnsi"/>
        </w:rPr>
      </w:pPr>
    </w:p>
    <w:p w14:paraId="00001DC9"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Geográfica del Proyecto</w:t>
      </w:r>
    </w:p>
    <w:p w14:paraId="00001DCA"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Clave </w:t>
      </w:r>
    </w:p>
    <w:p w14:paraId="00001DCB"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Secciones tipo</w:t>
      </w:r>
    </w:p>
    <w:p w14:paraId="00001DCC"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Planta y perfil del proyecto</w:t>
      </w:r>
    </w:p>
    <w:p w14:paraId="00001DCD"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Secciones transversales </w:t>
      </w:r>
    </w:p>
    <w:p w14:paraId="00001DCE"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Intersecciones </w:t>
      </w:r>
    </w:p>
    <w:p w14:paraId="00001DCF"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Diagrama de masas </w:t>
      </w:r>
    </w:p>
    <w:p w14:paraId="00001DD0"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Canteras y puntos de agua </w:t>
      </w:r>
    </w:p>
    <w:p w14:paraId="00001DD1"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Depósitos de materiales excedentes (DME) </w:t>
      </w:r>
    </w:p>
    <w:p w14:paraId="00001DD2"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Pavimentos </w:t>
      </w:r>
    </w:p>
    <w:p w14:paraId="00001DD3"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Estructuras (puentes y túneles), obras de drenaje y complementarias </w:t>
      </w:r>
    </w:p>
    <w:p w14:paraId="00001DD4"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Taludes y Estabilizaciones </w:t>
      </w:r>
    </w:p>
    <w:p w14:paraId="00001DD5"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Señalización y seguridad vial </w:t>
      </w:r>
    </w:p>
    <w:p w14:paraId="00001DD6" w14:textId="77777777" w:rsidR="00F664DB" w:rsidRPr="00285D58" w:rsidRDefault="006049C1" w:rsidP="00A3732C">
      <w:pPr>
        <w:widowControl/>
        <w:numPr>
          <w:ilvl w:val="0"/>
          <w:numId w:val="10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Impacto ambiental</w:t>
      </w:r>
    </w:p>
    <w:p w14:paraId="00001DD7" w14:textId="77777777" w:rsidR="00F664DB" w:rsidRPr="00285D58" w:rsidRDefault="00F664DB" w:rsidP="008D1FFF">
      <w:pPr>
        <w:spacing w:line="276" w:lineRule="auto"/>
        <w:jc w:val="both"/>
        <w:rPr>
          <w:rFonts w:asciiTheme="minorHAnsi" w:eastAsia="Calibri" w:hAnsiTheme="minorHAnsi" w:cstheme="minorHAnsi"/>
          <w:b/>
        </w:rPr>
      </w:pPr>
    </w:p>
    <w:p w14:paraId="00001DD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5.2.3. METRADOS Y PRESUPUESTO</w:t>
      </w:r>
    </w:p>
    <w:p w14:paraId="00001DD9" w14:textId="77777777" w:rsidR="00F664DB" w:rsidRPr="00285D58" w:rsidRDefault="00F664DB" w:rsidP="008D1FFF">
      <w:pPr>
        <w:spacing w:line="276" w:lineRule="auto"/>
        <w:jc w:val="both"/>
        <w:rPr>
          <w:rFonts w:asciiTheme="minorHAnsi" w:eastAsia="Calibri" w:hAnsiTheme="minorHAnsi" w:cstheme="minorHAnsi"/>
          <w:b/>
        </w:rPr>
      </w:pPr>
    </w:p>
    <w:p w14:paraId="00001DD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5.2.3.1. METRADOS </w:t>
      </w:r>
    </w:p>
    <w:p w14:paraId="00001D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Contiene el metrado de las actividades o partidas a ejecutar, tanto en forma específica como global precisando su unidad y los criterios seguidos para su formulación, en concordancia con lo establecido las Leyes y Disposiciones Aplicables para obras de rehabilitación mejoramiento y construcción de carreteras, abarcando como mínimo, lo siguiente:</w:t>
      </w:r>
    </w:p>
    <w:p w14:paraId="00001DDC"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Trabajos preliminares</w:t>
      </w:r>
    </w:p>
    <w:p w14:paraId="00001DDD"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Movimiento de tierras</w:t>
      </w:r>
    </w:p>
    <w:p w14:paraId="00001DDE"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Pavimentos</w:t>
      </w:r>
    </w:p>
    <w:p w14:paraId="00001DDF"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Drenaje y obras complementarias</w:t>
      </w:r>
    </w:p>
    <w:p w14:paraId="00001DE0"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Transporte</w:t>
      </w:r>
    </w:p>
    <w:p w14:paraId="00001DE1"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Señalización y seguridad vial </w:t>
      </w:r>
    </w:p>
    <w:p w14:paraId="00001DE2"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Protección ambiental </w:t>
      </w:r>
    </w:p>
    <w:p w14:paraId="00001DE3" w14:textId="77777777" w:rsidR="00F664DB" w:rsidRPr="00285D58" w:rsidRDefault="006049C1" w:rsidP="00A3732C">
      <w:pPr>
        <w:widowControl/>
        <w:numPr>
          <w:ilvl w:val="0"/>
          <w:numId w:val="9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Otros </w:t>
      </w:r>
    </w:p>
    <w:p w14:paraId="00001DE4" w14:textId="77777777" w:rsidR="00F664DB" w:rsidRPr="00285D58" w:rsidRDefault="00F664DB" w:rsidP="008D1FFF">
      <w:pPr>
        <w:spacing w:line="276" w:lineRule="auto"/>
        <w:jc w:val="both"/>
        <w:rPr>
          <w:rFonts w:asciiTheme="minorHAnsi" w:eastAsia="Calibri" w:hAnsiTheme="minorHAnsi" w:cstheme="minorHAnsi"/>
          <w:b/>
        </w:rPr>
      </w:pPr>
    </w:p>
    <w:p w14:paraId="00001DE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5.2.3.2. ANÁLISIS DE PRECIOS UNITARIOS </w:t>
      </w:r>
    </w:p>
    <w:p w14:paraId="00001DE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el análisis de los precios unitarios que abarcan los costos de los recursos de mano de obra, materiales y equipos necesarios para cumplir la actividad o partida correspondiente. Este deberá estar conformado por: </w:t>
      </w:r>
    </w:p>
    <w:p w14:paraId="00001DE7" w14:textId="77777777" w:rsidR="00F664DB" w:rsidRPr="00BB5F42"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Bases de cálculo de los costos </w:t>
      </w:r>
    </w:p>
    <w:p w14:paraId="00001DE8"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Análisis de costo directo </w:t>
      </w:r>
    </w:p>
    <w:p w14:paraId="00001DE9"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de costos indirectos</w:t>
      </w:r>
    </w:p>
    <w:p w14:paraId="00001DEA" w14:textId="77777777" w:rsidR="00F664DB" w:rsidRPr="00285D58" w:rsidRDefault="006049C1" w:rsidP="00A3732C">
      <w:pPr>
        <w:widowControl/>
        <w:numPr>
          <w:ilvl w:val="0"/>
          <w:numId w:val="10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los costos</w:t>
      </w:r>
    </w:p>
    <w:p w14:paraId="00001DEB" w14:textId="77777777" w:rsidR="00F664DB" w:rsidRPr="00285D58" w:rsidRDefault="00F664DB" w:rsidP="008D1FFF">
      <w:pPr>
        <w:spacing w:line="276" w:lineRule="auto"/>
        <w:jc w:val="both"/>
        <w:rPr>
          <w:rFonts w:asciiTheme="minorHAnsi" w:eastAsia="Calibri" w:hAnsiTheme="minorHAnsi" w:cstheme="minorHAnsi"/>
        </w:rPr>
      </w:pPr>
    </w:p>
    <w:p w14:paraId="00001DE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5.2.3.3. PRESUPUESTO</w:t>
      </w:r>
    </w:p>
    <w:p w14:paraId="00001DE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rPr>
        <w:t>Constituye la determinación del costo total del proyecto, y comprenderá las partidas genéricas y específicas, alcances, definiciones y unidades de medida en concordancia con lo establecido las Leyes y Disposiciones Aplicables para obras de rehabilitación mejoramiento y construcción de carreteras; asimismo, será determinado en base a los metrados y precios unitarios correspondientes e incluirá los gastos generales, utilidades, impuestos y demás requeridos por el Supervisor y el CONCEDENTE.</w:t>
      </w:r>
    </w:p>
    <w:p w14:paraId="00001DEE" w14:textId="77777777" w:rsidR="00F664DB" w:rsidRPr="00285D58" w:rsidRDefault="00F664DB" w:rsidP="008D1FFF">
      <w:pPr>
        <w:spacing w:line="276" w:lineRule="auto"/>
        <w:jc w:val="both"/>
        <w:rPr>
          <w:rFonts w:asciiTheme="minorHAnsi" w:eastAsia="Calibri" w:hAnsiTheme="minorHAnsi" w:cstheme="minorHAnsi"/>
          <w:b/>
        </w:rPr>
      </w:pPr>
    </w:p>
    <w:p w14:paraId="00001DE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 5.2.3.4. CRONOGRAMAS </w:t>
      </w:r>
    </w:p>
    <w:p w14:paraId="00001DF0" w14:textId="58BB4DED"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cronograma de obras de las </w:t>
      </w:r>
      <w:r w:rsidR="00D55B7A" w:rsidRPr="00285D58">
        <w:rPr>
          <w:rFonts w:asciiTheme="minorHAnsi" w:eastAsia="Calibri" w:hAnsiTheme="minorHAnsi" w:cstheme="minorHAnsi"/>
        </w:rPr>
        <w:t>vías</w:t>
      </w:r>
      <w:r w:rsidRPr="00285D58">
        <w:rPr>
          <w:rFonts w:asciiTheme="minorHAnsi" w:eastAsia="Calibri" w:hAnsiTheme="minorHAnsi" w:cstheme="minorHAnsi"/>
        </w:rPr>
        <w:t xml:space="preserve"> comprende la programación de la ejecución secuencial y ordenada de las partidas genéricas y específicas establecidas en el estudio, estableciendo la Ruta Critica correspondiente, con la finalidad de alcanzar los objetivos del proyecto. Incluye, además, los cronogramas de utilización de materiales y equipos. Los cronogramas, serán elaborados de acuerdo al método de programación que establezca el Supervisor y el CONCEDENTE.</w:t>
      </w:r>
    </w:p>
    <w:p w14:paraId="00001DF1" w14:textId="77777777" w:rsidR="00F664DB" w:rsidRPr="00285D58" w:rsidRDefault="00F664DB" w:rsidP="008D1FFF">
      <w:pPr>
        <w:spacing w:line="276" w:lineRule="auto"/>
        <w:jc w:val="both"/>
        <w:rPr>
          <w:rFonts w:asciiTheme="minorHAnsi" w:eastAsia="Calibri" w:hAnsiTheme="minorHAnsi" w:cstheme="minorHAnsi"/>
        </w:rPr>
      </w:pPr>
    </w:p>
    <w:p w14:paraId="00001DF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5.2.4. ESPECIFICACIONES TÉCNICAS</w:t>
      </w:r>
    </w:p>
    <w:p w14:paraId="00001D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Serán las correspondientes a las establecidas por el Manual de Carreteras: Especificaciones Técnicas Generales para Construcción, vigente. En caso de que las particularidades del proyecto, requiera la inclusión de actividades no contempladas en el indicado Manual, se anexará las correspondientes “Especificaciones Especiales”, que serán aprobadas por el Supervisor y el CONCEDENTE.</w:t>
      </w:r>
    </w:p>
    <w:p w14:paraId="00001DF4" w14:textId="77777777" w:rsidR="00F664DB" w:rsidRPr="00285D58" w:rsidRDefault="00F664DB" w:rsidP="008D1FFF">
      <w:pPr>
        <w:spacing w:line="276" w:lineRule="auto"/>
        <w:jc w:val="both"/>
        <w:rPr>
          <w:rFonts w:asciiTheme="minorHAnsi" w:eastAsia="Calibri" w:hAnsiTheme="minorHAnsi" w:cstheme="minorHAnsi"/>
        </w:rPr>
      </w:pPr>
    </w:p>
    <w:p w14:paraId="00001DF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 LICENCIAS, PERMISOS, AUTORIZACIONES Y FACTIBILIDADES </w:t>
      </w:r>
    </w:p>
    <w:p w14:paraId="00001DF6" w14:textId="77777777" w:rsidR="00F664DB" w:rsidRPr="00285D58" w:rsidRDefault="00F664DB" w:rsidP="008D1FFF">
      <w:pPr>
        <w:spacing w:line="276" w:lineRule="auto"/>
        <w:jc w:val="both"/>
        <w:rPr>
          <w:rFonts w:asciiTheme="minorHAnsi" w:eastAsia="Calibri" w:hAnsiTheme="minorHAnsi" w:cstheme="minorHAnsi"/>
        </w:rPr>
      </w:pPr>
    </w:p>
    <w:p w14:paraId="00001DF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5.3.1. ASPECTOS AMBIENTALES </w:t>
      </w:r>
    </w:p>
    <w:p w14:paraId="00001DF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 las licencias, permisos y autorizaciones en materia ambiental requeridas por las Leyes y Disposiciones Aplicables serán responsabilidad del CONCESIONARIO. Esto incluye certificaciones ambientales, planes de manejo de residuos, planes de remediación y otros </w:t>
      </w:r>
      <w:r w:rsidRPr="00285D58">
        <w:rPr>
          <w:rFonts w:asciiTheme="minorHAnsi" w:eastAsia="Calibri" w:hAnsiTheme="minorHAnsi" w:cstheme="minorHAnsi"/>
        </w:rPr>
        <w:lastRenderedPageBreak/>
        <w:t xml:space="preserve">Instrumentos de Gestión Ambiental, según corresponda. </w:t>
      </w:r>
    </w:p>
    <w:p w14:paraId="00001DF9" w14:textId="77777777" w:rsidR="00F664DB" w:rsidRPr="00285D58" w:rsidRDefault="00F664DB" w:rsidP="008D1FFF">
      <w:pPr>
        <w:spacing w:line="276" w:lineRule="auto"/>
        <w:jc w:val="both"/>
        <w:rPr>
          <w:rFonts w:asciiTheme="minorHAnsi" w:eastAsia="Calibri" w:hAnsiTheme="minorHAnsi" w:cstheme="minorHAnsi"/>
        </w:rPr>
      </w:pPr>
    </w:p>
    <w:p w14:paraId="00001D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5.3.2. CERTIFICADO DE INEXISTENCIA DE RESTOS ARQUEOLÓGICOS </w:t>
      </w:r>
    </w:p>
    <w:p w14:paraId="00001DF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obtención del Certificado de Inexistencia de Restos Arqueológicos será responsabilidad del CONCESIONARIO, en cumplimiento de las Leyes y Disposiciones Aplicables e incluirá los documentos complementarios exigibles. </w:t>
      </w:r>
    </w:p>
    <w:p w14:paraId="00001DFC" w14:textId="77777777" w:rsidR="00F664DB" w:rsidRPr="00285D58" w:rsidRDefault="00F664DB" w:rsidP="008D1FFF">
      <w:pPr>
        <w:spacing w:line="276" w:lineRule="auto"/>
        <w:jc w:val="both"/>
        <w:rPr>
          <w:rFonts w:asciiTheme="minorHAnsi" w:eastAsia="Calibri" w:hAnsiTheme="minorHAnsi" w:cstheme="minorHAnsi"/>
        </w:rPr>
      </w:pPr>
    </w:p>
    <w:p w14:paraId="00001DF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5.3.3. PLAN DE MONITOREO ARQUEOLÓGICO</w:t>
      </w:r>
    </w:p>
    <w:p w14:paraId="00001DF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obtención de la autorización de la Resolución Directoral que autoriza el Plan de Monitoreo Arqueológico emitido por la Autoridad Gubernamental Competente, en caso resulte exigible conforme a las Leyes y Disposiciones Aplicables. </w:t>
      </w:r>
    </w:p>
    <w:p w14:paraId="00001DFF" w14:textId="77777777" w:rsidR="00F664DB" w:rsidRPr="00285D58" w:rsidRDefault="00F664DB" w:rsidP="008D1FFF">
      <w:pPr>
        <w:spacing w:line="276" w:lineRule="auto"/>
        <w:jc w:val="both"/>
        <w:rPr>
          <w:rFonts w:asciiTheme="minorHAnsi" w:eastAsia="Calibri" w:hAnsiTheme="minorHAnsi" w:cstheme="minorHAnsi"/>
        </w:rPr>
      </w:pPr>
    </w:p>
    <w:p w14:paraId="00001E0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5.3.4. LICENCIAS MUNICIPALES </w:t>
      </w:r>
    </w:p>
    <w:p w14:paraId="00001E0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petición de Licencia de Edificación y demolición, así como los certificados de parámetros urbanísticos, de zonificación y vías, de uso temporal de vía, entre otros documentos que deba solicitar el CONCESIONARIO a los gobiernos locales para la gestión del Proyecto.</w:t>
      </w:r>
    </w:p>
    <w:p w14:paraId="00001E02" w14:textId="77777777" w:rsidR="00F664DB" w:rsidRPr="00285D58" w:rsidRDefault="00F664DB" w:rsidP="008D1FFF">
      <w:pPr>
        <w:spacing w:line="276" w:lineRule="auto"/>
        <w:jc w:val="both"/>
        <w:rPr>
          <w:rFonts w:asciiTheme="minorHAnsi" w:eastAsia="Calibri" w:hAnsiTheme="minorHAnsi" w:cstheme="minorHAnsi"/>
        </w:rPr>
      </w:pPr>
    </w:p>
    <w:p w14:paraId="00001E0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5.4. RECORRIDO VIRTUAL Y VISTAS DEL PROYECTO</w:t>
      </w:r>
    </w:p>
    <w:p w14:paraId="00001E0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 presentar recorridos virtuales de los espacios interiores y exteriores del EDI que muestren con claridad la solución del proyecto, con una duración mínima de dos (2) minutos. </w:t>
      </w:r>
    </w:p>
    <w:p w14:paraId="00001E05" w14:textId="77777777" w:rsidR="00F664DB" w:rsidRPr="00285D58" w:rsidRDefault="00F664DB" w:rsidP="008D1FFF">
      <w:pPr>
        <w:spacing w:line="276" w:lineRule="auto"/>
        <w:jc w:val="both"/>
        <w:rPr>
          <w:rFonts w:asciiTheme="minorHAnsi" w:eastAsia="Calibri" w:hAnsiTheme="minorHAnsi" w:cstheme="minorHAnsi"/>
        </w:rPr>
      </w:pPr>
    </w:p>
    <w:p w14:paraId="00001E0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Adicional al recorrido virtual se debe incluir quince (15) imágenes fotorrealistas o ilustraciones tridimensionales a color (compuestas por ocho (8) imágenes de exteriores y siete (7) imágenes de interiores) que muestren con claridad el diseño del proyecto, incluyendo detalles de acabados, uso y tratamiento de paisaje. </w:t>
      </w:r>
    </w:p>
    <w:p w14:paraId="00001E07" w14:textId="77777777" w:rsidR="00F664DB" w:rsidRPr="00285D58" w:rsidRDefault="006049C1" w:rsidP="00A3732C">
      <w:pPr>
        <w:keepNext/>
        <w:keepLines/>
        <w:numPr>
          <w:ilvl w:val="3"/>
          <w:numId w:val="130"/>
        </w:numPr>
        <w:spacing w:before="360" w:after="80" w:line="276" w:lineRule="auto"/>
        <w:ind w:left="1560" w:hanging="567"/>
        <w:jc w:val="both"/>
        <w:rPr>
          <w:rFonts w:asciiTheme="minorHAnsi" w:eastAsia="Calibri" w:hAnsiTheme="minorHAnsi" w:cstheme="minorHAnsi"/>
          <w:b/>
        </w:rPr>
      </w:pPr>
      <w:bookmarkStart w:id="160" w:name="_heading=h.158ubh5" w:colFirst="0" w:colLast="0"/>
      <w:bookmarkEnd w:id="160"/>
      <w:r w:rsidRPr="00285D58">
        <w:rPr>
          <w:rFonts w:asciiTheme="minorHAnsi" w:eastAsia="Calibri" w:hAnsiTheme="minorHAnsi" w:cstheme="minorHAnsi"/>
          <w:b/>
        </w:rPr>
        <w:t>FORMATOS DE ENTREGA</w:t>
      </w:r>
    </w:p>
    <w:p w14:paraId="00001E0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6.1. ENTREGAS IMPRESAS</w:t>
      </w:r>
    </w:p>
    <w:p w14:paraId="00001E09" w14:textId="77777777" w:rsidR="00F664DB" w:rsidRPr="00285D58" w:rsidRDefault="00F664DB" w:rsidP="008D1FFF">
      <w:pPr>
        <w:spacing w:line="276" w:lineRule="auto"/>
        <w:jc w:val="both"/>
        <w:rPr>
          <w:rFonts w:asciiTheme="minorHAnsi" w:eastAsia="Calibri" w:hAnsiTheme="minorHAnsi" w:cstheme="minorHAnsi"/>
          <w:b/>
        </w:rPr>
      </w:pPr>
    </w:p>
    <w:p w14:paraId="00001E0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6.1.1. DOCUMENTOS </w:t>
      </w:r>
    </w:p>
    <w:p w14:paraId="00001E0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(1) original Impreso en papel bond color blanco, tamaño A-4, y dos (2) copias con el formato del proyecto. La documentación deberá estar sellada y firmada por el jefe de proyecto, el especialista responsable de la especialidad que corresponda y el representante legal del CONCESIONARIO. Los documentos que contengan sellos y firmas escaneados e impresos no serán recibidos.</w:t>
      </w:r>
    </w:p>
    <w:p w14:paraId="00001E0C" w14:textId="77777777" w:rsidR="00F664DB" w:rsidRPr="00285D58" w:rsidRDefault="00F664DB" w:rsidP="008D1FFF">
      <w:pPr>
        <w:spacing w:line="276" w:lineRule="auto"/>
        <w:jc w:val="both"/>
        <w:rPr>
          <w:rFonts w:asciiTheme="minorHAnsi" w:eastAsia="Calibri" w:hAnsiTheme="minorHAnsi" w:cstheme="minorHAnsi"/>
        </w:rPr>
      </w:pPr>
    </w:p>
    <w:p w14:paraId="00001E0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6.1.2. PLANOS </w:t>
      </w:r>
    </w:p>
    <w:p w14:paraId="00001E0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Impresos en tres (3) juegos de papel bond, con membrete del proyecto, en la escala solicitada conforme al Contrato. Los planos deberán estar sellados y firmados por el jefe de proyecto, el especialista responsable de la especialidad que corresponda y el representante legal del CONCESIONARIO. </w:t>
      </w:r>
    </w:p>
    <w:p w14:paraId="00001E0F" w14:textId="77777777" w:rsidR="00F664DB" w:rsidRPr="00285D58" w:rsidRDefault="00F664DB" w:rsidP="008D1FFF">
      <w:pPr>
        <w:spacing w:line="276" w:lineRule="auto"/>
        <w:jc w:val="both"/>
        <w:rPr>
          <w:rFonts w:asciiTheme="minorHAnsi" w:eastAsia="Calibri" w:hAnsiTheme="minorHAnsi" w:cstheme="minorHAnsi"/>
        </w:rPr>
      </w:pPr>
    </w:p>
    <w:p w14:paraId="00001E1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6.2. ENTREGAS DIGITALES</w:t>
      </w:r>
    </w:p>
    <w:p w14:paraId="00001E1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Disco o discos de CD o DVD (no regrabable) conteniendo: </w:t>
      </w:r>
    </w:p>
    <w:p w14:paraId="00001E12" w14:textId="77777777" w:rsidR="00F664DB" w:rsidRPr="00285D58" w:rsidRDefault="00F664DB" w:rsidP="008D1FFF">
      <w:pPr>
        <w:spacing w:line="276" w:lineRule="auto"/>
        <w:jc w:val="both"/>
        <w:rPr>
          <w:rFonts w:asciiTheme="minorHAnsi" w:eastAsia="Calibri" w:hAnsiTheme="minorHAnsi" w:cstheme="minorHAnsi"/>
        </w:rPr>
      </w:pPr>
    </w:p>
    <w:p w14:paraId="00001E13" w14:textId="77777777" w:rsidR="00F664DB" w:rsidRPr="00285D58" w:rsidRDefault="006049C1" w:rsidP="00A3732C">
      <w:pPr>
        <w:widowControl/>
        <w:numPr>
          <w:ilvl w:val="0"/>
          <w:numId w:val="1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Documentos de información fuente con todos los archivos editables: </w:t>
      </w:r>
    </w:p>
    <w:p w14:paraId="00001E14"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Formatos de documentos en: editor de textos (doc, rtf, etc), hojas de cálculo (xls, etc.), documento digital (PDF). </w:t>
      </w:r>
    </w:p>
    <w:p w14:paraId="00001E15"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Formatos de planos: documento digital (PDF), CAD (dwg, dxf, etc).</w:t>
      </w:r>
    </w:p>
    <w:p w14:paraId="00001E16"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Modelado BIM (rvt, nwd, ifc, pln, pla, etc) en LOD 350 como mínimo.</w:t>
      </w:r>
    </w:p>
    <w:p w14:paraId="00001E17"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Fotografías: formato Jpg.</w:t>
      </w:r>
    </w:p>
    <w:p w14:paraId="00001E18"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Video de recorrido virtual.</w:t>
      </w:r>
    </w:p>
    <w:p w14:paraId="00001E19"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Cronogramas en el formato solicitado establecido por el CONCEDENTE.</w:t>
      </w:r>
    </w:p>
    <w:p w14:paraId="00001E1A" w14:textId="77777777" w:rsidR="00F664DB" w:rsidRPr="00285D58" w:rsidRDefault="006049C1" w:rsidP="00A3732C">
      <w:pPr>
        <w:widowControl/>
        <w:numPr>
          <w:ilvl w:val="0"/>
          <w:numId w:val="11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Otros formatos solicitados establecidos por el CONCEDENTE.</w:t>
      </w:r>
    </w:p>
    <w:p w14:paraId="00001E1B" w14:textId="77777777" w:rsidR="00F664DB" w:rsidRPr="00285D58" w:rsidRDefault="006049C1" w:rsidP="00A3732C">
      <w:pPr>
        <w:widowControl/>
        <w:numPr>
          <w:ilvl w:val="0"/>
          <w:numId w:val="11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Documento digital escaneado (PDF).</w:t>
      </w:r>
    </w:p>
    <w:p w14:paraId="00001E1C" w14:textId="77777777" w:rsidR="00F664DB" w:rsidRPr="00285D58" w:rsidRDefault="00F664DB" w:rsidP="008D1FFF">
      <w:pPr>
        <w:spacing w:line="276" w:lineRule="auto"/>
        <w:ind w:left="567"/>
        <w:jc w:val="both"/>
        <w:rPr>
          <w:rFonts w:asciiTheme="minorHAnsi" w:eastAsia="Calibri" w:hAnsiTheme="minorHAnsi" w:cstheme="minorHAnsi"/>
          <w:b/>
          <w:smallCaps/>
        </w:rPr>
      </w:pPr>
    </w:p>
    <w:p w14:paraId="00001E1D" w14:textId="77777777" w:rsidR="00F664DB" w:rsidRPr="00285D58" w:rsidRDefault="00F664DB" w:rsidP="008D1FFF">
      <w:pPr>
        <w:spacing w:line="276" w:lineRule="auto"/>
        <w:jc w:val="both"/>
        <w:rPr>
          <w:rFonts w:asciiTheme="minorHAnsi" w:hAnsiTheme="minorHAnsi" w:cstheme="minorHAnsi"/>
        </w:rPr>
      </w:pPr>
    </w:p>
    <w:p w14:paraId="00001E1E" w14:textId="5D5EB505"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61" w:name="_heading=h.z337ya" w:colFirst="0" w:colLast="0"/>
      <w:bookmarkStart w:id="162" w:name="_Toc193979282"/>
      <w:bookmarkEnd w:id="161"/>
      <w:r w:rsidRPr="00285D58">
        <w:rPr>
          <w:rFonts w:asciiTheme="minorHAnsi" w:eastAsia="Calibri" w:hAnsiTheme="minorHAnsi" w:cstheme="minorHAnsi"/>
          <w:b/>
          <w:color w:val="1F4E79"/>
          <w:sz w:val="22"/>
          <w:szCs w:val="22"/>
        </w:rPr>
        <w:t xml:space="preserve">ANEXO 08 - APÉNDICE 4 – CONTENIDO PARA LA ELABORACIÓN </w:t>
      </w:r>
      <w:r w:rsidR="00091D1B" w:rsidRPr="00285D58">
        <w:rPr>
          <w:rFonts w:asciiTheme="minorHAnsi" w:eastAsia="Calibri" w:hAnsiTheme="minorHAnsi" w:cstheme="minorHAnsi"/>
          <w:b/>
          <w:color w:val="1F4E79"/>
          <w:sz w:val="22"/>
          <w:szCs w:val="22"/>
        </w:rPr>
        <w:t xml:space="preserve">DEL LEVANTAMIENTO </w:t>
      </w:r>
      <w:r w:rsidRPr="00285D58">
        <w:rPr>
          <w:rFonts w:asciiTheme="minorHAnsi" w:eastAsia="Calibri" w:hAnsiTheme="minorHAnsi" w:cstheme="minorHAnsi"/>
          <w:b/>
          <w:color w:val="1F4E79"/>
          <w:sz w:val="22"/>
          <w:szCs w:val="22"/>
        </w:rPr>
        <w:t>TOPOGRÁFICO</w:t>
      </w:r>
      <w:bookmarkEnd w:id="162"/>
      <w:r w:rsidRPr="00285D58">
        <w:rPr>
          <w:rFonts w:asciiTheme="minorHAnsi" w:eastAsia="Calibri" w:hAnsiTheme="minorHAnsi" w:cstheme="minorHAnsi"/>
          <w:b/>
          <w:color w:val="1F4E79"/>
          <w:sz w:val="22"/>
          <w:szCs w:val="22"/>
        </w:rPr>
        <w:t xml:space="preserve"> </w:t>
      </w:r>
    </w:p>
    <w:p w14:paraId="00001E1F" w14:textId="77777777" w:rsidR="00F664DB" w:rsidRPr="00285D58" w:rsidRDefault="00F664DB" w:rsidP="008D1FFF">
      <w:pPr>
        <w:spacing w:line="276" w:lineRule="auto"/>
        <w:jc w:val="both"/>
        <w:rPr>
          <w:rFonts w:asciiTheme="minorHAnsi" w:eastAsia="Calibri" w:hAnsiTheme="minorHAnsi" w:cstheme="minorHAnsi"/>
        </w:rPr>
      </w:pPr>
    </w:p>
    <w:p w14:paraId="00001E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Las especificaciones señaladas en el presente Apéndice no eximirán al CONCESIONARIO de su responsabilidad por el contenido de los estudios necesarios para determinar las especificaciones de los diseños y de la infraestructura del Proyecto. Si bien el contenido de este documento será el mínimo requerido por el CONCEDENTE para la verificación y seguimiento del Proyecto, el CONCESIONARIO podrá, bajo su propio criterio, incluir los parámetros y contenido adicionales que determine necesarios para determinar las condiciones en el diseño e infraestructura que deban tomarse en cuenta para alcanzar los objetivos del Proyecto. El contenido referido en el presente Apéndice será el mínimo requerido, sin perjuicio de la información requerida y señalada en las Leyes y Disposiciones Aplicables para la elaboración de estos estudios. El CONCESIONARIO deberá llevar a cabo el levantamiento topográfico para cada una de las infraestructuras del Proyecto. </w:t>
      </w:r>
    </w:p>
    <w:p w14:paraId="00001E21" w14:textId="77777777" w:rsidR="00F664DB" w:rsidRPr="00285D58" w:rsidRDefault="00F664DB" w:rsidP="008D1FFF">
      <w:pPr>
        <w:spacing w:line="276" w:lineRule="auto"/>
        <w:jc w:val="both"/>
        <w:rPr>
          <w:rFonts w:asciiTheme="minorHAnsi" w:eastAsia="Calibri" w:hAnsiTheme="minorHAnsi" w:cstheme="minorHAnsi"/>
        </w:rPr>
      </w:pPr>
    </w:p>
    <w:p w14:paraId="00001E22" w14:textId="77777777" w:rsidR="00F664DB" w:rsidRPr="00285D58" w:rsidRDefault="006049C1" w:rsidP="00A3732C">
      <w:pPr>
        <w:keepNext/>
        <w:keepLines/>
        <w:numPr>
          <w:ilvl w:val="6"/>
          <w:numId w:val="130"/>
        </w:numPr>
        <w:spacing w:before="360" w:after="80" w:line="276" w:lineRule="auto"/>
        <w:ind w:left="1560"/>
        <w:jc w:val="both"/>
        <w:rPr>
          <w:rFonts w:asciiTheme="minorHAnsi" w:eastAsia="Calibri" w:hAnsiTheme="minorHAnsi" w:cstheme="minorHAnsi"/>
          <w:b/>
        </w:rPr>
      </w:pPr>
      <w:bookmarkStart w:id="163" w:name="_heading=h.24ds4cr" w:colFirst="0" w:colLast="0"/>
      <w:bookmarkEnd w:id="163"/>
      <w:r w:rsidRPr="00285D58">
        <w:rPr>
          <w:rFonts w:asciiTheme="minorHAnsi" w:eastAsia="Calibri" w:hAnsiTheme="minorHAnsi" w:cstheme="minorHAnsi"/>
          <w:b/>
        </w:rPr>
        <w:t xml:space="preserve">TRABAJOS A REALIZAR </w:t>
      </w:r>
    </w:p>
    <w:p w14:paraId="00001E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realizar la georreferenciación y levantamiento topográfico para cada terreno de cada Área de las Estaciones Centrales, Estaciones de Teleféricos, Trazo de los Teleféricos y Vías Turísticas del Proyecto. </w:t>
      </w:r>
    </w:p>
    <w:p w14:paraId="00001E24" w14:textId="77777777" w:rsidR="00F664DB" w:rsidRPr="00285D58" w:rsidRDefault="00F664DB" w:rsidP="008D1FFF">
      <w:pPr>
        <w:spacing w:line="276" w:lineRule="auto"/>
        <w:jc w:val="both"/>
        <w:rPr>
          <w:rFonts w:asciiTheme="minorHAnsi" w:eastAsia="Calibri" w:hAnsiTheme="minorHAnsi" w:cstheme="minorHAnsi"/>
        </w:rPr>
      </w:pPr>
    </w:p>
    <w:p w14:paraId="00001E25" w14:textId="77777777" w:rsidR="00F664DB" w:rsidRPr="00285D58" w:rsidRDefault="006049C1" w:rsidP="00A3732C">
      <w:pPr>
        <w:widowControl/>
        <w:numPr>
          <w:ilvl w:val="1"/>
          <w:numId w:val="98"/>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 CONTROL GEODÉSICO Y GEORREFERENCIACIÓN </w:t>
      </w:r>
    </w:p>
    <w:p w14:paraId="00001E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establecerá dos (2) puntos de control geodésico en las áreas donde se realizará el levantamiento, enlazados a las Estaciones de Rastreo Permanente de la Red Geodésica Peruana de Monitoreo Continuo que se encuentran distribuidas dentro del ámbito del territorio nacional. Para el caso de las Vías Turísticas, EL CONCESIONARIO establecerá dos (2) puntos de control </w:t>
      </w:r>
      <w:r w:rsidRPr="00285D58">
        <w:rPr>
          <w:rFonts w:asciiTheme="minorHAnsi" w:eastAsia="Calibri" w:hAnsiTheme="minorHAnsi" w:cstheme="minorHAnsi"/>
        </w:rPr>
        <w:lastRenderedPageBreak/>
        <w:t>geodésico cada cinco (05) kilómetros a lo largo de la vía, incluyendo el inicio y fin del tramo.</w:t>
      </w:r>
    </w:p>
    <w:p w14:paraId="00001E27" w14:textId="77777777" w:rsidR="00F664DB" w:rsidRPr="00285D58" w:rsidRDefault="00F664DB" w:rsidP="008D1FFF">
      <w:pPr>
        <w:spacing w:line="276" w:lineRule="auto"/>
        <w:jc w:val="both"/>
        <w:rPr>
          <w:rFonts w:asciiTheme="minorHAnsi" w:eastAsia="Calibri" w:hAnsiTheme="minorHAnsi" w:cstheme="minorHAnsi"/>
        </w:rPr>
      </w:pPr>
    </w:p>
    <w:p w14:paraId="00001E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Teniendo en cuenta los estándares de precisión geométrica del IGN para determinar el orden del punto de la Tabla 1. Se recomienda utilizar como mínimo los puntos de Orden C para la colocación de estos.</w:t>
      </w:r>
    </w:p>
    <w:p w14:paraId="00001E29" w14:textId="77777777" w:rsidR="00F664DB" w:rsidRPr="00285D58" w:rsidRDefault="00F664DB" w:rsidP="008D1FFF">
      <w:pPr>
        <w:spacing w:line="276" w:lineRule="auto"/>
        <w:jc w:val="both"/>
        <w:rPr>
          <w:rFonts w:asciiTheme="minorHAnsi" w:eastAsia="Calibri" w:hAnsiTheme="minorHAnsi" w:cstheme="minorHAnsi"/>
        </w:rPr>
      </w:pPr>
    </w:p>
    <w:p w14:paraId="00001E2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puntos de control del proyecto deberán estar ubicados en lugares despejados para evitar las interferencias de la señal satelital y protegidos para su seguridad, los pares de puntos deben tener visibilidad entre sí, para permitir la respectiva medición de distancia. </w:t>
      </w:r>
    </w:p>
    <w:p w14:paraId="00001E2B" w14:textId="77777777" w:rsidR="00F664DB" w:rsidRPr="00285D58" w:rsidRDefault="00F664DB" w:rsidP="008D1FFF">
      <w:pPr>
        <w:spacing w:line="276" w:lineRule="auto"/>
        <w:jc w:val="both"/>
        <w:rPr>
          <w:rFonts w:asciiTheme="minorHAnsi" w:eastAsia="Calibri" w:hAnsiTheme="minorHAnsi" w:cstheme="minorHAnsi"/>
        </w:rPr>
      </w:pPr>
    </w:p>
    <w:p w14:paraId="00001E2E" w14:textId="77777777"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rPr>
        <w:t>Tabla 1 (Especificaciones Técnicas para Posicionamiento)</w:t>
      </w:r>
    </w:p>
    <w:p w14:paraId="00001E2F" w14:textId="77777777"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5ED89B7" wp14:editId="74C8FB6F">
            <wp:extent cx="4320000" cy="3097385"/>
            <wp:effectExtent l="0" t="0" r="0" b="0"/>
            <wp:docPr id="213361741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13"/>
                    <a:srcRect/>
                    <a:stretch>
                      <a:fillRect/>
                    </a:stretch>
                  </pic:blipFill>
                  <pic:spPr>
                    <a:xfrm>
                      <a:off x="0" y="0"/>
                      <a:ext cx="4320000" cy="3097385"/>
                    </a:xfrm>
                    <a:prstGeom prst="rect">
                      <a:avLst/>
                    </a:prstGeom>
                    <a:ln/>
                  </pic:spPr>
                </pic:pic>
              </a:graphicData>
            </a:graphic>
          </wp:inline>
        </w:drawing>
      </w:r>
    </w:p>
    <w:p w14:paraId="00001E30" w14:textId="77777777" w:rsidR="00F664DB" w:rsidRPr="00285D58" w:rsidRDefault="00F664DB" w:rsidP="008D1FFF">
      <w:pPr>
        <w:spacing w:line="276" w:lineRule="auto"/>
        <w:jc w:val="both"/>
        <w:rPr>
          <w:rFonts w:asciiTheme="minorHAnsi" w:eastAsia="Calibri" w:hAnsiTheme="minorHAnsi" w:cstheme="minorHAnsi"/>
        </w:rPr>
      </w:pPr>
    </w:p>
    <w:p w14:paraId="00001E31" w14:textId="77777777" w:rsidR="00F664DB" w:rsidRPr="00285D58" w:rsidRDefault="00F664DB" w:rsidP="008D1FFF">
      <w:pPr>
        <w:spacing w:line="276" w:lineRule="auto"/>
        <w:jc w:val="both"/>
        <w:rPr>
          <w:rFonts w:asciiTheme="minorHAnsi" w:eastAsia="Calibri" w:hAnsiTheme="minorHAnsi" w:cstheme="minorHAnsi"/>
        </w:rPr>
      </w:pPr>
    </w:p>
    <w:p w14:paraId="00001E3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 POLIGONAL DE APOYO TOPOGRÁFICO </w:t>
      </w:r>
    </w:p>
    <w:p w14:paraId="00001E3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ubicarán los puntos de control horizontal y vertical. </w:t>
      </w:r>
    </w:p>
    <w:p w14:paraId="00001E34" w14:textId="77777777" w:rsidR="00F664DB" w:rsidRPr="00285D58" w:rsidRDefault="00F664DB" w:rsidP="008D1FFF">
      <w:pPr>
        <w:spacing w:line="276" w:lineRule="auto"/>
        <w:jc w:val="both"/>
        <w:rPr>
          <w:rFonts w:asciiTheme="minorHAnsi" w:eastAsia="Calibri" w:hAnsiTheme="minorHAnsi" w:cstheme="minorHAnsi"/>
          <w:b/>
        </w:rPr>
      </w:pPr>
    </w:p>
    <w:p w14:paraId="00001E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1.2.1. Control horizontal </w:t>
      </w:r>
    </w:p>
    <w:p w14:paraId="00001E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la medición y compensación de la poligonal de apoyo. </w:t>
      </w:r>
    </w:p>
    <w:p w14:paraId="00001E37"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38"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ubicarán puntos de control topográfico, los cuales servirán de poligonal de apoyo al levantamiento topográfico y serán debidamente monumentados. Estos puntos tendrán que ser visibles entre sí para la medición de la poligonal. </w:t>
      </w:r>
    </w:p>
    <w:p w14:paraId="00001E39"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medición de la poligonal de apoyo consistirá en obtener directamente los ángulos en los vértices y las distancias de cada uno de los lados de la poligonal. </w:t>
      </w:r>
    </w:p>
    <w:p w14:paraId="00001E3A"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Para el cierre angular de la poligonal de apoyo, el error admisible se determinará mediante la siguiente expresión:</w:t>
      </w:r>
    </w:p>
    <w:p w14:paraId="00001E3B" w14:textId="77777777" w:rsidR="00F664DB" w:rsidRPr="00285D58" w:rsidRDefault="00F664DB"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p>
    <w:p w14:paraId="00001E3C" w14:textId="77777777" w:rsidR="00F664DB" w:rsidRPr="00285D58" w:rsidRDefault="006049C1" w:rsidP="008D1FFF">
      <w:pPr>
        <w:spacing w:line="276" w:lineRule="auto"/>
        <w:jc w:val="both"/>
        <w:rPr>
          <w:rFonts w:asciiTheme="minorHAnsi" w:eastAsia="Cambria Math" w:hAnsiTheme="minorHAnsi" w:cstheme="minorHAnsi"/>
          <w:color w:val="000000"/>
        </w:rPr>
      </w:pPr>
      <m:oMathPara>
        <m:oMath>
          <m:r>
            <w:rPr>
              <w:rFonts w:ascii="Cambria Math" w:eastAsia="Cambria Math" w:hAnsi="Cambria Math" w:cstheme="minorHAnsi"/>
              <w:color w:val="000000"/>
            </w:rPr>
            <m:t>Eadm=±R√n</m:t>
          </m:r>
        </m:oMath>
      </m:oMathPara>
    </w:p>
    <w:p w14:paraId="00001E3D" w14:textId="77777777" w:rsidR="00F664DB" w:rsidRPr="00285D58" w:rsidRDefault="006049C1"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r w:rsidRPr="00285D58">
        <w:rPr>
          <w:rFonts w:asciiTheme="minorHAnsi" w:eastAsia="Calibri" w:hAnsiTheme="minorHAnsi" w:cstheme="minorHAnsi"/>
          <w:color w:val="000000"/>
        </w:rPr>
        <w:t>Donde: R= precisión del equipo utilizado</w:t>
      </w:r>
    </w:p>
    <w:p w14:paraId="00001E3E" w14:textId="77777777" w:rsidR="00F664DB" w:rsidRPr="00285D58" w:rsidRDefault="006049C1"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n= número de vértices de la poligonal </w:t>
      </w:r>
    </w:p>
    <w:p w14:paraId="00001E3F" w14:textId="77777777" w:rsidR="00F664DB" w:rsidRPr="00285D58" w:rsidRDefault="00F664DB" w:rsidP="008D1FFF">
      <w:pPr>
        <w:pBdr>
          <w:top w:val="nil"/>
          <w:left w:val="nil"/>
          <w:bottom w:val="nil"/>
          <w:right w:val="nil"/>
          <w:between w:val="nil"/>
        </w:pBdr>
        <w:spacing w:line="276" w:lineRule="auto"/>
        <w:ind w:left="927" w:firstLine="1058"/>
        <w:jc w:val="both"/>
        <w:rPr>
          <w:rFonts w:asciiTheme="minorHAnsi" w:eastAsia="Calibri" w:hAnsiTheme="minorHAnsi" w:cstheme="minorHAnsi"/>
          <w:color w:val="000000"/>
        </w:rPr>
      </w:pPr>
    </w:p>
    <w:p w14:paraId="00001E40"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el cierre lineal de la poligonal de apoyo, el error relativo mínimo será: Er= 1/5,000. </w:t>
      </w:r>
    </w:p>
    <w:p w14:paraId="00001E41" w14:textId="77777777" w:rsidR="00F664DB" w:rsidRPr="00285D58" w:rsidRDefault="006049C1" w:rsidP="00A3732C">
      <w:pPr>
        <w:widowControl/>
        <w:numPr>
          <w:ilvl w:val="0"/>
          <w:numId w:val="10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 los trabajos de la poligonal de apoyo topográfico incluirá: Metodología, croquis de ubicación y referenciación de los vértices de la poligonal de apoyo enlazados con los puntos de control geodésico, cálculo y ajustes de la poligonal de apoyo, cuadro de resultados, panel fotográfico, especificaciones técnicas de los equipos y materiales utilizados, así como la presentación de los certificados de Calibración de los Equipos. </w:t>
      </w:r>
    </w:p>
    <w:p w14:paraId="00001E42" w14:textId="77777777" w:rsidR="00F664DB" w:rsidRPr="00285D58" w:rsidRDefault="00F664DB" w:rsidP="008D1FFF">
      <w:pPr>
        <w:spacing w:line="276" w:lineRule="auto"/>
        <w:jc w:val="both"/>
        <w:rPr>
          <w:rFonts w:asciiTheme="minorHAnsi" w:eastAsia="Calibri" w:hAnsiTheme="minorHAnsi" w:cstheme="minorHAnsi"/>
        </w:rPr>
      </w:pPr>
    </w:p>
    <w:p w14:paraId="00001E4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1.2.2. Control vertical: </w:t>
      </w:r>
    </w:p>
    <w:p w14:paraId="00001E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control vertical del levantamiento topográfico se llevará a cabo mediante una nivelación geométrica o diferencial.</w:t>
      </w:r>
    </w:p>
    <w:p w14:paraId="00001E45" w14:textId="77777777" w:rsidR="00F664DB" w:rsidRPr="00285D58" w:rsidRDefault="00F664DB" w:rsidP="008D1FFF">
      <w:pPr>
        <w:spacing w:line="276" w:lineRule="auto"/>
        <w:jc w:val="both"/>
        <w:rPr>
          <w:rFonts w:asciiTheme="minorHAnsi" w:eastAsia="Calibri" w:hAnsiTheme="minorHAnsi" w:cstheme="minorHAnsi"/>
        </w:rPr>
      </w:pPr>
    </w:p>
    <w:p w14:paraId="00001E46"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ubicará y obtendrá información de los BM establecidos por la Autoridad Gubernamental Competente, para trasladar la cota oficial al proyecto. </w:t>
      </w:r>
    </w:p>
    <w:p w14:paraId="00001E47"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nivelación tendrá que ser compuesta y en circuito cerrado y usando como error permisible la expresión: ± 0.02 </w:t>
      </w:r>
      <w:r w:rsidRPr="00285D58">
        <w:rPr>
          <w:rFonts w:ascii="Cambria Math" w:eastAsia="Cambria Math" w:hAnsi="Cambria Math" w:cs="Cambria Math"/>
          <w:color w:val="000000"/>
        </w:rPr>
        <w:t>∗</w:t>
      </w:r>
      <w:r w:rsidRPr="00285D58">
        <w:rPr>
          <w:rFonts w:asciiTheme="minorHAnsi" w:eastAsia="Calibri" w:hAnsiTheme="minorHAnsi" w:cstheme="minorHAnsi"/>
          <w:color w:val="000000"/>
        </w:rPr>
        <w:t xml:space="preserve"> √k; siendo “k” la distancia nivelada en kilómetros. </w:t>
      </w:r>
    </w:p>
    <w:p w14:paraId="00001E48"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ubicará y monumentará estratégicamente en la zona del proyecto, dos (2) BM para cada área del proyecto, en lugares que no sean alcanzados por los trabajos durante la ejecución de obras y sean visibles entre sí para fines de replanteo de obra. Para estos hitos deberá establecerse, además, sus coordenadas UTM. Para su fácil ubicación se construirán con la siguiente especificación: factor de resistencia a la compresión del concreto (f’c) = 140 Kg/cm2 de 20x20x40 de profundidad colocándole una plancha de bronce (tipo registro de 4”), en el cual estará indicado el BM. Para el caso de las Vías Turísticas, se ubicará y monumentará un BM cada 500, igualmente en lugares debidamente protegidos, fuera del alcance de los trabajos y referenciados a puntos inamovibles, tomando como referencia las cotas de los hitos de control vertical del IGN más cercanos que existan en la zona.</w:t>
      </w:r>
    </w:p>
    <w:p w14:paraId="00001E49"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no encontrarse BM de la Red Nacional de Nivelación Nacional del IGN relativamente cerca de la zona del proyecto, previa comunicación e informe sustentatorio, debidamente revisado y aprobado por el Supervisor, el CONCESIONARIO podrá emplear la altura geoidal resultado de un punto, procesado con el Modelo Geoidal EGM96, medido a partir de un BM Oficial, mediante métodos geodésicos. </w:t>
      </w:r>
    </w:p>
    <w:p w14:paraId="00001E4A" w14:textId="77777777" w:rsidR="00F664DB" w:rsidRPr="00285D58" w:rsidRDefault="006049C1" w:rsidP="00A3732C">
      <w:pPr>
        <w:widowControl/>
        <w:numPr>
          <w:ilvl w:val="0"/>
          <w:numId w:val="10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del trabajo del control vertical incluirá: Metodología de la toma de datos, ajuste y compensación de los circuitos de nivelación considerados, cuadro de resultados, croquis, y copia de libreta de campo. </w:t>
      </w:r>
    </w:p>
    <w:p w14:paraId="00001E4B" w14:textId="77777777" w:rsidR="00F664DB" w:rsidRPr="00285D58" w:rsidRDefault="00F664DB" w:rsidP="008D1FFF">
      <w:pPr>
        <w:spacing w:line="276" w:lineRule="auto"/>
        <w:jc w:val="both"/>
        <w:rPr>
          <w:rFonts w:asciiTheme="minorHAnsi" w:eastAsia="Calibri" w:hAnsiTheme="minorHAnsi" w:cstheme="minorHAnsi"/>
        </w:rPr>
      </w:pPr>
    </w:p>
    <w:p w14:paraId="00001E4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 LEVANTAMIENTO TOPOGRÁFICO DE LA ZONA DE ESTUDIO </w:t>
      </w:r>
    </w:p>
    <w:p w14:paraId="00001E4D"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El levantamiento topográfico se realizará sobre las bases topográficas realizadas para la poligonal de apoyo, los cuales contarán con coordenadas UTM, WGS-84. </w:t>
      </w:r>
    </w:p>
    <w:p w14:paraId="00001E4E"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mediciones para el levantamiento topográfico se realizarán con equipo Estación total, con precisión angular máximo de o cinco segundos (5”).</w:t>
      </w:r>
    </w:p>
    <w:p w14:paraId="00001E4F"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mediciones se realizarán por el método de radiación, tomado desde cada vértice de la poligonal de apoyo, mediante las cuales se obtendrán las coordenadas (E, N) y cota por cada punto. Adicionalmente cada punto contará con una numeración correlativa y una descripción leída por la estación total. </w:t>
      </w:r>
    </w:p>
    <w:p w14:paraId="00001E50"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Adicionalmente, EL CONCEDENTE podrá proponer el uso de otras metodologías, tal come Fotogrametría o el uso de la geodesia mediante el método RTK, el cual deberá ser aprobado por El Supervisor. En tal caso los costos que devienen de dichos trabajos serán asumidos por EL CONCEDENTE</w:t>
      </w:r>
    </w:p>
    <w:p w14:paraId="00001E51"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la información obtenida se deberá incluir los detalles planimétricos y altimétricos de las estructuras existentes dentro del área que involucre el proyecto, interior y exterior al terreno designado para el proyecto. </w:t>
      </w:r>
    </w:p>
    <w:p w14:paraId="00001E52" w14:textId="77777777" w:rsidR="00F664DB" w:rsidRPr="00285D58" w:rsidRDefault="006049C1" w:rsidP="00A3732C">
      <w:pPr>
        <w:widowControl/>
        <w:numPr>
          <w:ilvl w:val="0"/>
          <w:numId w:val="10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memoria de los trabajos del Levantamiento Topográfico incluirá: Metodología, plano topográfico con curvas de nivel, plano perimétrico, plano de ubicación y plano de perfiles y secciones transversales, a escala conveniente. Panel Fotográfico, especificaciones técnicas de los equipos y materiales utilizados, y certificación de calibración de los equipos utilizados.</w:t>
      </w:r>
    </w:p>
    <w:p w14:paraId="00001E53"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54"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164" w:name="_heading=h.jj2ekk" w:colFirst="0" w:colLast="0"/>
      <w:bookmarkEnd w:id="164"/>
      <w:r w:rsidRPr="00285D58">
        <w:rPr>
          <w:rFonts w:asciiTheme="minorHAnsi" w:eastAsia="Calibri" w:hAnsiTheme="minorHAnsi" w:cstheme="minorHAnsi"/>
          <w:b/>
        </w:rPr>
        <w:t xml:space="preserve">2.    CONTENIDO DE PLANOS </w:t>
      </w:r>
    </w:p>
    <w:p w14:paraId="00001E5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PLANO DE UBICACIÓN Y LOCALIZACIÓN </w:t>
      </w:r>
    </w:p>
    <w:p w14:paraId="00001E56" w14:textId="77777777" w:rsidR="00F664DB" w:rsidRPr="00285D58" w:rsidRDefault="00F664DB" w:rsidP="008D1FFF">
      <w:pPr>
        <w:spacing w:line="276" w:lineRule="auto"/>
        <w:jc w:val="both"/>
        <w:rPr>
          <w:rFonts w:asciiTheme="minorHAnsi" w:eastAsia="Calibri" w:hAnsiTheme="minorHAnsi" w:cstheme="minorHAnsi"/>
        </w:rPr>
      </w:pPr>
    </w:p>
    <w:p w14:paraId="00001E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plano de ubicación y localización deberá contener indicaciones de los hitos más notorios de la zona (tales como las plazas de armas, centros educativos, municipios, ríos, quebradas o el propio monumento arqueológico) e incluir la ruta óptima a seguir desde dichos hitos notorios. </w:t>
      </w:r>
    </w:p>
    <w:p w14:paraId="00001E58" w14:textId="77777777" w:rsidR="00F664DB" w:rsidRPr="00285D58" w:rsidRDefault="00F664DB" w:rsidP="008D1FFF">
      <w:pPr>
        <w:spacing w:line="276" w:lineRule="auto"/>
        <w:jc w:val="both"/>
        <w:rPr>
          <w:rFonts w:asciiTheme="minorHAnsi" w:eastAsia="Calibri" w:hAnsiTheme="minorHAnsi" w:cstheme="minorHAnsi"/>
        </w:rPr>
      </w:pPr>
    </w:p>
    <w:p w14:paraId="00001E5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2.2. PLANO PERIMÉTRICO </w:t>
      </w:r>
    </w:p>
    <w:p w14:paraId="00001E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formato debe estar diseñado para un plano a escala 1/500 para el área de las estaciones y 1/2,000 para las vías, para la presentación digital el modo LAYOUT, conservando en el MODEL la escala 1/1 y su georreferenciación, La presentación es en físico y en digital, y debe contener:</w:t>
      </w:r>
    </w:p>
    <w:p w14:paraId="00001E5B" w14:textId="77777777" w:rsidR="00F664DB" w:rsidRPr="00285D58" w:rsidRDefault="00F664DB" w:rsidP="008D1FFF">
      <w:pPr>
        <w:spacing w:line="276" w:lineRule="auto"/>
        <w:jc w:val="both"/>
        <w:rPr>
          <w:rFonts w:asciiTheme="minorHAnsi" w:eastAsia="Calibri" w:hAnsiTheme="minorHAnsi" w:cstheme="minorHAnsi"/>
        </w:rPr>
      </w:pPr>
    </w:p>
    <w:p w14:paraId="00001E5C"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Poligonal del predio, con sus medidas perimétricas, área y colindancias; y se indicarán los vértices, nombrados con números, iniciando a la izquierda del frente del predio y siguiendo la dirección de las manecillas del reloj.</w:t>
      </w:r>
    </w:p>
    <w:p w14:paraId="00001E5D"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Orientación de Norte magnético o Norte. - La orientación indicada deberá coincidir con la que conste en el plano de ubicación y el plano de planta; </w:t>
      </w:r>
    </w:p>
    <w:p w14:paraId="00001E5E"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Cuadro de Datos Técnicos. - Consignará los vértices, los lados, distancias especificadas en metros y hasta con dos (2) decimales; así como el ángulo de cada vértice en grados-</w:t>
      </w:r>
      <w:r w:rsidRPr="00285D58">
        <w:rPr>
          <w:rFonts w:asciiTheme="minorHAnsi" w:eastAsia="Calibri" w:hAnsiTheme="minorHAnsi" w:cstheme="minorHAnsi"/>
          <w:color w:val="000000"/>
        </w:rPr>
        <w:lastRenderedPageBreak/>
        <w:t>minutos-segundos; y, los valores de las coordenadas de los vértices Este (X) y Norte (Y) – referidos hasta con tres decimales. En este cuadro deberá aparecer el área del terreno.</w:t>
      </w:r>
    </w:p>
    <w:p w14:paraId="00001E5F"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DATUM, Sistema de Coordenadas, Zona, Escala. - se consignará el DATUM oficial WGS84 y el Sistema de Coordenadas UTM, se colocará la Zona UTM donde se encuentra el predio levantado (17, 18 o 19). </w:t>
      </w:r>
    </w:p>
    <w:p w14:paraId="00001E60"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Poligonal de apoyo topográfico utilizado para el levantamiento. </w:t>
      </w:r>
    </w:p>
    <w:p w14:paraId="00001E61"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Localización. </w:t>
      </w:r>
    </w:p>
    <w:p w14:paraId="00001E62" w14:textId="77777777" w:rsidR="00F664DB" w:rsidRPr="00285D58" w:rsidRDefault="006049C1" w:rsidP="00A3732C">
      <w:pPr>
        <w:widowControl/>
        <w:numPr>
          <w:ilvl w:val="0"/>
          <w:numId w:val="10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poligonal obtenida deberá ser contrastada con los datos técnicos del título de propiedad, con el fin de determinar las posibles diferencias que ameriten un procedimiento de rectificación o la identificación de áreas de terreno adicional. </w:t>
      </w:r>
    </w:p>
    <w:p w14:paraId="00001E63" w14:textId="77777777" w:rsidR="00F664DB" w:rsidRPr="00285D58" w:rsidRDefault="00F664DB" w:rsidP="008D1FFF">
      <w:pPr>
        <w:spacing w:line="276" w:lineRule="auto"/>
        <w:jc w:val="both"/>
        <w:rPr>
          <w:rFonts w:asciiTheme="minorHAnsi" w:eastAsia="Calibri" w:hAnsiTheme="minorHAnsi" w:cstheme="minorHAnsi"/>
        </w:rPr>
      </w:pPr>
    </w:p>
    <w:p w14:paraId="00001E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2.3. PLANO TOPOGRÁFICO </w:t>
      </w:r>
    </w:p>
    <w:p w14:paraId="00001E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Al efectuar el levantamiento topográfico, el número de puntos y estaciones debe ser tal que se obtenga una superficie que represente con precisión la morfología del terreno. En algunos casos por necesidad se deberán indicar más detalles. El plano topográfico contendrá mínimamente lo siguiente: </w:t>
      </w:r>
    </w:p>
    <w:p w14:paraId="00001E66" w14:textId="77777777" w:rsidR="00F664DB" w:rsidRPr="00285D58" w:rsidRDefault="00F664DB" w:rsidP="008D1FFF">
      <w:pPr>
        <w:spacing w:line="276" w:lineRule="auto"/>
        <w:jc w:val="both"/>
        <w:rPr>
          <w:rFonts w:asciiTheme="minorHAnsi" w:eastAsia="Calibri" w:hAnsiTheme="minorHAnsi" w:cstheme="minorHAnsi"/>
        </w:rPr>
      </w:pPr>
    </w:p>
    <w:p w14:paraId="00001E67"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curvas de nivel serán definidas por EL CONCEDENTE y aprobadas por El Supervisor de acuerdo a las necesidades específicas de cada levantamiento (estaciones, trazo del teleférico y vías turísticas). </w:t>
      </w:r>
    </w:p>
    <w:p w14:paraId="00001E68"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puntos de relleno topográfico obligatoriamente se mantendrán en el plano, apareciendo solo la cota de cada uno de ellos y en un formato que no perturbe la visibilidad del resto de los elementos del plano. Estos puntos, se colocarán en una capa independiente para poderlas visualizar o apagar. </w:t>
      </w:r>
    </w:p>
    <w:p w14:paraId="00001E69"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Ubicación y localización exacta de los BM requeridos para el control vertical, los cuales deberán dejarse bien monumentados en el terreno en un lugar y de manera que perdure con la siguiente especificación: resistencia a la compresión del concreto (f’c) = 140 Kg/cm2 de 20x20x40 de profundidad colocándole una plancha de bronce (tipo registro de 4”), en el cual estará indicado el BM. </w:t>
      </w:r>
    </w:p>
    <w:p w14:paraId="00001E6A"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Indicación de los exteriores del terreno, calles perimétricas indicando necesariamente los puntos o cotas exteriores del perímetro o lindero. Se deben presentar las Secciones de Vías proyectadas. </w:t>
      </w:r>
    </w:p>
    <w:p w14:paraId="00001E6B"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Área del terreno, que debe ser compatibilizada con la documentación legal, y área construida por niveles. Se debe indicar los linderos según título de propiedad. </w:t>
      </w:r>
    </w:p>
    <w:p w14:paraId="00001E6C"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Verificar la existencia de redes eléctricas públicas. De existir, indicar si el suministro es trifásico o monofásico, debiendo indicar el tipo de acometida (aérea o subterránea) y la ubicación de medidores de energía existentes. Verificar el número de suministro, la potencia contratada, etc., asimismo, de existir, indicar la presencia de grupo de postes existentes, así como de subestación eléctrica. En algunas localidades en que los municipios generan y distribuyen la electricidad, se debe indicar el tipo de la generación, que puede ser por mini-centrales hidroeléctricas o por Grupos Electrógenos. El resultado de la verificación deberá ser plasmada en un plano.</w:t>
      </w:r>
    </w:p>
    <w:p w14:paraId="00001E6D"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Verificar si existen o no redes públicas de desagüe y agua potable, comentando si se encuentran operativas e indicar quien es la entidad o empresa a cargo del servicio de agua potable y desagüe. Asimismo, si es que existieran, se debe indicar la cota de tapa, cota de fondo, profundidad y enumerar los buzones que se ubican en las vías públicas colindantes al predio. El resultado de la verificación deberá ser plasmada en un plano</w:t>
      </w:r>
    </w:p>
    <w:p w14:paraId="00001E6E" w14:textId="77777777" w:rsidR="00F664DB" w:rsidRPr="00285D58" w:rsidRDefault="006049C1" w:rsidP="00A3732C">
      <w:pPr>
        <w:widowControl/>
        <w:numPr>
          <w:ilvl w:val="0"/>
          <w:numId w:val="9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 respecto a los terrenos y construcciones vecinas, el CONCESIONARIO debe indicar con precisión las curvas de nivel y niveles de los terrenos colindantes, como mínimo 3.00 m. más allá de los linderos existentes y en el caso de calles, en todo su ancho. De existir construcciones vecinas, señalar el tipo de construcción, materiales, alturas y datos de la cimentación. </w:t>
      </w:r>
    </w:p>
    <w:p w14:paraId="00001E6F" w14:textId="77777777" w:rsidR="00F664DB" w:rsidRPr="00285D58" w:rsidRDefault="00F664DB" w:rsidP="008D1FFF">
      <w:pPr>
        <w:spacing w:line="276" w:lineRule="auto"/>
        <w:jc w:val="both"/>
        <w:rPr>
          <w:rFonts w:asciiTheme="minorHAnsi" w:eastAsia="Calibri" w:hAnsiTheme="minorHAnsi" w:cstheme="minorHAnsi"/>
        </w:rPr>
      </w:pPr>
    </w:p>
    <w:p w14:paraId="00001E7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2.4. PLANO DE PERFILES Y SECCIONES TRANSVERSALES </w:t>
      </w:r>
    </w:p>
    <w:p w14:paraId="00001E71" w14:textId="77777777" w:rsidR="00F664DB" w:rsidRPr="00285D58" w:rsidRDefault="00F664DB" w:rsidP="008D1FFF">
      <w:pPr>
        <w:spacing w:line="276" w:lineRule="auto"/>
        <w:jc w:val="both"/>
        <w:rPr>
          <w:rFonts w:asciiTheme="minorHAnsi" w:eastAsia="Calibri" w:hAnsiTheme="minorHAnsi" w:cstheme="minorHAnsi"/>
        </w:rPr>
      </w:pPr>
    </w:p>
    <w:p w14:paraId="00001E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deberán presentar, como mínimo, tres cortes longitudinales que atraviesen el terreno incluyendo el ancho de las calles colindantes y tres cortes transversales con las mismas características. Este plano contendrá lo siguiente: </w:t>
      </w:r>
    </w:p>
    <w:p w14:paraId="00001E73" w14:textId="77777777" w:rsidR="00F664DB" w:rsidRPr="00285D58" w:rsidRDefault="00F664DB" w:rsidP="008D1FFF">
      <w:pPr>
        <w:spacing w:line="276" w:lineRule="auto"/>
        <w:jc w:val="both"/>
        <w:rPr>
          <w:rFonts w:asciiTheme="minorHAnsi" w:eastAsia="Calibri" w:hAnsiTheme="minorHAnsi" w:cstheme="minorHAnsi"/>
        </w:rPr>
      </w:pPr>
    </w:p>
    <w:p w14:paraId="00001E74"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Perfil longitudinal de los cortes longitudinales y transversales obligatorios, mostrando la cota de terreno a cada 10 m. Se indicará en dichos perfiles la ubicación de los límites de propiedad del predio. En caso de limitar con construcciones vecinas, se debe indicar en lo posible, los niveles y cotas en estas, el número de pisos y el material de construcción utilizado.</w:t>
      </w:r>
    </w:p>
    <w:p w14:paraId="00001E75"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Perfil longitudinal de todo el perímetro del predio iniciando en el punto 1 del perímetro y en sentido de las agujas de reloj, mostrando la cota de terreno a cada 10 m. </w:t>
      </w:r>
    </w:p>
    <w:p w14:paraId="00001E76"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Secciones transversales del perímetro a cada 10m de espaciamiento y en un ancho que abarque 10 m. a cada lado de la poligonal perimétrica.</w:t>
      </w:r>
    </w:p>
    <w:p w14:paraId="00001E77" w14:textId="77777777" w:rsidR="00F664DB" w:rsidRPr="00285D58" w:rsidRDefault="006049C1" w:rsidP="00A3732C">
      <w:pPr>
        <w:widowControl/>
        <w:numPr>
          <w:ilvl w:val="0"/>
          <w:numId w:val="10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Perfiles longitudinales de todas las calles adyacentes, indicando si existiese, la ubicación de los buzones existentes su cota de tapa y cota de fondo. </w:t>
      </w:r>
    </w:p>
    <w:p w14:paraId="00001E78"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79"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65" w:name="_heading=h.33ipx8d" w:colFirst="0" w:colLast="0"/>
      <w:bookmarkEnd w:id="165"/>
      <w:r w:rsidRPr="00285D58">
        <w:rPr>
          <w:rFonts w:asciiTheme="minorHAnsi" w:eastAsia="Calibri" w:hAnsiTheme="minorHAnsi" w:cstheme="minorHAnsi"/>
          <w:b/>
        </w:rPr>
        <w:t xml:space="preserve">3.    PRESENTACIÓN DE LA MEMORIA DESCRIPTIVA </w:t>
      </w:r>
    </w:p>
    <w:p w14:paraId="00001E7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contenido de la memoria descriptiva presentada por el CONCESIONARIO deberá contemplar lo siguiente: </w:t>
      </w:r>
    </w:p>
    <w:p w14:paraId="00001E7C"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del procedimiento topográfico utilizado, tanto en campo como en gabinete, así como memorias de cálculo de la poligonal de apoyo y de los circuitos de nivelación,</w:t>
      </w:r>
    </w:p>
    <w:p w14:paraId="00001E7D"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Indicar los linderos colindantes, área y perímetro del terreno. </w:t>
      </w:r>
    </w:p>
    <w:p w14:paraId="00001E7E"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Anexar vistas fotográficas como mínimo incluyendo panorámicas que sustente: </w:t>
      </w:r>
    </w:p>
    <w:p w14:paraId="00001E7F"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Entorno urbano, calles, accesos, etc. </w:t>
      </w:r>
    </w:p>
    <w:p w14:paraId="00001E80" w14:textId="77777777" w:rsidR="00F664DB" w:rsidRPr="00BB5F42"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lang w:val="pt-BR"/>
        </w:rPr>
      </w:pPr>
      <w:r w:rsidRPr="00BB5F42">
        <w:rPr>
          <w:rFonts w:asciiTheme="minorHAnsi" w:eastAsia="Calibri" w:hAnsiTheme="minorHAnsi" w:cstheme="minorHAnsi"/>
          <w:color w:val="000000"/>
          <w:lang w:val="pt-BR"/>
        </w:rPr>
        <w:t xml:space="preserve">Entorno rural, quebradas, ríos, etc. </w:t>
      </w:r>
    </w:p>
    <w:p w14:paraId="00001E81"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levantamiento topográfico, profesional responsable y personal realizando las labores topográficas. </w:t>
      </w:r>
    </w:p>
    <w:p w14:paraId="00001E82"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Configuración del terreno (curvas de nivel, cambios de nivel, etc.)</w:t>
      </w:r>
    </w:p>
    <w:p w14:paraId="00001E83" w14:textId="77777777" w:rsidR="00F664DB" w:rsidRPr="00285D58" w:rsidRDefault="006049C1" w:rsidP="00A3732C">
      <w:pPr>
        <w:widowControl/>
        <w:numPr>
          <w:ilvl w:val="1"/>
          <w:numId w:val="111"/>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Hitos monumentados, pintados y enumerados de la poligonal de apoyo, BMs y poligonal perimétrica. </w:t>
      </w:r>
    </w:p>
    <w:p w14:paraId="00001E84"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Fichas técnicas, de acuerdo con los formatos predefinidos por el Supervisor, selladas por el profesional responsable. </w:t>
      </w:r>
    </w:p>
    <w:p w14:paraId="00001E85"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Verificación de la existencia de redes eléctricas públicas. De existir, indicar si el suministro es trifásico o monofásico, debiendo indicar el tipo de acometida (aérea o subterránea) y la ubicación del medidor de energía existente, así como el número de suministro, la potencia contratada, etc., y, de existir, la presencia de grupo de subestación eléctrica. En caso las redes eléctricas sean gestionadas por municipios o gobiernos locales, se debe indicar la fuente de generación energética, como mini centrales hidroeléctricas o grupos electrógenos. </w:t>
      </w:r>
    </w:p>
    <w:p w14:paraId="00001E86"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caso de no existir servicio de agua potable público, indicar si existe otra fuente de agua potable. </w:t>
      </w:r>
    </w:p>
    <w:p w14:paraId="00001E87" w14:textId="77777777" w:rsidR="00F664DB" w:rsidRPr="00285D58" w:rsidRDefault="006049C1" w:rsidP="00A3732C">
      <w:pPr>
        <w:widowControl/>
        <w:numPr>
          <w:ilvl w:val="0"/>
          <w:numId w:val="1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 existir, Breve descripción sobre el Estado de Conservación de las redes sanitarias, eléctricas y drenajes existentes, con su respectivo panel fotográfico. </w:t>
      </w:r>
    </w:p>
    <w:p w14:paraId="00001E89" w14:textId="77777777" w:rsidR="00F664DB" w:rsidRPr="00285D58" w:rsidRDefault="00F664DB" w:rsidP="008D1FFF">
      <w:pPr>
        <w:pBdr>
          <w:top w:val="nil"/>
          <w:left w:val="nil"/>
          <w:bottom w:val="nil"/>
          <w:right w:val="nil"/>
          <w:between w:val="nil"/>
        </w:pBdr>
        <w:spacing w:line="276" w:lineRule="auto"/>
        <w:ind w:left="927"/>
        <w:jc w:val="both"/>
        <w:rPr>
          <w:rFonts w:asciiTheme="minorHAnsi" w:eastAsia="Calibri" w:hAnsiTheme="minorHAnsi" w:cstheme="minorHAnsi"/>
          <w:color w:val="000000"/>
        </w:rPr>
      </w:pPr>
    </w:p>
    <w:p w14:paraId="00001E8A" w14:textId="77777777" w:rsidR="00F664DB" w:rsidRPr="00285D58" w:rsidRDefault="006049C1" w:rsidP="00A3732C">
      <w:pPr>
        <w:widowControl/>
        <w:numPr>
          <w:ilvl w:val="3"/>
          <w:numId w:val="111"/>
        </w:numPr>
        <w:pBdr>
          <w:top w:val="nil"/>
          <w:left w:val="nil"/>
          <w:bottom w:val="nil"/>
          <w:right w:val="nil"/>
          <w:between w:val="nil"/>
        </w:pBdr>
        <w:spacing w:before="60" w:after="60" w:line="276" w:lineRule="auto"/>
        <w:ind w:left="1560"/>
        <w:jc w:val="both"/>
        <w:rPr>
          <w:rFonts w:asciiTheme="minorHAnsi" w:eastAsia="Calibri" w:hAnsiTheme="minorHAnsi" w:cstheme="minorHAnsi"/>
          <w:b/>
          <w:color w:val="000000"/>
        </w:rPr>
      </w:pPr>
      <w:r w:rsidRPr="00285D58">
        <w:rPr>
          <w:rFonts w:asciiTheme="minorHAnsi" w:eastAsia="Calibri" w:hAnsiTheme="minorHAnsi" w:cstheme="minorHAnsi"/>
          <w:b/>
          <w:color w:val="000000"/>
        </w:rPr>
        <w:t xml:space="preserve">ESCALA DE PLANOS </w:t>
      </w:r>
    </w:p>
    <w:p w14:paraId="00001E8B" w14:textId="77777777" w:rsidR="00F664DB" w:rsidRPr="00285D58" w:rsidRDefault="00F664DB" w:rsidP="008D1FFF">
      <w:pPr>
        <w:widowControl/>
        <w:pBdr>
          <w:top w:val="nil"/>
          <w:left w:val="nil"/>
          <w:bottom w:val="nil"/>
          <w:right w:val="nil"/>
          <w:between w:val="nil"/>
        </w:pBdr>
        <w:spacing w:before="60" w:after="60" w:line="276" w:lineRule="auto"/>
        <w:ind w:left="1560" w:hanging="283"/>
        <w:jc w:val="both"/>
        <w:rPr>
          <w:rFonts w:asciiTheme="minorHAnsi" w:eastAsia="Calibri" w:hAnsiTheme="minorHAnsi" w:cstheme="minorHAnsi"/>
          <w:b/>
          <w:color w:val="000000"/>
        </w:rPr>
      </w:pPr>
    </w:p>
    <w:p w14:paraId="00001E8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escala para utilizar será la siguiente: </w:t>
      </w:r>
    </w:p>
    <w:p w14:paraId="00001E8D"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topográfico y replanteo:  Esc. 1/200</w:t>
      </w:r>
    </w:p>
    <w:p w14:paraId="00001E8E"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localización: Esc. 1/1000 o 1/10000</w:t>
      </w:r>
    </w:p>
    <w:p w14:paraId="00001E8F"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Perimétrico: Esc. 1/500 o 1/2000 </w:t>
      </w:r>
    </w:p>
    <w:p w14:paraId="00001E90" w14:textId="77777777" w:rsidR="00F664DB" w:rsidRPr="00285D58" w:rsidRDefault="006049C1" w:rsidP="00A3732C">
      <w:pPr>
        <w:widowControl/>
        <w:numPr>
          <w:ilvl w:val="0"/>
          <w:numId w:val="11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Ubicación: Esc.1/1000 o 1/5000</w:t>
      </w:r>
    </w:p>
    <w:p w14:paraId="00001E91" w14:textId="77777777" w:rsidR="00F664DB" w:rsidRPr="00285D58" w:rsidRDefault="00F664DB" w:rsidP="008D1FFF">
      <w:pPr>
        <w:spacing w:line="276" w:lineRule="auto"/>
        <w:jc w:val="both"/>
        <w:rPr>
          <w:rFonts w:asciiTheme="minorHAnsi" w:eastAsia="Calibri" w:hAnsiTheme="minorHAnsi" w:cstheme="minorHAnsi"/>
          <w:b/>
          <w:smallCaps/>
        </w:rPr>
      </w:pPr>
    </w:p>
    <w:p w14:paraId="00001E92" w14:textId="77777777" w:rsidR="00F664DB" w:rsidRPr="00285D58" w:rsidRDefault="00F664DB" w:rsidP="008D1FFF">
      <w:pPr>
        <w:spacing w:line="276" w:lineRule="auto"/>
        <w:jc w:val="both"/>
        <w:rPr>
          <w:rFonts w:asciiTheme="minorHAnsi" w:eastAsia="Calibri" w:hAnsiTheme="minorHAnsi" w:cstheme="minorHAnsi"/>
          <w:b/>
          <w:smallCaps/>
        </w:rPr>
      </w:pPr>
    </w:p>
    <w:p w14:paraId="00001E93" w14:textId="77777777" w:rsidR="00F664DB" w:rsidRPr="00285D58" w:rsidRDefault="00F664DB" w:rsidP="008D1FFF">
      <w:pPr>
        <w:spacing w:line="276" w:lineRule="auto"/>
        <w:jc w:val="both"/>
        <w:rPr>
          <w:rFonts w:asciiTheme="minorHAnsi" w:eastAsia="Calibri" w:hAnsiTheme="minorHAnsi" w:cstheme="minorHAnsi"/>
          <w:b/>
          <w:smallCaps/>
        </w:rPr>
      </w:pPr>
    </w:p>
    <w:p w14:paraId="00001E94" w14:textId="77777777" w:rsidR="00F664DB" w:rsidRPr="00285D58" w:rsidRDefault="00F664DB" w:rsidP="008D1FFF">
      <w:pPr>
        <w:spacing w:line="276" w:lineRule="auto"/>
        <w:jc w:val="both"/>
        <w:rPr>
          <w:rFonts w:asciiTheme="minorHAnsi" w:eastAsia="Calibri" w:hAnsiTheme="minorHAnsi" w:cstheme="minorHAnsi"/>
          <w:b/>
          <w:smallCaps/>
        </w:rPr>
      </w:pPr>
    </w:p>
    <w:p w14:paraId="00001E95" w14:textId="77777777" w:rsidR="00F664DB" w:rsidRPr="00285D58" w:rsidRDefault="00F664DB" w:rsidP="008D1FFF">
      <w:pPr>
        <w:spacing w:line="276" w:lineRule="auto"/>
        <w:jc w:val="both"/>
        <w:rPr>
          <w:rFonts w:asciiTheme="minorHAnsi" w:eastAsia="Calibri" w:hAnsiTheme="minorHAnsi" w:cstheme="minorHAnsi"/>
          <w:b/>
          <w:smallCaps/>
        </w:rPr>
      </w:pPr>
    </w:p>
    <w:p w14:paraId="00001E96" w14:textId="77777777" w:rsidR="00F664DB" w:rsidRPr="00285D58" w:rsidRDefault="00F664DB" w:rsidP="008D1FFF">
      <w:pPr>
        <w:spacing w:line="276" w:lineRule="auto"/>
        <w:jc w:val="both"/>
        <w:rPr>
          <w:rFonts w:asciiTheme="minorHAnsi" w:eastAsia="Calibri" w:hAnsiTheme="minorHAnsi" w:cstheme="minorHAnsi"/>
          <w:b/>
          <w:smallCaps/>
        </w:rPr>
      </w:pPr>
    </w:p>
    <w:p w14:paraId="00001E97" w14:textId="77777777" w:rsidR="00F664DB" w:rsidRPr="00285D58" w:rsidRDefault="00F664DB" w:rsidP="008D1FFF">
      <w:pPr>
        <w:spacing w:line="276" w:lineRule="auto"/>
        <w:jc w:val="both"/>
        <w:rPr>
          <w:rFonts w:asciiTheme="minorHAnsi" w:eastAsia="Calibri" w:hAnsiTheme="minorHAnsi" w:cstheme="minorHAnsi"/>
          <w:b/>
          <w:smallCaps/>
        </w:rPr>
      </w:pPr>
    </w:p>
    <w:p w14:paraId="00001E98" w14:textId="77777777" w:rsidR="00F664DB" w:rsidRPr="00285D58" w:rsidRDefault="00F664DB" w:rsidP="008D1FFF">
      <w:pPr>
        <w:spacing w:line="276" w:lineRule="auto"/>
        <w:jc w:val="both"/>
        <w:rPr>
          <w:rFonts w:asciiTheme="minorHAnsi" w:eastAsia="Calibri" w:hAnsiTheme="minorHAnsi" w:cstheme="minorHAnsi"/>
          <w:b/>
          <w:smallCaps/>
        </w:rPr>
      </w:pPr>
    </w:p>
    <w:p w14:paraId="00001EAF" w14:textId="6A437542"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66" w:name="_heading=h.3j2qqm3" w:colFirst="0" w:colLast="0"/>
      <w:bookmarkStart w:id="167" w:name="_Toc193979283"/>
      <w:bookmarkEnd w:id="166"/>
      <w:r w:rsidRPr="00285D58">
        <w:rPr>
          <w:rFonts w:asciiTheme="minorHAnsi" w:eastAsia="Calibri" w:hAnsiTheme="minorHAnsi" w:cstheme="minorHAnsi"/>
          <w:b/>
          <w:color w:val="1F4E79"/>
          <w:sz w:val="22"/>
          <w:szCs w:val="22"/>
        </w:rPr>
        <w:t>ANEXO 08 - APÉNDICE 5 – CONTENIDO PARA LA ELABORACIÓN DEL ESTUDIO DE MECÁNICA DE SUELOS PARA LAS ESTACIONES Y CIMENTACIONES DEL TELEFERICO</w:t>
      </w:r>
      <w:bookmarkEnd w:id="167"/>
    </w:p>
    <w:p w14:paraId="00001EB0" w14:textId="77777777" w:rsidR="00F664DB" w:rsidRPr="00285D58" w:rsidRDefault="00F664DB" w:rsidP="008D1FFF">
      <w:pPr>
        <w:spacing w:line="276" w:lineRule="auto"/>
        <w:jc w:val="both"/>
        <w:rPr>
          <w:rFonts w:asciiTheme="minorHAnsi" w:eastAsia="Calibri" w:hAnsiTheme="minorHAnsi" w:cstheme="minorHAnsi"/>
        </w:rPr>
      </w:pPr>
    </w:p>
    <w:p w14:paraId="00001EB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llevará a cabo el estudio de mecánica de suelos bajo su propia responsabilidad y de acuerdo con la metodología que establezca para el desarrollo de los estudios y de acuerdo con las Leyes y Disposiciones Aplicables, quedando a su discreción la incorporación de parámetros distintos y complementarios a los referidos en el presente Apéndice, los cuales deberán considerarse sólo como referencia y de contenido mínimo. Los parámetros referidos en el presente documento no eximirán al CONCESIONARIO de su responsabilidad en el diseño de la infraestructura </w:t>
      </w:r>
      <w:r w:rsidRPr="00285D58">
        <w:rPr>
          <w:rFonts w:asciiTheme="minorHAnsi" w:eastAsia="Calibri" w:hAnsiTheme="minorHAnsi" w:cstheme="minorHAnsi"/>
        </w:rPr>
        <w:lastRenderedPageBreak/>
        <w:t xml:space="preserve">del Proyecto, de manera que se cumplan los objetivos del Proyecto, así como las Leyes y Disposiciones Aplicable. El estudio deberá contener como mínimo: </w:t>
      </w:r>
    </w:p>
    <w:p w14:paraId="00001EB2" w14:textId="77777777" w:rsidR="00F664DB" w:rsidRPr="00285D58" w:rsidRDefault="00F664DB" w:rsidP="008D1FFF">
      <w:pPr>
        <w:spacing w:line="276" w:lineRule="auto"/>
        <w:jc w:val="both"/>
        <w:rPr>
          <w:rFonts w:asciiTheme="minorHAnsi" w:eastAsia="Calibri" w:hAnsiTheme="minorHAnsi" w:cstheme="minorHAnsi"/>
        </w:rPr>
      </w:pPr>
    </w:p>
    <w:p w14:paraId="00001EB3"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68" w:name="_heading=h.1io07g6" w:colFirst="0" w:colLast="0"/>
      <w:bookmarkEnd w:id="168"/>
      <w:r w:rsidRPr="00285D58">
        <w:rPr>
          <w:rFonts w:asciiTheme="minorHAnsi" w:eastAsia="Calibri" w:hAnsiTheme="minorHAnsi" w:cstheme="minorHAnsi"/>
          <w:b/>
        </w:rPr>
        <w:t xml:space="preserve">GENERALIDADES </w:t>
      </w:r>
    </w:p>
    <w:p w14:paraId="00001EB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 OBJETO</w:t>
      </w:r>
    </w:p>
    <w:p w14:paraId="00001EB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Ejecución del estudio de mecánica de suelos con fines de determinar o sustentar las características de los sistemas de cimentación para los componentes del Proyecto. </w:t>
      </w:r>
    </w:p>
    <w:p w14:paraId="00001EB6" w14:textId="77777777" w:rsidR="00F664DB" w:rsidRPr="00285D58" w:rsidRDefault="00F664DB" w:rsidP="008D1FFF">
      <w:pPr>
        <w:spacing w:line="276" w:lineRule="auto"/>
        <w:jc w:val="both"/>
        <w:rPr>
          <w:rFonts w:asciiTheme="minorHAnsi" w:eastAsia="Calibri" w:hAnsiTheme="minorHAnsi" w:cstheme="minorHAnsi"/>
        </w:rPr>
      </w:pPr>
    </w:p>
    <w:p w14:paraId="00001EB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estudio de suelos contemplará alternativas de análisis de capacidad admisible del suelo de fundación para cimentaciones apropiadas para los componentes del Proyecto.</w:t>
      </w:r>
    </w:p>
    <w:p w14:paraId="00001EB8" w14:textId="77777777" w:rsidR="00F664DB" w:rsidRPr="00285D58" w:rsidRDefault="00F664DB" w:rsidP="008D1FFF">
      <w:pPr>
        <w:spacing w:line="276" w:lineRule="auto"/>
        <w:jc w:val="both"/>
        <w:rPr>
          <w:rFonts w:asciiTheme="minorHAnsi" w:eastAsia="Calibri" w:hAnsiTheme="minorHAnsi" w:cstheme="minorHAnsi"/>
        </w:rPr>
      </w:pPr>
    </w:p>
    <w:p w14:paraId="00001EB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1.2. NORMATIVIDAD</w:t>
      </w:r>
    </w:p>
    <w:p w14:paraId="00001EB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considerar las Leyes y Disposiciones Aplicables para el cumplimiento de sus obligaciones. Los estudios de suelos deberán realizarse de acuerdo con dichas Leyes y Disposiciones Aplicables, y considerando las normas técnicas respectivas.</w:t>
      </w:r>
    </w:p>
    <w:p w14:paraId="00001EBB" w14:textId="77777777" w:rsidR="00F664DB" w:rsidRPr="00285D58" w:rsidRDefault="00F664DB" w:rsidP="008D1FFF">
      <w:pPr>
        <w:spacing w:line="276" w:lineRule="auto"/>
        <w:jc w:val="both"/>
        <w:rPr>
          <w:rFonts w:asciiTheme="minorHAnsi" w:eastAsia="Calibri" w:hAnsiTheme="minorHAnsi" w:cstheme="minorHAnsi"/>
        </w:rPr>
      </w:pPr>
    </w:p>
    <w:p w14:paraId="00001EB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 UBICACIÓN Y DESCRIPCIÓN DEL ÁREA EN ESTUDIO </w:t>
      </w:r>
    </w:p>
    <w:p w14:paraId="00001EBD" w14:textId="77777777" w:rsidR="00F664DB" w:rsidRPr="00285D58" w:rsidRDefault="006049C1" w:rsidP="00A3732C">
      <w:pPr>
        <w:widowControl/>
        <w:numPr>
          <w:ilvl w:val="0"/>
          <w:numId w:val="1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Área en estudio, conforme a los predios referidos en el Anexo 02. </w:t>
      </w:r>
    </w:p>
    <w:p w14:paraId="00001EBE" w14:textId="77777777" w:rsidR="00F664DB" w:rsidRPr="00285D58" w:rsidRDefault="006049C1" w:rsidP="00A3732C">
      <w:pPr>
        <w:widowControl/>
        <w:numPr>
          <w:ilvl w:val="0"/>
          <w:numId w:val="1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Adjuntar mapa de la zona y plano de ubicación en el mismo informe de EMS. georreferenciado en coordenadas UTM en el sistema WGS84 y zona correspondiente. </w:t>
      </w:r>
    </w:p>
    <w:p w14:paraId="00001EBF" w14:textId="77777777" w:rsidR="00F664DB" w:rsidRPr="00285D58" w:rsidRDefault="00F664DB" w:rsidP="008D1FFF">
      <w:pPr>
        <w:spacing w:line="276" w:lineRule="auto"/>
        <w:jc w:val="both"/>
        <w:rPr>
          <w:rFonts w:asciiTheme="minorHAnsi" w:eastAsia="Calibri" w:hAnsiTheme="minorHAnsi" w:cstheme="minorHAnsi"/>
        </w:rPr>
      </w:pPr>
    </w:p>
    <w:p w14:paraId="00001EC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1.4. DATOS GENERALES DE LA ZONA</w:t>
      </w:r>
    </w:p>
    <w:p w14:paraId="00001E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anotar, si se conoce la información, los usos anteriores del terreno (cultivo, cantera, relleno sanitario, zona de depósito de desmonte, etc.). </w:t>
      </w:r>
    </w:p>
    <w:p w14:paraId="00001EC2" w14:textId="77777777" w:rsidR="00F664DB" w:rsidRPr="00285D58" w:rsidRDefault="00F664DB" w:rsidP="008D1FFF">
      <w:pPr>
        <w:spacing w:line="276" w:lineRule="auto"/>
        <w:jc w:val="both"/>
        <w:rPr>
          <w:rFonts w:asciiTheme="minorHAnsi" w:eastAsia="Calibri" w:hAnsiTheme="minorHAnsi" w:cstheme="minorHAnsi"/>
        </w:rPr>
      </w:pPr>
    </w:p>
    <w:p w14:paraId="00001EC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1.5. ACCESO AL ÁREA DE ESTUDIO </w:t>
      </w:r>
    </w:p>
    <w:p w14:paraId="00001EC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describir el acceso al área de estudio y los medios de transporte existentes en la zona, así como el tiempo aproximado de llegada al lugar de las principales localidades cercanas. </w:t>
      </w:r>
    </w:p>
    <w:p w14:paraId="00001EC5" w14:textId="77777777" w:rsidR="00F664DB" w:rsidRPr="00285D58" w:rsidRDefault="00F664DB" w:rsidP="008D1FFF">
      <w:pPr>
        <w:spacing w:line="276" w:lineRule="auto"/>
        <w:jc w:val="both"/>
        <w:rPr>
          <w:rFonts w:asciiTheme="minorHAnsi" w:eastAsia="Calibri" w:hAnsiTheme="minorHAnsi" w:cstheme="minorHAnsi"/>
        </w:rPr>
      </w:pPr>
    </w:p>
    <w:p w14:paraId="00001EC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1.6. METODOLOGÍA </w:t>
      </w:r>
    </w:p>
    <w:p w14:paraId="00001E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describir la metodología a implementar para el desarrollo de los estudios, teniendo en cuenta el cumplimiento de las Leyes y Disposiciones Aplicables.</w:t>
      </w:r>
    </w:p>
    <w:p w14:paraId="00001EC8" w14:textId="77777777" w:rsidR="00F664DB" w:rsidRPr="00285D58" w:rsidRDefault="00F664DB" w:rsidP="008D1FFF">
      <w:pPr>
        <w:spacing w:line="276" w:lineRule="auto"/>
        <w:jc w:val="both"/>
        <w:rPr>
          <w:rFonts w:asciiTheme="minorHAnsi" w:eastAsia="Calibri" w:hAnsiTheme="minorHAnsi" w:cstheme="minorHAnsi"/>
        </w:rPr>
      </w:pPr>
    </w:p>
    <w:p w14:paraId="00001EC9"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69" w:name="_heading=h.42nnq3z" w:colFirst="0" w:colLast="0"/>
      <w:bookmarkEnd w:id="169"/>
      <w:r w:rsidRPr="00285D58">
        <w:rPr>
          <w:rFonts w:asciiTheme="minorHAnsi" w:eastAsia="Calibri" w:hAnsiTheme="minorHAnsi" w:cstheme="minorHAnsi"/>
          <w:b/>
        </w:rPr>
        <w:t xml:space="preserve">GEOLOGÍA Y SISMICIDAD DEL ÁREA EN ESTUDIO </w:t>
      </w:r>
    </w:p>
    <w:p w14:paraId="00001EC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2.1. GEOLOGÍA </w:t>
      </w:r>
    </w:p>
    <w:p w14:paraId="00001EC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componente de geología y sismicidad contendrá:</w:t>
      </w:r>
    </w:p>
    <w:p w14:paraId="00001ECC" w14:textId="77777777" w:rsidR="00F664DB" w:rsidRPr="00285D58" w:rsidRDefault="006049C1" w:rsidP="00A3732C">
      <w:pPr>
        <w:widowControl/>
        <w:numPr>
          <w:ilvl w:val="0"/>
          <w:numId w:val="1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Descripción de los principales aspectos geológicos, incluyendo una figura que localice el proyecto a ejecutar en el mapa geológico correspondiente (cartas geológicas de INGEMMET). </w:t>
      </w:r>
    </w:p>
    <w:p w14:paraId="00001ECD" w14:textId="77777777" w:rsidR="00F664DB" w:rsidRPr="00285D58" w:rsidRDefault="006049C1" w:rsidP="00A3732C">
      <w:pPr>
        <w:widowControl/>
        <w:numPr>
          <w:ilvl w:val="0"/>
          <w:numId w:val="1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Aspectos de geodinámica interna y externa que pudieran afectar los trabajos a ejecutar.</w:t>
      </w:r>
    </w:p>
    <w:p w14:paraId="00001ECE" w14:textId="77777777" w:rsidR="00F664DB" w:rsidRPr="00285D58" w:rsidRDefault="00F664DB" w:rsidP="008D1FFF">
      <w:pPr>
        <w:spacing w:line="276" w:lineRule="auto"/>
        <w:jc w:val="both"/>
        <w:rPr>
          <w:rFonts w:asciiTheme="minorHAnsi" w:eastAsia="Calibri" w:hAnsiTheme="minorHAnsi" w:cstheme="minorHAnsi"/>
        </w:rPr>
      </w:pPr>
    </w:p>
    <w:p w14:paraId="00001EC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2.2. SISMICIDAD</w:t>
      </w:r>
    </w:p>
    <w:p w14:paraId="00001ED0"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Apoyarse de mapas de microzonificación sísmica o de zonificación geotécnica publicadas por las Autoridades Gubernamentales Competentes. </w:t>
      </w:r>
    </w:p>
    <w:p w14:paraId="00001ED1"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Adjuntar mapa de zonificación sísmica (conforme a las Leyes y Disposiciones Aplicables sobre diseño sismorresistente). En caso existan fallas geológicas cuaternarias a menos de cuarenta (40) km, que hayan sido reportadas en el Mapa de Fallas Geológicas Cuaternarias del Perú aprobado por la Autoridad Gubernamental Competente, el estudio deberá analizar dicho peligro geológico y recomendar las consideraciones necesarias respecto a su peligrosidad sísmica. </w:t>
      </w:r>
    </w:p>
    <w:p w14:paraId="00001ED2" w14:textId="77777777" w:rsidR="00F664DB" w:rsidRPr="00285D58" w:rsidRDefault="006049C1" w:rsidP="00A3732C">
      <w:pPr>
        <w:widowControl/>
        <w:numPr>
          <w:ilvl w:val="0"/>
          <w:numId w:val="11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describirá y definirán los parámetros sísmicos (Z, U, TP (s), TL (s), S, C). Se incluirá la gráfica del espectro de diseño genérico específico de la zona de estudio. </w:t>
      </w:r>
    </w:p>
    <w:p w14:paraId="00001ED3" w14:textId="77777777" w:rsidR="00F664DB" w:rsidRPr="00285D58" w:rsidRDefault="00F664DB" w:rsidP="008D1FFF">
      <w:pPr>
        <w:spacing w:line="276" w:lineRule="auto"/>
        <w:jc w:val="both"/>
        <w:rPr>
          <w:rFonts w:asciiTheme="minorHAnsi" w:eastAsia="Calibri" w:hAnsiTheme="minorHAnsi" w:cstheme="minorHAnsi"/>
        </w:rPr>
      </w:pPr>
    </w:p>
    <w:p w14:paraId="00001E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recomienda que el componente de sismicidad incluya los aspectos de microzonificación sísmica definiendo los parámetros de diseño a tener en cuenta.</w:t>
      </w:r>
    </w:p>
    <w:p w14:paraId="00001ED5" w14:textId="77777777" w:rsidR="00F664DB" w:rsidRPr="00285D58" w:rsidRDefault="00F664DB" w:rsidP="008D1FFF">
      <w:pPr>
        <w:spacing w:line="276" w:lineRule="auto"/>
        <w:jc w:val="both"/>
        <w:rPr>
          <w:rFonts w:asciiTheme="minorHAnsi" w:eastAsia="Calibri" w:hAnsiTheme="minorHAnsi" w:cstheme="minorHAnsi"/>
        </w:rPr>
      </w:pPr>
    </w:p>
    <w:p w14:paraId="00001ED6"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0" w:name="_heading=h.2hsy0bs" w:colFirst="0" w:colLast="0"/>
      <w:bookmarkEnd w:id="170"/>
      <w:r w:rsidRPr="00285D58">
        <w:rPr>
          <w:rFonts w:asciiTheme="minorHAnsi" w:eastAsia="Calibri" w:hAnsiTheme="minorHAnsi" w:cstheme="minorHAnsi"/>
          <w:b/>
        </w:rPr>
        <w:t xml:space="preserve">INVESTIGACIÓN DE CAMPO </w:t>
      </w:r>
    </w:p>
    <w:p w14:paraId="00001ED7"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 las características de la investigación realizada,</w:t>
      </w:r>
    </w:p>
    <w:p w14:paraId="00001ED8"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Indicar el tipo de exploración realizada (calicata, perforaciones, SPT, DPL, etc.), la cantidad y aplicación del tipo de ensayo debe estar en el marco de las Leyes y Disposiciones Aplicables sobre suelos y cimentaciones. </w:t>
      </w:r>
    </w:p>
    <w:p w14:paraId="00001ED9" w14:textId="77777777" w:rsidR="00F664DB" w:rsidRPr="00285D58" w:rsidRDefault="006049C1" w:rsidP="00A3732C">
      <w:pPr>
        <w:widowControl/>
        <w:numPr>
          <w:ilvl w:val="0"/>
          <w:numId w:val="11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Presentar un resumen de los trabajos efectuados de campo, acompañadas de vistas fotográficas, donde se muestren los estratos encontrados y los sondajes realizados. </w:t>
      </w:r>
    </w:p>
    <w:p w14:paraId="00001EDA" w14:textId="77777777" w:rsidR="00F664DB" w:rsidRPr="00285D58" w:rsidRDefault="00F664DB" w:rsidP="008D1FFF">
      <w:pPr>
        <w:spacing w:line="276" w:lineRule="auto"/>
        <w:jc w:val="both"/>
        <w:rPr>
          <w:rFonts w:asciiTheme="minorHAnsi" w:eastAsia="Calibri" w:hAnsiTheme="minorHAnsi" w:cstheme="minorHAnsi"/>
        </w:rPr>
      </w:pPr>
    </w:p>
    <w:p w14:paraId="00001E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encontrar suelos arenosos o en los que geológicamente la zona de interés esté influenciada por depósitos de arenas y que, a su vez, se encuentren niveles freáticos altos y no sea posible la ejecución de calicatas o se evidencie la necesidad de evaluar el fenómeno de licuación de suelos, el CONCESIONARIO deberá realizar las coordinaciones con el Supervisor con el fin de determinar mayores alcances sobre la necesidad de complementar la investigación de campo con el ensayo de penetración estándar (SPT) que estarán a cargo, costo y riesgo del CONCESIONARIO. </w:t>
      </w:r>
    </w:p>
    <w:p w14:paraId="00001EDC" w14:textId="77777777" w:rsidR="00F664DB" w:rsidRPr="00285D58" w:rsidRDefault="00F664DB" w:rsidP="008D1FFF">
      <w:pPr>
        <w:spacing w:line="276" w:lineRule="auto"/>
        <w:jc w:val="both"/>
        <w:rPr>
          <w:rFonts w:asciiTheme="minorHAnsi" w:eastAsia="Calibri" w:hAnsiTheme="minorHAnsi" w:cstheme="minorHAnsi"/>
        </w:rPr>
      </w:pPr>
    </w:p>
    <w:p w14:paraId="00001EDD"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1" w:name="_heading=h.wy8ajl" w:colFirst="0" w:colLast="0"/>
      <w:bookmarkEnd w:id="171"/>
      <w:r w:rsidRPr="00285D58">
        <w:rPr>
          <w:rFonts w:asciiTheme="minorHAnsi" w:eastAsia="Calibri" w:hAnsiTheme="minorHAnsi" w:cstheme="minorHAnsi"/>
          <w:b/>
        </w:rPr>
        <w:t xml:space="preserve">CIMENTACIONES DE LAS ESTRUCTURAS A TOMAR EN CUENTA PARA EL CÁLCULO DE LA CAPACIDAD ADMISIBLE DE CARGA </w:t>
      </w:r>
    </w:p>
    <w:p w14:paraId="00001E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tener en cuenta que las propuestas de cimentaciones contemplarán estructuras apoyadas en cimientos corridos, zapatas cuadradas, zapatas rectangulares, cisternas, etc. </w:t>
      </w:r>
    </w:p>
    <w:p w14:paraId="00001EDF" w14:textId="77777777" w:rsidR="00F664DB" w:rsidRPr="00285D58" w:rsidRDefault="00F664DB" w:rsidP="008D1FFF">
      <w:pPr>
        <w:spacing w:line="276" w:lineRule="auto"/>
        <w:jc w:val="both"/>
        <w:rPr>
          <w:rFonts w:asciiTheme="minorHAnsi" w:eastAsia="Calibri" w:hAnsiTheme="minorHAnsi" w:cstheme="minorHAnsi"/>
        </w:rPr>
      </w:pPr>
    </w:p>
    <w:p w14:paraId="00001E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determinar la capacidad admisible del terreno, se contemplará: </w:t>
      </w:r>
    </w:p>
    <w:p w14:paraId="00001EE1" w14:textId="77777777" w:rsidR="00F664DB" w:rsidRPr="00285D58" w:rsidRDefault="00F664DB" w:rsidP="008D1FFF">
      <w:pPr>
        <w:spacing w:line="276" w:lineRule="auto"/>
        <w:jc w:val="both"/>
        <w:rPr>
          <w:rFonts w:asciiTheme="minorHAnsi" w:eastAsia="Calibri" w:hAnsiTheme="minorHAnsi" w:cstheme="minorHAnsi"/>
        </w:rPr>
      </w:pPr>
    </w:p>
    <w:p w14:paraId="00001EE2" w14:textId="77777777" w:rsidR="00F664DB" w:rsidRPr="00285D58" w:rsidRDefault="006049C1" w:rsidP="00A3732C">
      <w:pPr>
        <w:widowControl/>
        <w:numPr>
          <w:ilvl w:val="0"/>
          <w:numId w:val="1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Diversas dimensiones de cimientos corridos, zapatas y plateas aplicables para diversas profundidades de empotramiento y que sean útiles para el posterior diseño estructural considerando edificaciones de 1 a 3 niveles.</w:t>
      </w:r>
    </w:p>
    <w:p w14:paraId="00001EE3" w14:textId="77777777" w:rsidR="00F664DB" w:rsidRPr="00285D58" w:rsidRDefault="006049C1" w:rsidP="00A3732C">
      <w:pPr>
        <w:widowControl/>
        <w:numPr>
          <w:ilvl w:val="0"/>
          <w:numId w:val="12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 En los estudios de suelos cuya capacidad admisible sea menor de 0.5 kg/cm2, se deberán presentar alternativas de solución. </w:t>
      </w:r>
    </w:p>
    <w:p w14:paraId="00001EE4"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2" w:name="_heading=h.3gxvt7e" w:colFirst="0" w:colLast="0"/>
      <w:bookmarkEnd w:id="172"/>
      <w:r w:rsidRPr="00285D58">
        <w:rPr>
          <w:rFonts w:asciiTheme="minorHAnsi" w:eastAsia="Calibri" w:hAnsiTheme="minorHAnsi" w:cstheme="minorHAnsi"/>
          <w:b/>
        </w:rPr>
        <w:t xml:space="preserve">ENSAYOS DE LABORATORIO </w:t>
      </w:r>
    </w:p>
    <w:p w14:paraId="00001E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realizarán obligatoriamente los siguientes ensayos:</w:t>
      </w:r>
    </w:p>
    <w:p w14:paraId="00001EE6" w14:textId="77777777" w:rsidR="00F664DB" w:rsidRPr="00285D58" w:rsidRDefault="00F664DB" w:rsidP="008D1FFF">
      <w:pPr>
        <w:spacing w:line="276" w:lineRule="auto"/>
        <w:jc w:val="both"/>
        <w:rPr>
          <w:rFonts w:asciiTheme="minorHAnsi" w:eastAsia="Calibri" w:hAnsiTheme="minorHAnsi" w:cstheme="minorHAnsi"/>
        </w:rPr>
      </w:pPr>
    </w:p>
    <w:p w14:paraId="00001EE7"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Granulometría. </w:t>
      </w:r>
    </w:p>
    <w:p w14:paraId="00001EE8"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Contenido de humedad. </w:t>
      </w:r>
    </w:p>
    <w:p w14:paraId="00001EE9"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Límites de Atterberg (límite líquido, límite plástico, índice de plasticidad). </w:t>
      </w:r>
    </w:p>
    <w:p w14:paraId="00001EEA"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w:t>
      </w:r>
    </w:p>
    <w:p w14:paraId="00001EEB"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químico de agresividad del suelo (contenido de SST, Cloruros, Sulfatos, pH).</w:t>
      </w:r>
    </w:p>
    <w:p w14:paraId="00001EEC"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químico de agresividad del agua (cuando exista napa freática)</w:t>
      </w:r>
    </w:p>
    <w:p w14:paraId="00001EED"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Densidad in situ método de reemplazo de agua para el caso de suelos granulares o peso volumétrico para el caso de suelos finos. </w:t>
      </w:r>
    </w:p>
    <w:p w14:paraId="00001EEE"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 apropiado para evaluar la resistencia al corte del suelo de acuerdo con las condiciones encontradas en el campo.</w:t>
      </w:r>
    </w:p>
    <w:p w14:paraId="00001EEF"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colapso en caso de evidenciarse estratos de suelos con dichas características (cementados, carbonatados o caliches) con el propósito de evaluar su índice de colapso “Ic”. </w:t>
      </w:r>
    </w:p>
    <w:p w14:paraId="00001EF0"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compresión no confinada en caso de suelos cohesivos (arcillas que correspondan al terreno de fundación). </w:t>
      </w:r>
    </w:p>
    <w:p w14:paraId="00001EF1"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de consolidación de suelos en caso de arcillas que correspondan al terreno de fundación (considerando cargas apropiadas según estructura proyecto). </w:t>
      </w:r>
    </w:p>
    <w:p w14:paraId="00001EF2"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Ensayo apropiado para estimar los parámetros involucrados en la estimación de los asentamientos elásticos y por consolidación. </w:t>
      </w:r>
    </w:p>
    <w:p w14:paraId="00001EF3" w14:textId="77777777" w:rsidR="00F664DB" w:rsidRPr="00285D58" w:rsidRDefault="006049C1" w:rsidP="00A3732C">
      <w:pPr>
        <w:widowControl/>
        <w:numPr>
          <w:ilvl w:val="0"/>
          <w:numId w:val="11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CBR (California Bearing Ratio) + Proctor Modificado. </w:t>
      </w:r>
    </w:p>
    <w:p w14:paraId="00001EF4" w14:textId="77777777" w:rsidR="00F664DB" w:rsidRPr="00285D58" w:rsidRDefault="00F664DB" w:rsidP="008D1FFF">
      <w:pPr>
        <w:spacing w:line="276" w:lineRule="auto"/>
        <w:jc w:val="both"/>
        <w:rPr>
          <w:rFonts w:asciiTheme="minorHAnsi" w:eastAsia="Calibri" w:hAnsiTheme="minorHAnsi" w:cstheme="minorHAnsi"/>
        </w:rPr>
      </w:pPr>
    </w:p>
    <w:p w14:paraId="00001EF5" w14:textId="77777777" w:rsidR="00F664DB" w:rsidRPr="00285D58" w:rsidRDefault="00F664DB" w:rsidP="008D1FFF">
      <w:pPr>
        <w:spacing w:line="276" w:lineRule="auto"/>
        <w:jc w:val="both"/>
        <w:rPr>
          <w:rFonts w:asciiTheme="minorHAnsi" w:eastAsia="Calibri" w:hAnsiTheme="minorHAnsi" w:cstheme="minorHAnsi"/>
        </w:rPr>
      </w:pPr>
    </w:p>
    <w:p w14:paraId="00001EF6" w14:textId="77777777" w:rsidR="00F664DB" w:rsidRPr="00285D58" w:rsidRDefault="00F664DB" w:rsidP="008D1FFF">
      <w:pPr>
        <w:spacing w:line="276" w:lineRule="auto"/>
        <w:jc w:val="both"/>
        <w:rPr>
          <w:rFonts w:asciiTheme="minorHAnsi" w:eastAsia="Calibri" w:hAnsiTheme="minorHAnsi" w:cstheme="minorHAnsi"/>
        </w:rPr>
      </w:pPr>
    </w:p>
    <w:p w14:paraId="00001EF7"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3" w:name="_heading=h.1w363f7" w:colFirst="0" w:colLast="0"/>
      <w:bookmarkEnd w:id="173"/>
      <w:r w:rsidRPr="00285D58">
        <w:rPr>
          <w:rFonts w:asciiTheme="minorHAnsi" w:eastAsia="Calibri" w:hAnsiTheme="minorHAnsi" w:cstheme="minorHAnsi"/>
          <w:b/>
        </w:rPr>
        <w:t>PERFILES ESTRATIGRÁFICOS</w:t>
      </w:r>
    </w:p>
    <w:p w14:paraId="00001EF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cada sondaje, se realizará la descripción de los diferentes estratos que constituyen el terreno investigado, se indicará información relevante de acuerdo con la normativa técnica sobre elaboración de Manual de Uso de Suelos, conforme al Apéndice 2 del presente Anexo 10.</w:t>
      </w:r>
    </w:p>
    <w:p w14:paraId="00001EF9" w14:textId="77777777" w:rsidR="00F664DB" w:rsidRPr="00285D58" w:rsidRDefault="00F664DB" w:rsidP="008D1FFF">
      <w:pPr>
        <w:spacing w:line="276" w:lineRule="auto"/>
        <w:jc w:val="both"/>
        <w:rPr>
          <w:rFonts w:asciiTheme="minorHAnsi" w:eastAsia="Calibri" w:hAnsiTheme="minorHAnsi" w:cstheme="minorHAnsi"/>
        </w:rPr>
      </w:pPr>
    </w:p>
    <w:p w14:paraId="00001EF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6.1. PERFILES UNIDIMENSIONALES </w:t>
      </w:r>
    </w:p>
    <w:p w14:paraId="00001EF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desarrollarán perfiles para todos los sondajes directos e indirectos desarrollados, se indicará información relevante en su descripción según normativa técnica sobre elaboración de Manual de Uso de Suelos, conforme al Numeral 1.2 del presente Apéndice. </w:t>
      </w:r>
    </w:p>
    <w:p w14:paraId="00001EFC" w14:textId="77777777" w:rsidR="00F664DB" w:rsidRPr="00285D58" w:rsidRDefault="00F664DB" w:rsidP="008D1FFF">
      <w:pPr>
        <w:spacing w:line="276" w:lineRule="auto"/>
        <w:jc w:val="both"/>
        <w:rPr>
          <w:rFonts w:asciiTheme="minorHAnsi" w:eastAsia="Calibri" w:hAnsiTheme="minorHAnsi" w:cstheme="minorHAnsi"/>
        </w:rPr>
      </w:pPr>
    </w:p>
    <w:p w14:paraId="00001EF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6.2. PERFILES BIDIMENSIONALES </w:t>
      </w:r>
    </w:p>
    <w:p w14:paraId="00001EF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presentar diversos perfiles longitudinales y transversales que atraviesen las áreas a intervenir donde se defina claramente el nivel de terreno natural (N.T.N.), estratos de suelos, nivel de napa freática (si existiese), niveles de rellenos encontrados, niveles de fondo de cimentación N.F.C. recomendados. En los perfiles bidimensionales también deberán figurar los montículos de desmonte superficial que se encuentren en la zona de estudio.</w:t>
      </w:r>
    </w:p>
    <w:p w14:paraId="00001EFF" w14:textId="77777777" w:rsidR="00F664DB" w:rsidRPr="00285D58" w:rsidRDefault="00F664DB" w:rsidP="008D1FFF">
      <w:pPr>
        <w:spacing w:line="276" w:lineRule="auto"/>
        <w:jc w:val="both"/>
        <w:rPr>
          <w:rFonts w:asciiTheme="minorHAnsi" w:eastAsia="Calibri" w:hAnsiTheme="minorHAnsi" w:cstheme="minorHAnsi"/>
        </w:rPr>
      </w:pPr>
    </w:p>
    <w:p w14:paraId="00001F00"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4" w:name="_heading=h.4g2tm30" w:colFirst="0" w:colLast="0"/>
      <w:bookmarkEnd w:id="174"/>
      <w:r w:rsidRPr="00285D58">
        <w:rPr>
          <w:rFonts w:asciiTheme="minorHAnsi" w:eastAsia="Calibri" w:hAnsiTheme="minorHAnsi" w:cstheme="minorHAnsi"/>
          <w:b/>
        </w:rPr>
        <w:t xml:space="preserve">ANÁLISIS DE CIMENTACIÓN </w:t>
      </w:r>
    </w:p>
    <w:p w14:paraId="00001F0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7.1. PROFUNDIDAD DE LA CIMENTACIÓN </w:t>
      </w:r>
    </w:p>
    <w:p w14:paraId="00001F0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análisis de cimentación detallará la profundidad recomendada para cada alternativa, e incluirá un cuadro resumen en el que se detalle las estructuras consideradas, su profundidad de empotramiento Df (m), su N.P.T más bajo y su N.F.C. Asimismo, incluirá información para las obras menores, como casetas, cercos perimétricos, así como (otras estructuras complementarias tales como tanques elevados, cisternas, etc., según corresponda. </w:t>
      </w:r>
    </w:p>
    <w:p w14:paraId="00001F03" w14:textId="77777777" w:rsidR="00F664DB" w:rsidRPr="00285D58" w:rsidRDefault="00F664DB" w:rsidP="008D1FFF">
      <w:pPr>
        <w:spacing w:line="276" w:lineRule="auto"/>
        <w:jc w:val="both"/>
        <w:rPr>
          <w:rFonts w:asciiTheme="minorHAnsi" w:eastAsia="Calibri" w:hAnsiTheme="minorHAnsi" w:cstheme="minorHAnsi"/>
        </w:rPr>
      </w:pPr>
    </w:p>
    <w:p w14:paraId="00001F0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7.2. EL TIPO DE CIMENTACIÓN</w:t>
      </w:r>
    </w:p>
    <w:p w14:paraId="00001F0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análisis de cimentación de detalla, como mínimo, las alternativas de cimentación tipo cimientos corridos, zapatas, plateas, e incluye también información para las obras menores como casetas, cercos perimétricos, así como (de ser el caso) otras estructuras complementarias tales como tanques elevados, cisternas, etc. </w:t>
      </w:r>
    </w:p>
    <w:p w14:paraId="00001F06" w14:textId="77777777" w:rsidR="00F664DB" w:rsidRPr="00285D58" w:rsidRDefault="00F664DB" w:rsidP="008D1FFF">
      <w:pPr>
        <w:spacing w:line="276" w:lineRule="auto"/>
        <w:jc w:val="both"/>
        <w:rPr>
          <w:rFonts w:asciiTheme="minorHAnsi" w:eastAsia="Calibri" w:hAnsiTheme="minorHAnsi" w:cstheme="minorHAnsi"/>
        </w:rPr>
      </w:pPr>
    </w:p>
    <w:p w14:paraId="00001F0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Salvo casos excepcionales, deberá considerarse cimentaciones profundas (de ser requerido ya sea por problemas de suelos, peligros geológicos o climáticos, o por exigencias de capacidad de carga de las estructuras proyectadas) y otras técnicas de mejoramiento de suelos o cimentaciones especiales que sean ameritadas. </w:t>
      </w:r>
    </w:p>
    <w:p w14:paraId="00001F08" w14:textId="77777777" w:rsidR="00F664DB" w:rsidRPr="00285D58" w:rsidRDefault="00F664DB" w:rsidP="008D1FFF">
      <w:pPr>
        <w:spacing w:line="276" w:lineRule="auto"/>
        <w:jc w:val="both"/>
        <w:rPr>
          <w:rFonts w:asciiTheme="minorHAnsi" w:eastAsia="Calibri" w:hAnsiTheme="minorHAnsi" w:cstheme="minorHAnsi"/>
        </w:rPr>
      </w:pPr>
    </w:p>
    <w:p w14:paraId="00001F0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7.3. CÁLCULO Y ANÁLISIS DE LA CAPACIDAD ADMISIBLE DE CARGA </w:t>
      </w:r>
    </w:p>
    <w:p w14:paraId="00001F0A" w14:textId="77777777" w:rsidR="00F664DB" w:rsidRPr="00285D58" w:rsidRDefault="00F664DB" w:rsidP="008D1FFF">
      <w:pPr>
        <w:spacing w:line="276" w:lineRule="auto"/>
        <w:jc w:val="both"/>
        <w:rPr>
          <w:rFonts w:asciiTheme="minorHAnsi" w:eastAsia="Calibri" w:hAnsiTheme="minorHAnsi" w:cstheme="minorHAnsi"/>
        </w:rPr>
      </w:pPr>
    </w:p>
    <w:p w14:paraId="00001F0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7.3.1. El análisis de cimentación deberá presentar la correspondiente memoria de cálculo de la capacidad admisible de carga mostrando el sustento teórico, fuentes de información, parámetros y valores numéricos que se están empleando, según sea el caso, fundamentando los criterios para el empleo de la formulación propuesta.</w:t>
      </w:r>
    </w:p>
    <w:p w14:paraId="00001F0C" w14:textId="77777777" w:rsidR="00F664DB" w:rsidRPr="00285D58" w:rsidRDefault="00F664DB" w:rsidP="008D1FFF">
      <w:pPr>
        <w:spacing w:line="276" w:lineRule="auto"/>
        <w:jc w:val="both"/>
        <w:rPr>
          <w:rFonts w:asciiTheme="minorHAnsi" w:eastAsia="Calibri" w:hAnsiTheme="minorHAnsi" w:cstheme="minorHAnsi"/>
        </w:rPr>
      </w:pPr>
    </w:p>
    <w:p w14:paraId="00001F0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Deberá emplear el factor de seguridad según lo establecido a la normativa aplicable o sus modificaciones. </w:t>
      </w:r>
    </w:p>
    <w:p w14:paraId="00001F0E" w14:textId="77777777" w:rsidR="00F664DB" w:rsidRPr="00285D58" w:rsidRDefault="00F664DB" w:rsidP="008D1FFF">
      <w:pPr>
        <w:spacing w:line="276" w:lineRule="auto"/>
        <w:jc w:val="both"/>
        <w:rPr>
          <w:rFonts w:asciiTheme="minorHAnsi" w:eastAsia="Calibri" w:hAnsiTheme="minorHAnsi" w:cstheme="minorHAnsi"/>
        </w:rPr>
      </w:pPr>
    </w:p>
    <w:p w14:paraId="00001F0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7.3.2. El análisis de cimentación deberá presentar alternativas de solución para diferentes tipos de cimentaciones aplicables a las estructuras proyectadas, tanto principales (módulos, pabellones, etc.) como obras menores (cercos perimétricos, casetas, edificaciones menores), y de ser el caso, para piscinas, cisternas, tanques elevados, entre otros. </w:t>
      </w:r>
    </w:p>
    <w:p w14:paraId="00001F10" w14:textId="77777777" w:rsidR="00F664DB" w:rsidRPr="00285D58" w:rsidRDefault="00F664DB" w:rsidP="008D1FFF">
      <w:pPr>
        <w:spacing w:line="276" w:lineRule="auto"/>
        <w:jc w:val="both"/>
        <w:rPr>
          <w:rFonts w:asciiTheme="minorHAnsi" w:eastAsia="Calibri" w:hAnsiTheme="minorHAnsi" w:cstheme="minorHAnsi"/>
        </w:rPr>
      </w:pPr>
    </w:p>
    <w:p w14:paraId="00001F11" w14:textId="77777777" w:rsidR="00F664DB" w:rsidRPr="00285D58" w:rsidRDefault="00F664DB" w:rsidP="008D1FFF">
      <w:pPr>
        <w:spacing w:line="276" w:lineRule="auto"/>
        <w:jc w:val="both"/>
        <w:rPr>
          <w:rFonts w:asciiTheme="minorHAnsi" w:eastAsia="Calibri" w:hAnsiTheme="minorHAnsi" w:cstheme="minorHAnsi"/>
        </w:rPr>
      </w:pPr>
    </w:p>
    <w:p w14:paraId="00001F1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7.4. CÁLCULO DE ASENTAMIENTOS </w:t>
      </w:r>
    </w:p>
    <w:p w14:paraId="00001F13" w14:textId="77777777" w:rsidR="00F664DB" w:rsidRPr="00285D58" w:rsidRDefault="00F664DB" w:rsidP="008D1FFF">
      <w:pPr>
        <w:spacing w:line="276" w:lineRule="auto"/>
        <w:jc w:val="both"/>
        <w:rPr>
          <w:rFonts w:asciiTheme="minorHAnsi" w:eastAsia="Calibri" w:hAnsiTheme="minorHAnsi" w:cstheme="minorHAnsi"/>
        </w:rPr>
      </w:pPr>
    </w:p>
    <w:p w14:paraId="00001F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7.4.1. El análisis de cimentación deberá presentar el cálculo que sustente la estimación de los asentamientos producidos por la presión inducida y se señalarán explícitamente los valores de los coeficientes utilizados y la fuente de información de las formulaciones empleadas. </w:t>
      </w:r>
    </w:p>
    <w:p w14:paraId="00001F15" w14:textId="77777777" w:rsidR="00F664DB" w:rsidRPr="00285D58" w:rsidRDefault="00F664DB" w:rsidP="008D1FFF">
      <w:pPr>
        <w:spacing w:line="276" w:lineRule="auto"/>
        <w:jc w:val="both"/>
        <w:rPr>
          <w:rFonts w:asciiTheme="minorHAnsi" w:eastAsia="Calibri" w:hAnsiTheme="minorHAnsi" w:cstheme="minorHAnsi"/>
        </w:rPr>
      </w:pPr>
    </w:p>
    <w:p w14:paraId="00001F1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detallará y se sustentará los parámetros empleados en los cálculos de asentamientos de las fundaciones. </w:t>
      </w:r>
    </w:p>
    <w:p w14:paraId="00001F17" w14:textId="77777777" w:rsidR="00F664DB" w:rsidRPr="00285D58" w:rsidRDefault="00F664DB" w:rsidP="008D1FFF">
      <w:pPr>
        <w:spacing w:line="276" w:lineRule="auto"/>
        <w:jc w:val="both"/>
        <w:rPr>
          <w:rFonts w:asciiTheme="minorHAnsi" w:eastAsia="Calibri" w:hAnsiTheme="minorHAnsi" w:cstheme="minorHAnsi"/>
        </w:rPr>
      </w:pPr>
    </w:p>
    <w:p w14:paraId="00001F1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7.4.2. En los casos de suelos problemáticos (p. ej.: suelos colapsables), la capacidad admisible deberá ser reformulada ya sea por consecuencia del empleo de una cimentación no convencional tal como plateas, pilotes, micropilotes, entre otros, o bien por la necesidad de realizar rellenos de ingeniería (rellenos controlados) o aplicar técnicas de mejoramiento del suelo. Para cualquiera de los casos, se deberá incluir la memoria de cálculo de capacidad admisible del y deberá estar correlacionada con los asentamientos máximos permisibles. </w:t>
      </w:r>
    </w:p>
    <w:p w14:paraId="00001F19" w14:textId="77777777" w:rsidR="00F664DB" w:rsidRPr="00285D58" w:rsidRDefault="00F664DB" w:rsidP="008D1FFF">
      <w:pPr>
        <w:spacing w:line="276" w:lineRule="auto"/>
        <w:jc w:val="both"/>
        <w:rPr>
          <w:rFonts w:asciiTheme="minorHAnsi" w:eastAsia="Calibri" w:hAnsiTheme="minorHAnsi" w:cstheme="minorHAnsi"/>
        </w:rPr>
      </w:pPr>
    </w:p>
    <w:p w14:paraId="00001F1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7.5. CÁLCULO DE EMPUJES EN ELEMENTOS DE CONTENCIÓN</w:t>
      </w:r>
    </w:p>
    <w:p w14:paraId="00001F1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mecánica de suelos deberá contener el cálculo de empujes en elementos de contención de acuerdo con la normatividad vigente, para calcular los tipos de coeficientes de empuje, que permitan el diseño de las estructuras de contención. </w:t>
      </w:r>
    </w:p>
    <w:p w14:paraId="00001F1C" w14:textId="77777777" w:rsidR="00F664DB" w:rsidRPr="00285D58" w:rsidRDefault="00F664DB" w:rsidP="008D1FFF">
      <w:pPr>
        <w:spacing w:line="276" w:lineRule="auto"/>
        <w:jc w:val="both"/>
        <w:rPr>
          <w:rFonts w:asciiTheme="minorHAnsi" w:eastAsia="Calibri" w:hAnsiTheme="minorHAnsi" w:cstheme="minorHAnsi"/>
        </w:rPr>
      </w:pPr>
    </w:p>
    <w:p w14:paraId="00001F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presencia de nivel freático en el terreno, el Informe de Mecánica de Suelos debe dar recomendaciones sobre el planteamiento de subdrenaje para aguas subterráneas, debe especificar si el caculo de la capacidad portante lo está calculando en condición saturada y/o seca, para el cálculo de la capacidad portante del suelo debe de plasmar varias medidas de la zapata para que el Concesionario tenga varias alternativas a usar. </w:t>
      </w:r>
    </w:p>
    <w:p w14:paraId="00001F1E" w14:textId="77777777" w:rsidR="00F664DB" w:rsidRPr="00285D58" w:rsidRDefault="00F664DB" w:rsidP="008D1FFF">
      <w:pPr>
        <w:spacing w:line="276" w:lineRule="auto"/>
        <w:jc w:val="both"/>
        <w:rPr>
          <w:rFonts w:asciiTheme="minorHAnsi" w:eastAsia="Calibri" w:hAnsiTheme="minorHAnsi" w:cstheme="minorHAnsi"/>
          <w:b/>
        </w:rPr>
      </w:pPr>
    </w:p>
    <w:p w14:paraId="00001F1F"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5" w:name="_heading=h.2v83wat" w:colFirst="0" w:colLast="0"/>
      <w:bookmarkEnd w:id="175"/>
      <w:r w:rsidRPr="00285D58">
        <w:rPr>
          <w:rFonts w:asciiTheme="minorHAnsi" w:eastAsia="Calibri" w:hAnsiTheme="minorHAnsi" w:cstheme="minorHAnsi"/>
          <w:b/>
        </w:rPr>
        <w:t xml:space="preserve">DISEÑO DE PAVIMENTOS </w:t>
      </w:r>
    </w:p>
    <w:p w14:paraId="00001F2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diseño y características del paquete estructural del pavimento deberá respetar las Leyes y Disposiciones Aplicables y las normas técnicas sobre diseño y construcción suelos y pavimentos. </w:t>
      </w:r>
    </w:p>
    <w:p w14:paraId="00001F21" w14:textId="77777777" w:rsidR="00F664DB" w:rsidRPr="00285D58" w:rsidRDefault="00F664DB" w:rsidP="008D1FFF">
      <w:pPr>
        <w:spacing w:line="276" w:lineRule="auto"/>
        <w:jc w:val="both"/>
        <w:rPr>
          <w:rFonts w:asciiTheme="minorHAnsi" w:eastAsia="Calibri" w:hAnsiTheme="minorHAnsi" w:cstheme="minorHAnsi"/>
        </w:rPr>
      </w:pPr>
    </w:p>
    <w:p w14:paraId="00001F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manera complementaria, el diseño de pavimentos podrá considerar la normativa AASHTO. </w:t>
      </w:r>
    </w:p>
    <w:p w14:paraId="00001F23" w14:textId="77777777" w:rsidR="00F664DB" w:rsidRPr="00285D58" w:rsidRDefault="00F664DB" w:rsidP="008D1FFF">
      <w:pPr>
        <w:spacing w:line="276" w:lineRule="auto"/>
        <w:jc w:val="both"/>
        <w:rPr>
          <w:rFonts w:asciiTheme="minorHAnsi" w:eastAsia="Calibri" w:hAnsiTheme="minorHAnsi" w:cstheme="minorHAnsi"/>
        </w:rPr>
      </w:pPr>
    </w:p>
    <w:p w14:paraId="00001F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En caso de que la subrasante califique como inapropiada, se deberá brindar todas las recomendaciones necesarias para la estabilización de los suelos o su correspondiente reemplazo. </w:t>
      </w:r>
    </w:p>
    <w:p w14:paraId="00001F25" w14:textId="77777777" w:rsidR="00F664DB" w:rsidRPr="00285D58" w:rsidRDefault="00F664DB" w:rsidP="008D1FFF">
      <w:pPr>
        <w:spacing w:line="276" w:lineRule="auto"/>
        <w:jc w:val="both"/>
        <w:rPr>
          <w:rFonts w:asciiTheme="minorHAnsi" w:eastAsia="Calibri" w:hAnsiTheme="minorHAnsi" w:cstheme="minorHAnsi"/>
        </w:rPr>
      </w:pPr>
    </w:p>
    <w:p w14:paraId="00001F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Los diseños de pavimento flexible serán para periodos de diez (10) y quince (15) años de vida útil; mientras que, para el caso de pavimento rígido, los periodos de vida útil serán de veinte (20) y treinta (30) años. En caso de pavimentos interiores, se deberá realizar la estimación del conteo vehicular, tasa de crecimiento de tráfico, y los ejes equivalentes sobre la base del número de estacionamientos y uso de los pavimentos. </w:t>
      </w:r>
    </w:p>
    <w:p w14:paraId="00001F2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del diseño del pavimento rígido y flexible (para el tránsito de vehículos), el diseño incluirá las recomendaciones necesarias para el caso de losas de interiores y exteriores, aceras o veredas, y pasajes peatonales.</w:t>
      </w:r>
    </w:p>
    <w:p w14:paraId="00001F28" w14:textId="77777777" w:rsidR="00F664DB" w:rsidRPr="00285D58" w:rsidRDefault="00F664DB" w:rsidP="008D1FFF">
      <w:pPr>
        <w:spacing w:line="276" w:lineRule="auto"/>
        <w:jc w:val="both"/>
        <w:rPr>
          <w:rFonts w:asciiTheme="minorHAnsi" w:eastAsia="Calibri" w:hAnsiTheme="minorHAnsi" w:cstheme="minorHAnsi"/>
        </w:rPr>
      </w:pPr>
    </w:p>
    <w:p w14:paraId="00001F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incluir un cuadro resumen con el diseño de los pavimentos, así como los esquemas gráficos resumen de los materiales y espesores que conforman la estructura de los pavimentos.</w:t>
      </w:r>
    </w:p>
    <w:p w14:paraId="00001F2A"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6" w:name="_heading=h.1ade6im" w:colFirst="0" w:colLast="0"/>
      <w:bookmarkEnd w:id="176"/>
      <w:r w:rsidRPr="00285D58">
        <w:rPr>
          <w:rFonts w:asciiTheme="minorHAnsi" w:eastAsia="Calibri" w:hAnsiTheme="minorHAnsi" w:cstheme="minorHAnsi"/>
          <w:b/>
        </w:rPr>
        <w:t>AGRESIÓN DEL SUELO A LA CIMENTACIÓN</w:t>
      </w:r>
    </w:p>
    <w:p w14:paraId="00001F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adjuntar los resultados obtenidos del análisis químico de suelos, con los porcentajes de contenidos en las muestras representativas. </w:t>
      </w:r>
    </w:p>
    <w:p w14:paraId="00001F2C" w14:textId="77777777" w:rsidR="00F664DB" w:rsidRPr="00285D58" w:rsidRDefault="00F664DB" w:rsidP="008D1FFF">
      <w:pPr>
        <w:spacing w:line="276" w:lineRule="auto"/>
        <w:jc w:val="both"/>
        <w:rPr>
          <w:rFonts w:asciiTheme="minorHAnsi" w:eastAsia="Calibri" w:hAnsiTheme="minorHAnsi" w:cstheme="minorHAnsi"/>
        </w:rPr>
      </w:pPr>
    </w:p>
    <w:p w14:paraId="00001F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caso que se evidencie la presencia de napa freática, el diseño deberá adjuntar en el estudio el análisis químico del agua.</w:t>
      </w:r>
    </w:p>
    <w:p w14:paraId="00001F2E" w14:textId="77777777" w:rsidR="00F664DB" w:rsidRPr="00285D58" w:rsidRDefault="00F664DB" w:rsidP="008D1FFF">
      <w:pPr>
        <w:spacing w:line="276" w:lineRule="auto"/>
        <w:jc w:val="both"/>
        <w:rPr>
          <w:rFonts w:asciiTheme="minorHAnsi" w:eastAsia="Calibri" w:hAnsiTheme="minorHAnsi" w:cstheme="minorHAnsi"/>
        </w:rPr>
      </w:pPr>
    </w:p>
    <w:p w14:paraId="00001F2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estos resultados deberá recomendar el tipo de cemento a utilizar, o el tratamiento especial según sea el caso.</w:t>
      </w:r>
    </w:p>
    <w:p w14:paraId="00001F30" w14:textId="77777777" w:rsidR="00F664DB" w:rsidRPr="00285D58" w:rsidRDefault="00F664DB" w:rsidP="008D1FFF">
      <w:pPr>
        <w:spacing w:line="276" w:lineRule="auto"/>
        <w:jc w:val="both"/>
        <w:rPr>
          <w:rFonts w:asciiTheme="minorHAnsi" w:eastAsia="Calibri" w:hAnsiTheme="minorHAnsi" w:cstheme="minorHAnsi"/>
        </w:rPr>
      </w:pPr>
    </w:p>
    <w:p w14:paraId="00001F3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recomendaciones del tipo de cemento deben ser concordantes con lo estipulado en las normas técnicas sobre concreto armado. En el caso de que los resultados de agresividad química indiquen diferentes niveles de severidad que conlleven a distintos tipos de cemento a emplear, se deberá incluir un mapa de zonificación de agresividad química.</w:t>
      </w:r>
    </w:p>
    <w:p w14:paraId="00001F32" w14:textId="77777777" w:rsidR="00F664DB" w:rsidRPr="00285D58" w:rsidRDefault="00F664DB" w:rsidP="008D1FFF">
      <w:pPr>
        <w:spacing w:line="276" w:lineRule="auto"/>
        <w:jc w:val="both"/>
        <w:rPr>
          <w:rFonts w:asciiTheme="minorHAnsi" w:eastAsia="Calibri" w:hAnsiTheme="minorHAnsi" w:cstheme="minorHAnsi"/>
        </w:rPr>
      </w:pPr>
    </w:p>
    <w:p w14:paraId="00001F33"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7" w:name="_heading=h.3ud1p6f" w:colFirst="0" w:colLast="0"/>
      <w:bookmarkEnd w:id="177"/>
      <w:r w:rsidRPr="00285D58">
        <w:rPr>
          <w:rFonts w:asciiTheme="minorHAnsi" w:eastAsia="Calibri" w:hAnsiTheme="minorHAnsi" w:cstheme="minorHAnsi"/>
          <w:b/>
        </w:rPr>
        <w:t xml:space="preserve">CONCLUSIONES - RECOMENDACIONES Y ANEXOS </w:t>
      </w:r>
    </w:p>
    <w:p w14:paraId="00001F34" w14:textId="77777777" w:rsidR="00F664DB" w:rsidRPr="00285D58" w:rsidRDefault="00F664DB" w:rsidP="008D1FFF">
      <w:pPr>
        <w:spacing w:line="276" w:lineRule="auto"/>
        <w:jc w:val="both"/>
        <w:rPr>
          <w:rFonts w:asciiTheme="minorHAnsi" w:eastAsia="Calibri" w:hAnsiTheme="minorHAnsi" w:cstheme="minorHAnsi"/>
          <w:b/>
        </w:rPr>
      </w:pPr>
    </w:p>
    <w:p w14:paraId="00001F3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10.1. CONCLUSIONES Y RECOMENDACIONES</w:t>
      </w:r>
    </w:p>
    <w:p w14:paraId="00001F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describir las alternativas de solución recomendadas, tales como tipo de estrato de apoyo de la cimentación, profundidad de empotramiento de la cimentación, N.F.C., capacidad admisible de carga, asentamiento diferencial o total, tipo de cemento a emplear, etc. </w:t>
      </w:r>
    </w:p>
    <w:p w14:paraId="00001F37" w14:textId="77777777" w:rsidR="00F664DB" w:rsidRPr="00285D58" w:rsidRDefault="00F664DB" w:rsidP="008D1FFF">
      <w:pPr>
        <w:spacing w:line="276" w:lineRule="auto"/>
        <w:jc w:val="both"/>
        <w:rPr>
          <w:rFonts w:asciiTheme="minorHAnsi" w:eastAsia="Calibri" w:hAnsiTheme="minorHAnsi" w:cstheme="minorHAnsi"/>
        </w:rPr>
      </w:pPr>
    </w:p>
    <w:p w14:paraId="00001F3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presentar un Resumen con las Condiciones de Cimentación, siguiendo lo dispuesto en las normas técnicas sobre suelos y cimentaciones, así como incluir los parámetros sísmicos (Z, U, TP (s), TL (s), S, C) y los parámetros para el diseño y construcción de obras de sostenimiento.</w:t>
      </w:r>
    </w:p>
    <w:p w14:paraId="00001F39" w14:textId="77777777" w:rsidR="00F664DB" w:rsidRPr="00285D58" w:rsidRDefault="00F664DB" w:rsidP="008D1FFF">
      <w:pPr>
        <w:spacing w:line="276" w:lineRule="auto"/>
        <w:jc w:val="both"/>
        <w:rPr>
          <w:rFonts w:asciiTheme="minorHAnsi" w:eastAsia="Calibri" w:hAnsiTheme="minorHAnsi" w:cstheme="minorHAnsi"/>
        </w:rPr>
      </w:pPr>
    </w:p>
    <w:p w14:paraId="00001F3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deberán presentar los resultados del diseño de pavimentos rígido y flexible para las vías de acceso y estacionamiento.</w:t>
      </w:r>
    </w:p>
    <w:p w14:paraId="00001F3B" w14:textId="77777777" w:rsidR="00F664DB" w:rsidRPr="00285D58" w:rsidRDefault="00F664DB" w:rsidP="008D1FFF">
      <w:pPr>
        <w:spacing w:line="276" w:lineRule="auto"/>
        <w:jc w:val="both"/>
        <w:rPr>
          <w:rFonts w:asciiTheme="minorHAnsi" w:eastAsia="Calibri" w:hAnsiTheme="minorHAnsi" w:cstheme="minorHAnsi"/>
        </w:rPr>
      </w:pPr>
    </w:p>
    <w:p w14:paraId="00001F3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Considerará todas las recomendaciones necesarias para los materiales de base, sub base, y tratamiento de subrasante de ser el caso. </w:t>
      </w:r>
    </w:p>
    <w:p w14:paraId="00001F3D" w14:textId="77777777" w:rsidR="00F664DB" w:rsidRPr="00285D58" w:rsidRDefault="00F664DB" w:rsidP="008D1FFF">
      <w:pPr>
        <w:spacing w:line="276" w:lineRule="auto"/>
        <w:jc w:val="both"/>
        <w:rPr>
          <w:rFonts w:asciiTheme="minorHAnsi" w:eastAsia="Calibri" w:hAnsiTheme="minorHAnsi" w:cstheme="minorHAnsi"/>
        </w:rPr>
      </w:pPr>
    </w:p>
    <w:p w14:paraId="00001F3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10.2. FIGURAS Y PLANO DE UBICACIÓN DE SONDAJES </w:t>
      </w:r>
    </w:p>
    <w:p w14:paraId="00001F3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Además de la imagen de ubicación del Proyecto, se incluirá el plano de ubicación de sondajes con coordenadas UTM (norte, este y cota) que permita ubicar suposición. Para la ubicación de las calicatas se deberá utilizar el plano topográfico más reciente.</w:t>
      </w:r>
    </w:p>
    <w:p w14:paraId="00001F40" w14:textId="77777777" w:rsidR="00F664DB" w:rsidRPr="00285D58" w:rsidRDefault="00F664DB" w:rsidP="008D1FFF">
      <w:pPr>
        <w:spacing w:line="276" w:lineRule="auto"/>
        <w:jc w:val="both"/>
        <w:rPr>
          <w:rFonts w:asciiTheme="minorHAnsi" w:eastAsia="Calibri" w:hAnsiTheme="minorHAnsi" w:cstheme="minorHAnsi"/>
        </w:rPr>
      </w:pPr>
    </w:p>
    <w:p w14:paraId="00001F41" w14:textId="77777777" w:rsidR="00F664DB" w:rsidRPr="00285D58" w:rsidRDefault="00F664DB" w:rsidP="008D1FFF">
      <w:pPr>
        <w:spacing w:line="276" w:lineRule="auto"/>
        <w:jc w:val="both"/>
        <w:rPr>
          <w:rFonts w:asciiTheme="minorHAnsi" w:eastAsia="Calibri" w:hAnsiTheme="minorHAnsi" w:cstheme="minorHAnsi"/>
        </w:rPr>
      </w:pPr>
    </w:p>
    <w:p w14:paraId="00001F4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10.3. TABLAS </w:t>
      </w:r>
    </w:p>
    <w:p w14:paraId="00001F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deberán presentar, como mínimo, las siguientes cuatro (4) tablas:</w:t>
      </w:r>
    </w:p>
    <w:p w14:paraId="00001F44" w14:textId="77777777" w:rsidR="00F664DB" w:rsidRPr="00285D58" w:rsidRDefault="00F664DB" w:rsidP="008D1FFF">
      <w:pPr>
        <w:spacing w:line="276" w:lineRule="auto"/>
        <w:jc w:val="both"/>
        <w:rPr>
          <w:rFonts w:asciiTheme="minorHAnsi" w:eastAsia="Calibri" w:hAnsiTheme="minorHAnsi" w:cstheme="minorHAnsi"/>
        </w:rPr>
      </w:pPr>
    </w:p>
    <w:p w14:paraId="00001F45"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trabajos de campo basándose en sondajes directos e indirectos.</w:t>
      </w:r>
    </w:p>
    <w:p w14:paraId="00001F46"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Cantidad de ensayos de laboratorio, acompañado de la norma técnica correspondiente.</w:t>
      </w:r>
    </w:p>
    <w:p w14:paraId="00001F47"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Resumen de ensayos de laboratorio (tabla de resultados de ensayos estándar y otra para ensayos especiales).</w:t>
      </w:r>
    </w:p>
    <w:p w14:paraId="00001F48" w14:textId="77777777" w:rsidR="00F664DB" w:rsidRPr="00285D58" w:rsidRDefault="006049C1" w:rsidP="00A3732C">
      <w:pPr>
        <w:widowControl/>
        <w:numPr>
          <w:ilvl w:val="0"/>
          <w:numId w:val="11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químicos agresivos a la cimentación, conforme a las normas técnicas establecidas. </w:t>
      </w:r>
    </w:p>
    <w:p w14:paraId="00001F49" w14:textId="77777777" w:rsidR="00F664DB" w:rsidRPr="00285D58" w:rsidRDefault="00F664DB" w:rsidP="008D1FFF">
      <w:pPr>
        <w:spacing w:line="276" w:lineRule="auto"/>
        <w:jc w:val="both"/>
        <w:rPr>
          <w:rFonts w:asciiTheme="minorHAnsi" w:eastAsia="Calibri" w:hAnsiTheme="minorHAnsi" w:cstheme="minorHAnsi"/>
        </w:rPr>
      </w:pPr>
    </w:p>
    <w:p w14:paraId="00001F4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10.4. ANEXO I </w:t>
      </w:r>
    </w:p>
    <w:p w14:paraId="00001F4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mostrará todos los registros de excavaciones o calicatas realizadas. </w:t>
      </w:r>
    </w:p>
    <w:p w14:paraId="00001F4C" w14:textId="77777777" w:rsidR="00F664DB" w:rsidRPr="00285D58" w:rsidRDefault="00F664DB" w:rsidP="008D1FFF">
      <w:pPr>
        <w:spacing w:line="276" w:lineRule="auto"/>
        <w:jc w:val="both"/>
        <w:rPr>
          <w:rFonts w:asciiTheme="minorHAnsi" w:eastAsia="Calibri" w:hAnsiTheme="minorHAnsi" w:cstheme="minorHAnsi"/>
        </w:rPr>
      </w:pPr>
    </w:p>
    <w:p w14:paraId="00001F4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10.5. ANEXO II </w:t>
      </w:r>
    </w:p>
    <w:p w14:paraId="00001F4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mostrará todos los ensayos de laboratorio (estándares y especiales) así como los ensayos químicos. </w:t>
      </w:r>
    </w:p>
    <w:p w14:paraId="00001F4F" w14:textId="77777777" w:rsidR="00F664DB" w:rsidRPr="00285D58" w:rsidRDefault="006049C1" w:rsidP="00A3732C">
      <w:pPr>
        <w:keepNext/>
        <w:keepLines/>
        <w:numPr>
          <w:ilvl w:val="0"/>
          <w:numId w:val="201"/>
        </w:numPr>
        <w:spacing w:before="360" w:after="80" w:line="276" w:lineRule="auto"/>
        <w:ind w:left="1560"/>
        <w:jc w:val="both"/>
        <w:rPr>
          <w:rFonts w:asciiTheme="minorHAnsi" w:eastAsia="Calibri" w:hAnsiTheme="minorHAnsi" w:cstheme="minorHAnsi"/>
          <w:b/>
        </w:rPr>
      </w:pPr>
      <w:bookmarkStart w:id="178" w:name="_heading=h.29ibze8" w:colFirst="0" w:colLast="0"/>
      <w:bookmarkEnd w:id="178"/>
      <w:r w:rsidRPr="00285D58">
        <w:rPr>
          <w:rFonts w:asciiTheme="minorHAnsi" w:eastAsia="Calibri" w:hAnsiTheme="minorHAnsi" w:cstheme="minorHAnsi"/>
          <w:b/>
        </w:rPr>
        <w:t xml:space="preserve">OTROS </w:t>
      </w:r>
    </w:p>
    <w:p w14:paraId="00001F5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11.1. PRESENTACIÓN DE FOTOGRAFÍAS </w:t>
      </w:r>
    </w:p>
    <w:p w14:paraId="00001F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las fotografías a presentar en el informe de suelos se debe identificar y mostrar las exploraciones realizadas, el material extraído y los tipos de estratos encontrados. </w:t>
      </w:r>
    </w:p>
    <w:p w14:paraId="00001F52" w14:textId="77777777" w:rsidR="00F664DB" w:rsidRPr="00285D58" w:rsidRDefault="00F664DB" w:rsidP="008D1FFF">
      <w:pPr>
        <w:spacing w:line="276" w:lineRule="auto"/>
        <w:jc w:val="both"/>
        <w:rPr>
          <w:rFonts w:asciiTheme="minorHAnsi" w:eastAsia="Calibri" w:hAnsiTheme="minorHAnsi" w:cstheme="minorHAnsi"/>
        </w:rPr>
      </w:pPr>
    </w:p>
    <w:p w14:paraId="00001F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Debe incluirse, de ser posible, una fotografía panorámica de las áreas de las estaciones, torres o tramos de las vías en donde se realice la exploración, indicando su ubicación. Las vistas fotográficas deben mostrar la siguiente información:</w:t>
      </w:r>
    </w:p>
    <w:p w14:paraId="00001F54" w14:textId="77777777" w:rsidR="00F664DB" w:rsidRPr="00285D58" w:rsidRDefault="00F664DB" w:rsidP="008D1FFF">
      <w:pPr>
        <w:spacing w:line="276" w:lineRule="auto"/>
        <w:jc w:val="both"/>
        <w:rPr>
          <w:rFonts w:asciiTheme="minorHAnsi" w:eastAsia="Calibri" w:hAnsiTheme="minorHAnsi" w:cstheme="minorHAnsi"/>
        </w:rPr>
      </w:pPr>
    </w:p>
    <w:p w14:paraId="00001F55"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Vista general del terreno donde se ubica cada sondaje antes de ser intervenido.</w:t>
      </w:r>
    </w:p>
    <w:p w14:paraId="00001F56"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Vista general de cada sondaje donde se aprecie el material retirado de la exploración. Además, para el caso de hallarse bolonería o bloques, deberá incluirse una fotografía de esta evidencia en la que se reporta el Tamaño Máximo en pulgadas. </w:t>
      </w:r>
    </w:p>
    <w:p w14:paraId="00001F57"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Vista a profundidad de la excavación/exploración en la que se aprecie sus estratos de suelo. </w:t>
      </w:r>
    </w:p>
    <w:p w14:paraId="00001F58"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encontrarse gravas, bolonería, o bloques, se incluirá una vista del Tamaño Máximo en pulgadas.</w:t>
      </w:r>
    </w:p>
    <w:p w14:paraId="00001F59" w14:textId="77777777" w:rsidR="00F664DB" w:rsidRPr="00285D58" w:rsidRDefault="006049C1" w:rsidP="00A3732C">
      <w:pPr>
        <w:widowControl/>
        <w:numPr>
          <w:ilvl w:val="0"/>
          <w:numId w:val="12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Clausura de la excavación al término de los trabajos de campo. </w:t>
      </w:r>
    </w:p>
    <w:p w14:paraId="00001F5A" w14:textId="77777777" w:rsidR="00F664DB" w:rsidRPr="00285D58" w:rsidRDefault="00F664DB" w:rsidP="008D1FFF">
      <w:pPr>
        <w:spacing w:line="276" w:lineRule="auto"/>
        <w:jc w:val="both"/>
        <w:rPr>
          <w:rFonts w:asciiTheme="minorHAnsi" w:eastAsia="Calibri" w:hAnsiTheme="minorHAnsi" w:cstheme="minorHAnsi"/>
        </w:rPr>
      </w:pPr>
    </w:p>
    <w:p w14:paraId="00001F5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incluirán también vistas fotográficas panorámicas que muestren toda el área de estudio indicando la ubicación de las exploraciones. </w:t>
      </w:r>
    </w:p>
    <w:p w14:paraId="00001F5C" w14:textId="77777777" w:rsidR="00F664DB" w:rsidRPr="00285D58" w:rsidRDefault="00F664DB" w:rsidP="008D1FFF">
      <w:pPr>
        <w:spacing w:line="276" w:lineRule="auto"/>
        <w:jc w:val="both"/>
        <w:rPr>
          <w:rFonts w:asciiTheme="minorHAnsi" w:eastAsia="Calibri" w:hAnsiTheme="minorHAnsi" w:cstheme="minorHAnsi"/>
        </w:rPr>
      </w:pPr>
    </w:p>
    <w:p w14:paraId="00001F5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11.2. NÚMERO DE CALICATAS MÍNIMAS </w:t>
      </w:r>
    </w:p>
    <w:p w14:paraId="00001F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número y distribución de las exploraciones será determinado por el CONCEDENTE y aprobado por el Supervisor, de manera que estas cubran la mayor extensión posible del área donde se ubicará la infraestructura.</w:t>
      </w:r>
    </w:p>
    <w:p w14:paraId="00001F5F" w14:textId="77777777" w:rsidR="00F664DB" w:rsidRPr="00285D58" w:rsidRDefault="00F664DB" w:rsidP="008D1FFF">
      <w:pPr>
        <w:spacing w:line="276" w:lineRule="auto"/>
        <w:jc w:val="both"/>
        <w:rPr>
          <w:rFonts w:asciiTheme="minorHAnsi" w:eastAsia="Calibri" w:hAnsiTheme="minorHAnsi" w:cstheme="minorHAnsi"/>
        </w:rPr>
      </w:pPr>
    </w:p>
    <w:p w14:paraId="00001F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todas las calicatas, la profundidad mínima de exploración deberá cumplir con lo establecido en las Leyes y Disposiciones Aplicables sobre programa de exploración de campo y ensayos de laboratorio. </w:t>
      </w:r>
    </w:p>
    <w:p w14:paraId="00001F61" w14:textId="77777777" w:rsidR="00F664DB" w:rsidRPr="00285D58" w:rsidRDefault="00F664DB" w:rsidP="008D1FFF">
      <w:pPr>
        <w:spacing w:line="276" w:lineRule="auto"/>
        <w:jc w:val="both"/>
        <w:rPr>
          <w:rFonts w:asciiTheme="minorHAnsi" w:eastAsia="Calibri" w:hAnsiTheme="minorHAnsi" w:cstheme="minorHAnsi"/>
        </w:rPr>
      </w:pPr>
    </w:p>
    <w:p w14:paraId="00001F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profundidad mínima deberá satisfacer todas las estructuras proyectadas, incluyendo aquellas de gran profundidad, tales como cisterna y demás estructuras que pudiesen estar enterradas. </w:t>
      </w:r>
    </w:p>
    <w:p w14:paraId="00001F63" w14:textId="77777777" w:rsidR="00F664DB" w:rsidRPr="00285D58" w:rsidRDefault="00F664DB" w:rsidP="008D1FFF">
      <w:pPr>
        <w:spacing w:line="276" w:lineRule="auto"/>
        <w:jc w:val="both"/>
        <w:rPr>
          <w:rFonts w:asciiTheme="minorHAnsi" w:eastAsia="Calibri" w:hAnsiTheme="minorHAnsi" w:cstheme="minorHAnsi"/>
        </w:rPr>
      </w:pPr>
    </w:p>
    <w:p w14:paraId="00001F6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11.3. CASO DE TERRENOS ARCILLOSOS </w:t>
      </w:r>
    </w:p>
    <w:p w14:paraId="00001F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Cuando los terrenos sean arcillosos, se deberá realizar ensayos de consolidación y, para terrenos con altos índices expansivos, deberán realizarse ensayos de expansión libre o controlada. Para estos casos se deberá coordinar con el Supervisor con el fin de estimar un plazo apropiado para la ejecución de estos ensayos </w:t>
      </w:r>
    </w:p>
    <w:p w14:paraId="00001F66" w14:textId="77777777" w:rsidR="00F664DB" w:rsidRPr="00285D58" w:rsidRDefault="00F664DB" w:rsidP="008D1FFF">
      <w:pPr>
        <w:spacing w:line="276" w:lineRule="auto"/>
        <w:jc w:val="both"/>
        <w:rPr>
          <w:rFonts w:asciiTheme="minorHAnsi" w:eastAsia="Calibri" w:hAnsiTheme="minorHAnsi" w:cstheme="minorHAnsi"/>
        </w:rPr>
      </w:pPr>
    </w:p>
    <w:p w14:paraId="00001F6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11.4. CASOS DE NIVELES FREÁTICOS ALTOS </w:t>
      </w:r>
    </w:p>
    <w:p w14:paraId="00001F68" w14:textId="77777777" w:rsidR="00F664DB" w:rsidRPr="00285D58" w:rsidRDefault="00F664DB" w:rsidP="008D1FFF">
      <w:pPr>
        <w:spacing w:line="276" w:lineRule="auto"/>
        <w:jc w:val="both"/>
        <w:rPr>
          <w:rFonts w:asciiTheme="minorHAnsi" w:eastAsia="Calibri" w:hAnsiTheme="minorHAnsi" w:cstheme="minorHAnsi"/>
        </w:rPr>
      </w:pPr>
    </w:p>
    <w:p w14:paraId="00001F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11.4.1. En el caso de encontrarse con niveles freáticos altos en estratos de suelos arenosos, deberá comunicarse al Supervisor la necesidad de efectuar los análisis probabilísticos y determinísticos del potencial de licuación de los suelos de acuerdo con las Leyes y Disposiciones Aplicables sobre suelos y cimentaciones. Para tales fines, con el Supervisor se coordinará programar la ejecución de un programa de investigación complementario que incluya la ejecución de sondajes SPT. </w:t>
      </w:r>
    </w:p>
    <w:p w14:paraId="00001F6A" w14:textId="77777777" w:rsidR="00F664DB" w:rsidRPr="00285D58" w:rsidRDefault="00F664DB" w:rsidP="008D1FFF">
      <w:pPr>
        <w:spacing w:line="276" w:lineRule="auto"/>
        <w:jc w:val="both"/>
        <w:rPr>
          <w:rFonts w:asciiTheme="minorHAnsi" w:eastAsia="Calibri" w:hAnsiTheme="minorHAnsi" w:cstheme="minorHAnsi"/>
        </w:rPr>
      </w:pPr>
    </w:p>
    <w:p w14:paraId="00001F6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11.4.2. En el caso de encontrarse con niveles freáticos altos en estratos de suelos blandos, deberá comunicarse al Supervisor la necesidad de efectuar un programa de investigación complementario que incluya la ejecución de sondajes “Ensayo de Penetración Estándar (SPT)” con muestreos inalterados por el método de tubo shelby y consecuentes ensayos de consolidación de suelos y </w:t>
      </w:r>
      <w:r w:rsidRPr="00285D58">
        <w:rPr>
          <w:rFonts w:asciiTheme="minorHAnsi" w:eastAsia="Calibri" w:hAnsiTheme="minorHAnsi" w:cstheme="minorHAnsi"/>
        </w:rPr>
        <w:lastRenderedPageBreak/>
        <w:t xml:space="preserve">compresiones uniaxiales no confinadas en laboratorio. </w:t>
      </w:r>
    </w:p>
    <w:p w14:paraId="00001F6C" w14:textId="77777777" w:rsidR="00F664DB" w:rsidRPr="00285D58" w:rsidRDefault="00F664DB" w:rsidP="008D1FFF">
      <w:pPr>
        <w:spacing w:line="276" w:lineRule="auto"/>
        <w:jc w:val="both"/>
        <w:rPr>
          <w:rFonts w:asciiTheme="minorHAnsi" w:eastAsia="Calibri" w:hAnsiTheme="minorHAnsi" w:cstheme="minorHAnsi"/>
        </w:rPr>
      </w:pPr>
    </w:p>
    <w:p w14:paraId="00001F6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11.5. CASO DE ESTRATOS DE RELLENOS MAYORES A 2.5 M.</w:t>
      </w:r>
    </w:p>
    <w:p w14:paraId="00001F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encontrarse estratos de relleno a más de 2.50 m de profundidad, es necesario realizar “Ensayo de Penetración Estándar (SPT)" o “Ensayos de Penetración Ligera (DPL)” (siempre y cuando el terreno lo permita y teniendo en cuenta limitaciones de los ensayos en las Leyes y Disposiciones Aplicables sobre suelos y cimentación). El número de exploraciones a realizar deberá ser el suficiente para cubrir el área a investigar, la profundidad de estos será hasta llegar a terreno firme apto para la ejecución de cimentaciones, dependerá del criterio profesional si a la profundidad que se llegue a terreno firme es adecuada desde el punto de vista de la factibilidad del proyecto.</w:t>
      </w:r>
    </w:p>
    <w:p w14:paraId="00001F6F" w14:textId="77777777" w:rsidR="00F664DB" w:rsidRPr="00285D58" w:rsidRDefault="00F664DB" w:rsidP="008D1FFF">
      <w:pPr>
        <w:spacing w:line="276" w:lineRule="auto"/>
        <w:jc w:val="both"/>
        <w:rPr>
          <w:rFonts w:asciiTheme="minorHAnsi" w:eastAsia="Calibri" w:hAnsiTheme="minorHAnsi" w:cstheme="minorHAnsi"/>
        </w:rPr>
      </w:pPr>
    </w:p>
    <w:p w14:paraId="00001F7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eventual caso de detectar rellenos no controlados a profundidades no mayores a tres (3) metros, se permite retirar estos materiales hasta dejar una superficie de terreno natural sobre la que se inicia la ejecución de los ensayos SPT. En el caso que la profundidad sea mayor que tres (3) metros, se debe cambiar el sistema de perforación a rotativa mecánico sin la necesidad de eliminar el relleno no controlado. </w:t>
      </w:r>
    </w:p>
    <w:p w14:paraId="00001F71" w14:textId="77777777" w:rsidR="00F664DB" w:rsidRPr="00285D58" w:rsidRDefault="00F664DB" w:rsidP="008D1FFF">
      <w:pPr>
        <w:spacing w:line="276" w:lineRule="auto"/>
        <w:jc w:val="both"/>
        <w:rPr>
          <w:rFonts w:asciiTheme="minorHAnsi" w:eastAsia="Calibri" w:hAnsiTheme="minorHAnsi" w:cstheme="minorHAnsi"/>
        </w:rPr>
      </w:pPr>
    </w:p>
    <w:p w14:paraId="00001F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ejecución de estos métodos de exploración debe ser comunicada al Supervisor.</w:t>
      </w:r>
    </w:p>
    <w:p w14:paraId="00001F73" w14:textId="77777777" w:rsidR="00F664DB" w:rsidRPr="00285D58" w:rsidRDefault="00F664DB" w:rsidP="008D1FFF">
      <w:pPr>
        <w:spacing w:line="276" w:lineRule="auto"/>
        <w:jc w:val="both"/>
        <w:rPr>
          <w:rFonts w:asciiTheme="minorHAnsi" w:eastAsia="Calibri" w:hAnsiTheme="minorHAnsi" w:cstheme="minorHAnsi"/>
        </w:rPr>
      </w:pPr>
    </w:p>
    <w:p w14:paraId="00001F7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11.6. DESNIVELES, PLATAFORMAS Y CALZADURAS </w:t>
      </w:r>
    </w:p>
    <w:p w14:paraId="00001F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presentar desniveles de plataformas interiores o desniveles con respecto al perímetro de las Estaciones, se recomienda analizar los siguientes coeficientes para elementos de sostenimiento tales como: Profundidad (establecido por tramos estático, peso unitario, cohesión, ángulo de fricción, coeficiente pasivo estático, factor de reducción del empuje e activo dinámico, coeficiente en reposo dinámico, coeficiente pasivo dinámico, coeficiente de fricción bajo la cimentación. Además, donde sea aplicable, se deberá incluir todas las recomendaciones necesarias de sostenimiento de las edificaciones, muros perimetrales, pistas y terrenos vecinos, considerando que estos pueden ser desestabilizados como consecuencia de un sismo o sobrecargas durante la ejecución de obra, lo cual deberá ser consignado en cálculos respectivos. </w:t>
      </w:r>
    </w:p>
    <w:p w14:paraId="00001F76" w14:textId="77777777" w:rsidR="00F664DB" w:rsidRPr="00285D58" w:rsidRDefault="00F664DB" w:rsidP="008D1FFF">
      <w:pPr>
        <w:spacing w:line="276" w:lineRule="auto"/>
        <w:jc w:val="both"/>
        <w:rPr>
          <w:rFonts w:asciiTheme="minorHAnsi" w:eastAsia="Calibri" w:hAnsiTheme="minorHAnsi" w:cstheme="minorHAnsi"/>
        </w:rPr>
      </w:pPr>
    </w:p>
    <w:p w14:paraId="00001F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cumplir con lo indicado, se deberá proporcionar toda la información referente al perfil de suelos que será involucrado por la obra de calzadura o sostenimiento. Dicha información deberá incluir como mínimo: el perfil del suelo mostrando sus diferentes estratos y el nivel freático, las características físicas, el peso unitario, el valor de la cohesión y el ángulo de fricción interno de los diferentes estratos que lo comprometen, según se aplique, debiendo obtenerse siguiendo las normas técnicas sobre suelos y cimentación. Estos mismos parámetros deben ser proporcionados para el caso de una eventual saturación del suelo. </w:t>
      </w:r>
    </w:p>
    <w:p w14:paraId="00001F78" w14:textId="77777777" w:rsidR="00F664DB" w:rsidRPr="00285D58" w:rsidRDefault="00F664DB" w:rsidP="008D1FFF">
      <w:pPr>
        <w:spacing w:line="276" w:lineRule="auto"/>
        <w:jc w:val="both"/>
        <w:rPr>
          <w:rFonts w:asciiTheme="minorHAnsi" w:eastAsia="Calibri" w:hAnsiTheme="minorHAnsi" w:cstheme="minorHAnsi"/>
        </w:rPr>
      </w:pPr>
    </w:p>
    <w:p w14:paraId="00001F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de ser requerido el bombeo de napa freática para la construcción de las obras de calzadura o sostenimiento, se deberá proponer coeficientes de permeabilidad horizontal y vertical del terreno, aplicables al cálculo del caudal de agua a extraer, y deberá prevenir cualquier consecuencia negativa que pueda ocasionar a la obra o a las edificaciones existentes el acto de </w:t>
      </w:r>
      <w:r w:rsidRPr="00285D58">
        <w:rPr>
          <w:rFonts w:asciiTheme="minorHAnsi" w:eastAsia="Calibri" w:hAnsiTheme="minorHAnsi" w:cstheme="minorHAnsi"/>
        </w:rPr>
        <w:lastRenderedPageBreak/>
        <w:t xml:space="preserve">bombear o abatir la napa freática. </w:t>
      </w:r>
    </w:p>
    <w:p w14:paraId="00001F7A" w14:textId="77777777" w:rsidR="00F664DB" w:rsidRPr="00285D58" w:rsidRDefault="00F664DB" w:rsidP="008D1FFF">
      <w:pPr>
        <w:spacing w:line="276" w:lineRule="auto"/>
        <w:jc w:val="both"/>
        <w:rPr>
          <w:rFonts w:asciiTheme="minorHAnsi" w:eastAsia="Calibri" w:hAnsiTheme="minorHAnsi" w:cstheme="minorHAnsi"/>
        </w:rPr>
      </w:pPr>
    </w:p>
    <w:p w14:paraId="00001F7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11.7. PARA CASOS DE OBRAS MENORES </w:t>
      </w:r>
    </w:p>
    <w:p w14:paraId="00001F7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el caso de obras menores, tales como cercos perimétricos, casetas, losas deportivas, gradas, rampas o escaleras exteriores, se deberá presentar las recomendaciones pertinentes, teniendo en cuenta que trasmiten cargas mínimas, motivo por el cual, se deberán incluir una gama de alternativas de cimentaciones de zapatas superficiales y cimientos corridos para estas obras menores. </w:t>
      </w:r>
    </w:p>
    <w:p w14:paraId="00001F7D" w14:textId="77777777" w:rsidR="00F664DB" w:rsidRPr="00285D58" w:rsidRDefault="00F664DB" w:rsidP="008D1FFF">
      <w:pPr>
        <w:spacing w:line="276" w:lineRule="auto"/>
        <w:jc w:val="both"/>
        <w:rPr>
          <w:rFonts w:asciiTheme="minorHAnsi" w:eastAsia="Calibri" w:hAnsiTheme="minorHAnsi" w:cstheme="minorHAnsi"/>
        </w:rPr>
      </w:pPr>
    </w:p>
    <w:p w14:paraId="00001F7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de la existencia de cercos perimétricos en predios colindantes, se deberá tener todas las precisiones para que las obras que se proyecten no afecten a dichos terceros.</w:t>
      </w:r>
    </w:p>
    <w:p w14:paraId="00001F7F" w14:textId="77777777" w:rsidR="00F664DB" w:rsidRPr="00285D58" w:rsidRDefault="00F664DB" w:rsidP="008D1FFF">
      <w:pPr>
        <w:spacing w:line="276" w:lineRule="auto"/>
        <w:jc w:val="both"/>
        <w:rPr>
          <w:rFonts w:asciiTheme="minorHAnsi" w:eastAsia="Calibri" w:hAnsiTheme="minorHAnsi" w:cstheme="minorHAnsi"/>
        </w:rPr>
      </w:pPr>
    </w:p>
    <w:p w14:paraId="00001F8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11.8. RECOMENDACIÓN REFERIDA A TRATAMIENTO DE SUBRASANTE</w:t>
      </w:r>
    </w:p>
    <w:p w14:paraId="00001F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deberá presentar recomendaciones del tratamiento de las rasantes en los pisos, losas deportivas, patios, veredas, estacionamientos, entre otros, indicando los espesores de corte (ya sea por relleno superficial), espesores de relleno estructural, incluyendo sus especificaciones granulométricas, modo de colocación (número de capas y grado de compactación o CBR), espesor de capas, así como los ensayos de control de calidad, valores mínimos para aceptación de capas colocadas y frecuencia de ejecución de ensayos de control de calidad. </w:t>
      </w:r>
    </w:p>
    <w:p w14:paraId="00001F82" w14:textId="77777777" w:rsidR="00F664DB" w:rsidRPr="00285D58" w:rsidRDefault="00F664DB" w:rsidP="008D1FFF">
      <w:pPr>
        <w:spacing w:line="276" w:lineRule="auto"/>
        <w:jc w:val="both"/>
        <w:rPr>
          <w:rFonts w:asciiTheme="minorHAnsi" w:eastAsia="Calibri" w:hAnsiTheme="minorHAnsi" w:cstheme="minorHAnsi"/>
        </w:rPr>
      </w:pPr>
    </w:p>
    <w:p w14:paraId="00001F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los casos donde se encuentren rellenos superficiales no controlados o material orgánico, se deberá recomendar el tratamiento adecuado para estos casos, que incluirá remoción de material de relleno con reemplazo de capas de afirmado o material granular, indicando los espesores de éstos y los grados de compactación necesarios para recibir las capas de concreto en la ejecución de obras exteriores, como patios, veredas, losa deportiva, entre otros. </w:t>
      </w:r>
    </w:p>
    <w:p w14:paraId="00001F84" w14:textId="77777777" w:rsidR="00F664DB" w:rsidRPr="00285D58" w:rsidRDefault="00F664DB" w:rsidP="008D1FFF">
      <w:pPr>
        <w:spacing w:line="276" w:lineRule="auto"/>
        <w:jc w:val="both"/>
        <w:rPr>
          <w:rFonts w:asciiTheme="minorHAnsi" w:eastAsia="Calibri" w:hAnsiTheme="minorHAnsi" w:cstheme="minorHAnsi"/>
        </w:rPr>
      </w:pPr>
    </w:p>
    <w:p w14:paraId="00001F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la misma manera, se procederá para las obras interiores, es decir, los pisos interiores; en ambos casos, se señalará el tratamiento de la subrasante. Estas recomendaciones deben ser concordantes con las Leyes y Disposiciones Aplicables sobre pavimentos urbanos y suelos y cimentaciones. </w:t>
      </w:r>
    </w:p>
    <w:p w14:paraId="00001F8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Suelos entregará como data de entrada para el diseño de pavimentos, el tipo de material (clasificación SUCS), la granulometría integral (incluyendo bolonería), ensayo CBR y ensayo Proctor Modificado, tomando en consideración las Leyes y Disposiciones Aplicables y las normas técnicas sobre pavimentos urbanos. Sobre esta base y tomando en consideración los accesos, estacionamientos, ciclovías, accesos, estacionamientos, vías interiores, entre otros, se realizará el diseño de los pavimentos rígidos o flexibles. </w:t>
      </w:r>
    </w:p>
    <w:p w14:paraId="00001F88" w14:textId="77777777" w:rsidR="00F664DB" w:rsidRPr="00285D58" w:rsidRDefault="00F664DB" w:rsidP="008D1FFF">
      <w:pPr>
        <w:spacing w:line="276" w:lineRule="auto"/>
        <w:jc w:val="both"/>
        <w:rPr>
          <w:rFonts w:asciiTheme="minorHAnsi" w:eastAsia="Calibri" w:hAnsiTheme="minorHAnsi" w:cstheme="minorHAnsi"/>
        </w:rPr>
      </w:pPr>
    </w:p>
    <w:p w14:paraId="00001F8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11.9. PRESENTACIÓN DE DOCUMENTOS, ENSAYOS, CERTIFICADOS</w:t>
      </w:r>
    </w:p>
    <w:p w14:paraId="00001F8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Todos los documentos, certificados, ensayos serán firmados por los responsables y avalados por el profesional que ha recibido el encargo del estudio.</w:t>
      </w:r>
    </w:p>
    <w:p w14:paraId="00001F8B" w14:textId="77777777" w:rsidR="00F664DB" w:rsidRPr="00285D58" w:rsidRDefault="00F664DB" w:rsidP="008D1FFF">
      <w:pPr>
        <w:spacing w:line="276" w:lineRule="auto"/>
        <w:jc w:val="both"/>
        <w:rPr>
          <w:rFonts w:asciiTheme="minorHAnsi" w:eastAsia="Calibri" w:hAnsiTheme="minorHAnsi" w:cstheme="minorHAnsi"/>
        </w:rPr>
      </w:pPr>
    </w:p>
    <w:p w14:paraId="00001F8C" w14:textId="77777777" w:rsidR="00F664DB" w:rsidRPr="00285D58" w:rsidRDefault="00F664DB" w:rsidP="008D1FFF">
      <w:pPr>
        <w:spacing w:line="276" w:lineRule="auto"/>
        <w:jc w:val="both"/>
        <w:rPr>
          <w:rFonts w:asciiTheme="minorHAnsi" w:eastAsia="Calibri" w:hAnsiTheme="minorHAnsi" w:cstheme="minorHAnsi"/>
        </w:rPr>
      </w:pPr>
    </w:p>
    <w:p w14:paraId="00001F8D" w14:textId="77777777" w:rsidR="00F664DB" w:rsidRPr="00285D58" w:rsidRDefault="00F664DB" w:rsidP="008D1FFF">
      <w:pPr>
        <w:spacing w:line="276" w:lineRule="auto"/>
        <w:jc w:val="both"/>
        <w:rPr>
          <w:rFonts w:asciiTheme="minorHAnsi" w:eastAsia="Calibri" w:hAnsiTheme="minorHAnsi" w:cstheme="minorHAnsi"/>
        </w:rPr>
      </w:pPr>
    </w:p>
    <w:p w14:paraId="00001F8E" w14:textId="77777777" w:rsidR="00F664DB" w:rsidRPr="00285D58" w:rsidRDefault="00F664DB" w:rsidP="008D1FFF">
      <w:pPr>
        <w:spacing w:line="276" w:lineRule="auto"/>
        <w:jc w:val="both"/>
        <w:rPr>
          <w:rFonts w:asciiTheme="minorHAnsi" w:eastAsia="Calibri" w:hAnsiTheme="minorHAnsi" w:cstheme="minorHAnsi"/>
        </w:rPr>
      </w:pPr>
    </w:p>
    <w:p w14:paraId="00001F8F" w14:textId="77777777" w:rsidR="00F664DB" w:rsidRPr="00285D58" w:rsidRDefault="00F664DB" w:rsidP="008D1FFF">
      <w:pPr>
        <w:spacing w:line="276" w:lineRule="auto"/>
        <w:jc w:val="both"/>
        <w:rPr>
          <w:rFonts w:asciiTheme="minorHAnsi" w:eastAsia="Calibri" w:hAnsiTheme="minorHAnsi" w:cstheme="minorHAnsi"/>
        </w:rPr>
      </w:pPr>
    </w:p>
    <w:p w14:paraId="00001FAF" w14:textId="77777777" w:rsidR="00F664DB" w:rsidRPr="00285D58" w:rsidRDefault="00F664DB" w:rsidP="008D1FFF">
      <w:pPr>
        <w:spacing w:line="276" w:lineRule="auto"/>
        <w:jc w:val="both"/>
        <w:rPr>
          <w:rFonts w:asciiTheme="minorHAnsi" w:eastAsia="Calibri" w:hAnsiTheme="minorHAnsi" w:cstheme="minorHAnsi"/>
        </w:rPr>
      </w:pPr>
    </w:p>
    <w:p w14:paraId="00001FB0" w14:textId="2C04F091"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79" w:name="_heading=h.onm9m1" w:colFirst="0" w:colLast="0"/>
      <w:bookmarkStart w:id="180" w:name="_Toc193979284"/>
      <w:bookmarkEnd w:id="179"/>
      <w:r w:rsidRPr="00285D58">
        <w:rPr>
          <w:rFonts w:asciiTheme="minorHAnsi" w:eastAsia="Calibri" w:hAnsiTheme="minorHAnsi" w:cstheme="minorHAnsi"/>
          <w:b/>
          <w:color w:val="1F4E79"/>
          <w:sz w:val="22"/>
          <w:szCs w:val="22"/>
        </w:rPr>
        <w:t>ANEXO 0</w:t>
      </w:r>
      <w:r w:rsidR="002D5F82" w:rsidRPr="00285D58">
        <w:rPr>
          <w:rFonts w:asciiTheme="minorHAnsi" w:eastAsia="Calibri" w:hAnsiTheme="minorHAnsi" w:cstheme="minorHAnsi"/>
          <w:b/>
          <w:color w:val="1F4E79"/>
          <w:sz w:val="22"/>
          <w:szCs w:val="22"/>
        </w:rPr>
        <w:t>8</w:t>
      </w:r>
      <w:r w:rsidRPr="00285D58">
        <w:rPr>
          <w:rFonts w:asciiTheme="minorHAnsi" w:eastAsia="Calibri" w:hAnsiTheme="minorHAnsi" w:cstheme="minorHAnsi"/>
          <w:b/>
          <w:color w:val="1F4E79"/>
          <w:sz w:val="22"/>
          <w:szCs w:val="22"/>
        </w:rPr>
        <w:t xml:space="preserve"> - APÉNDICE 6 - CONTENIDO PARA LA ELABORACIÓN DEL ESTUDIO DE SUELOS, CANTERAS Y FUENTES DE AGUA PARA LAS VÍAS TURÍSTICAS</w:t>
      </w:r>
      <w:bookmarkEnd w:id="180"/>
    </w:p>
    <w:p w14:paraId="00001FB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1" w:name="_heading=h.38n9s9u" w:colFirst="0" w:colLast="0"/>
      <w:bookmarkEnd w:id="181"/>
      <w:r w:rsidRPr="00285D58">
        <w:rPr>
          <w:rFonts w:asciiTheme="minorHAnsi" w:eastAsia="Calibri" w:hAnsiTheme="minorHAnsi" w:cstheme="minorHAnsi"/>
          <w:b/>
        </w:rPr>
        <w:t>ESTUDIO DE SUELOS</w:t>
      </w:r>
    </w:p>
    <w:p w14:paraId="00001FB2"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recopilará información sobre las características y estado del terreno a lo largo del tramo donde se proyecta la vía.</w:t>
      </w:r>
    </w:p>
    <w:p w14:paraId="00001FB3"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deberá establecer el Perfil Estratigráfico (Horizontal 1/10000 y Vertical 1:12.5) del suelo por donde se proyecte la vía a construir.</w:t>
      </w:r>
    </w:p>
    <w:p w14:paraId="00001FB4"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Para la definición del Perfil Estratigráfico, el CONCESIONARIO deberá efectuar prospecciones de estudio. Las prospecciones no deben ser menores de a dos (02) por cada kilómetro de vía, distanciadas uniformemente, en forma alternada (izquierda – derecha) y dentro de la franja de la vía proyectada. En caso de haber diferenciación en las características de los estratos entre calicatas contiguas, se hará una calicata adicional entre ambas. El Concesionario podrá utilizar como información referencial, los resultados de las calicatas obtenidas de estudios previos que se hayan realizado en la zona; asimismo, presentará las vistas fotográficas de la totalidad de calicatas efectuadas, en la que se aprecien los estratos encontrados y la profundidad de cada calicata. </w:t>
      </w:r>
    </w:p>
    <w:p w14:paraId="00001FB5"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profundidad de estudio será como mínimo de 1.50 m debajo de la línea de subrasante proyectada; de encontrarse suelos orgánicos o expansivos, se deberá aumentar la profundidad de la exploración de tal manera que se pueda determinar la potencia de estratos más profundos. La evaluación deberá determinar la presencia o no de suelos orgánicos o expansivos, a fin de recomendar acciones concretas sobre el tratamiento a realizarse en dichas zonas durante el proceso constructivo.</w:t>
      </w:r>
    </w:p>
    <w:p w14:paraId="00001FB6"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por cada calicata, un Registro de Excavación (columna estratigráfica), donde:</w:t>
      </w:r>
    </w:p>
    <w:p w14:paraId="00001FB7" w14:textId="77777777" w:rsidR="00F664DB" w:rsidRPr="00285D58" w:rsidRDefault="006049C1" w:rsidP="008D1FFF">
      <w:pPr>
        <w:widowControl/>
        <w:numPr>
          <w:ilvl w:val="1"/>
          <w:numId w:val="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Indique los espesores y descripción (tipo de material, color, humedad, compacidad, etc.) de cada uno de los estratos encontrados, (incluyendo la capa superficial).</w:t>
      </w:r>
    </w:p>
    <w:p w14:paraId="00001FB8" w14:textId="77777777" w:rsidR="00F664DB" w:rsidRPr="00285D58" w:rsidRDefault="006049C1" w:rsidP="008D1FFF">
      <w:pPr>
        <w:widowControl/>
        <w:numPr>
          <w:ilvl w:val="1"/>
          <w:numId w:val="1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Presentará vistas fotográficas de cada una de las calicatas, donde se aprecie los estratos encontrados y la profundidad de cada excavación.</w:t>
      </w:r>
    </w:p>
    <w:p w14:paraId="00001FB9"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calicatas deberán protegerse para su evaluación y estar debidamente referidas al sistema de poligonal (alineamiento de la vía proyectada) para su ubicación. Por seguridad, las calicatas serán debidamente rellenadas y compactadas una vez se haya concluido la evaluación y muestre de cada uno de los estratos encontrados en cantidades suficientes para la ejecución de los correspondientes ensayos de laboratorio.</w:t>
      </w:r>
    </w:p>
    <w:p w14:paraId="00001FBA"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cantidad de material muestreado debe ser tal que permita efectuar ensayos de verificación, en especial de los estratos seleccionados para la ejecución de Proctor y CBRs.</w:t>
      </w:r>
    </w:p>
    <w:p w14:paraId="00001FBB"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El Concesionario analizara y evaluara las muestras, ejecutando ensayos en el laboratorio de suelos y materiales en conformidad con las Normas EM-2000, ASTM, AASHTO y NTP, mismas que debe estar respaldados por certificados expedidos por un laboratorio reconocido, siendo responsable de la exactitud y confiabilidad de los resultados. </w:t>
      </w:r>
    </w:p>
    <w:p w14:paraId="00001FBC"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ensayos de laboratorio de Mecánica de Suelos a efectuarse a las muestras de cada estrato encontrado en cada prospección (calicata), se desarrollarán de acuerdo con el manual de Ensayo de Materiales para Carreteras del MTC y serán:</w:t>
      </w:r>
    </w:p>
    <w:p w14:paraId="00001FBD"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Granulométrico por tamizado</w:t>
      </w:r>
    </w:p>
    <w:p w14:paraId="00001FBE"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Humedad Natural</w:t>
      </w:r>
    </w:p>
    <w:p w14:paraId="00001FBF" w14:textId="0D251857" w:rsidR="00F664DB" w:rsidRPr="00285D58" w:rsidRDefault="00495C3C"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Límites</w:t>
      </w:r>
      <w:r w:rsidR="006049C1" w:rsidRPr="00285D58">
        <w:rPr>
          <w:rFonts w:asciiTheme="minorHAnsi" w:eastAsia="Calibri" w:hAnsiTheme="minorHAnsi" w:cstheme="minorHAnsi"/>
          <w:color w:val="000000"/>
        </w:rPr>
        <w:t xml:space="preserve"> de Atterberg (Limite Líquido, Limite Plástico, </w:t>
      </w:r>
      <w:r w:rsidRPr="00285D58">
        <w:rPr>
          <w:rFonts w:asciiTheme="minorHAnsi" w:eastAsia="Calibri" w:hAnsiTheme="minorHAnsi" w:cstheme="minorHAnsi"/>
          <w:color w:val="000000"/>
        </w:rPr>
        <w:t>Índice</w:t>
      </w:r>
      <w:r w:rsidR="006049C1" w:rsidRPr="00285D58">
        <w:rPr>
          <w:rFonts w:asciiTheme="minorHAnsi" w:eastAsia="Calibri" w:hAnsiTheme="minorHAnsi" w:cstheme="minorHAnsi"/>
          <w:color w:val="000000"/>
        </w:rPr>
        <w:t xml:space="preserve"> de Plasticidad)</w:t>
      </w:r>
    </w:p>
    <w:p w14:paraId="00001FC0" w14:textId="77777777" w:rsidR="00F664DB" w:rsidRPr="00285D58" w:rsidRDefault="006049C1" w:rsidP="008D1FFF">
      <w:pPr>
        <w:widowControl/>
        <w:numPr>
          <w:ilvl w:val="1"/>
          <w:numId w:val="1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 por los Métodos SUCS y AASHTO</w:t>
      </w:r>
    </w:p>
    <w:p w14:paraId="00001FC1"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 valor del CBR del terreno de fundación deberá obtenerse por cada tipo de suelo y como control de permanencia de esta cada dos (02) kilómetros como máximo, con la finalidad de obtener luego de un análisis estadístico, la determinación del CBR de diseño, que corresponda con el Perfil Estratigráfico (cada sector y/o subtramo de características homogéneas).</w:t>
      </w:r>
    </w:p>
    <w:p w14:paraId="00001FC2"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elaborara el Perfil Estratigráfico de la vía proyectada, considerando las cotas del terreno, en base a la información tomada en campo y a los resultados de ensayos de laboratorio; indicando tipo, espesor de los diferentes estratos de suelos, asimismo sus características como densidad, humedad, valor soporte, plasticidad, etc.</w:t>
      </w:r>
    </w:p>
    <w:p w14:paraId="00001FC3"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Evaluará el Perfil estratigráfico y de acuerdo a las características físico – mecánicas, determinará sectores críticos y sectores de características homogéneas.</w:t>
      </w:r>
    </w:p>
    <w:p w14:paraId="00001FC4"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 la finalidad de establecer el CBR de Diseño, se efectuará el análisis de los suelos desde el punto de vista de capacidad de soporte para el pavimento proyectado, el cual concluirá en la sectorización de la carretere de ser posible. El CBR de diseño, para la estructura del pavimento, se podrá establecer en base al valor de mayor incidencia en el sector, o en base al cálculo estadístico de todos los ensayos de CBR efectuados y la totalidad de suelos encontrados. </w:t>
      </w:r>
    </w:p>
    <w:p w14:paraId="00001FC5" w14:textId="5FC2DC25"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además de los certificados de ensayos de laboratorio, deberá presentar cuadros con el resumen y sistematización de los resultados de dichos ensayos, en donde se indique: </w:t>
      </w:r>
      <w:r w:rsidR="00D55B7A" w:rsidRPr="00285D58">
        <w:rPr>
          <w:rFonts w:asciiTheme="minorHAnsi" w:eastAsia="Calibri" w:hAnsiTheme="minorHAnsi" w:cstheme="minorHAnsi"/>
          <w:color w:val="000000"/>
        </w:rPr>
        <w:t>número</w:t>
      </w:r>
      <w:r w:rsidRPr="00285D58">
        <w:rPr>
          <w:rFonts w:asciiTheme="minorHAnsi" w:eastAsia="Calibri" w:hAnsiTheme="minorHAnsi" w:cstheme="minorHAnsi"/>
          <w:color w:val="000000"/>
        </w:rPr>
        <w:t xml:space="preserve"> de calicata, progresiva, muestra, profundidad del estrato, porcentajes de material retenido en las Mallas N°04 y N°200, constantes físicas (Límite Líquido e Índice de Plasticidad), humedad natural, clasificación SUCS y AASHTO, Proctor (máxima densidad seca y optimo contenido de humedad) y CBR (al 95 y 100% del MDS).</w:t>
      </w:r>
    </w:p>
    <w:p w14:paraId="00001FC6" w14:textId="6064F854"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elaborara el Perfil estratigráfico de la vía, considerando cotas del terreno y las cotas de la subrasante proyectada, así como también en base a la información tomada en campo y a los resultados de ensayos de laboratorio y representara en forma </w:t>
      </w:r>
      <w:r w:rsidR="00D55B7A" w:rsidRPr="00285D58">
        <w:rPr>
          <w:rFonts w:asciiTheme="minorHAnsi" w:eastAsia="Calibri" w:hAnsiTheme="minorHAnsi" w:cstheme="minorHAnsi"/>
          <w:color w:val="000000"/>
        </w:rPr>
        <w:t>gráfica</w:t>
      </w:r>
      <w:r w:rsidRPr="00285D58">
        <w:rPr>
          <w:rFonts w:asciiTheme="minorHAnsi" w:eastAsia="Calibri" w:hAnsiTheme="minorHAnsi" w:cstheme="minorHAnsi"/>
          <w:color w:val="000000"/>
        </w:rPr>
        <w:t xml:space="preserve"> los tipos de suelos y características físico – mecánicas, espesor de los estratos, nivel freático y demás observaciones que considere necesarios. Asimismo, evaluara el perfil y, de acuerdo a las características físicas – mecánicas, determinara sectores críticos y sectores de características homogéneas, indicando las recomendaciones sobre el tratamiento que deben recibir durante la construcción de obra.</w:t>
      </w:r>
    </w:p>
    <w:p w14:paraId="00001FC7"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El Perfil deberá incluir toda información que pudiera explicar la condición del suelo de la superficie y terreno natural en un espesor no menor de 1.50 m de profundidad por debajo de la subrasante proyectada. Se debe indicar las zonas con problemas de estabilidad de taludes, fuertes pendientes, curvas cerradas, etc.</w:t>
      </w:r>
    </w:p>
    <w:p w14:paraId="00001FC8"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 el Perfil, de acuerdo con lo señalado por la Highway Resear Board, se representará en forma gráfica, los tipos de suelos, espesor de los diferentes estratos, características físico – mecánicas de cada uno de los estratos de acuerdo con los resultados de ensayos de laboratorio, nivel freático y demás observaciones que considere el Concesionario. </w:t>
      </w:r>
    </w:p>
    <w:p w14:paraId="00001FC9"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Memoria Descriptiva del Estudio de Suelos, deberá considerar la descripción de los suelos encontrados, condición actual de la superficie y condición estructural del terreno de fundación, ubicación de materiales inadecuados (suelos orgánicos o expansivos), suelos débiles (si los hubiera) presencia de nivel freático, análisis de la totalidad de los resultados de ensayos de laboratorio, con sus recomendaciones, tratamiento, soluciones y demás observaciones al respecto que considere el Concesionario. </w:t>
      </w:r>
    </w:p>
    <w:p w14:paraId="00001FCA"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estudio debe especificar las profundidades (espesores), anchos y longitudes de aquellos sectores donde se efectuarán mejoramientos, ya sea por la existencia de materiales inadecuados, suelos débiles del trazo proyectado, así como de los cortes de taludes o ensanches de plataforma, indicando las características del material para el mejoramiento, el procedimiento constructivo y los metrados correspondientes.</w:t>
      </w:r>
    </w:p>
    <w:p w14:paraId="00001FCB" w14:textId="00648E0C"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efectuará el análisis de los suelos desde el punto de vista de capacidad de soporte para el pavimento proyectado, el cual concluirá en la sectorización de la vía de ser posible. El CBR de diseño para estructuración del pavimento, es el valor de mayor incidencia en el sector, por lo que, su </w:t>
      </w:r>
      <w:r w:rsidR="00D55B7A" w:rsidRPr="00285D58">
        <w:rPr>
          <w:rFonts w:asciiTheme="minorHAnsi" w:eastAsia="Calibri" w:hAnsiTheme="minorHAnsi" w:cstheme="minorHAnsi"/>
          <w:color w:val="000000"/>
        </w:rPr>
        <w:t>cálculo</w:t>
      </w:r>
      <w:r w:rsidRPr="00285D58">
        <w:rPr>
          <w:rFonts w:asciiTheme="minorHAnsi" w:eastAsia="Calibri" w:hAnsiTheme="minorHAnsi" w:cstheme="minorHAnsi"/>
          <w:color w:val="000000"/>
        </w:rPr>
        <w:t xml:space="preserve"> obedece a la estadística de todos los ensayos de CBR efectuados y la totalidad de suelos encontrados; luego dicho CBR de Diseño se empleará para establecer la estructura del pavimento.</w:t>
      </w:r>
    </w:p>
    <w:p w14:paraId="00001FCC" w14:textId="77777777" w:rsidR="00F664DB" w:rsidRPr="00285D58" w:rsidRDefault="006049C1" w:rsidP="008D1FFF">
      <w:pPr>
        <w:widowControl/>
        <w:numPr>
          <w:ilvl w:val="0"/>
          <w:numId w:val="2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analizara y evaluara las muestras en el laboratorio de suelos y materiales, siendo responsable de la exactitud y confiabilidad de los resultados.</w:t>
      </w:r>
    </w:p>
    <w:p w14:paraId="00001FCD"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182" w:name="_heading=h.1nsk2hn" w:colFirst="0" w:colLast="0"/>
      <w:bookmarkEnd w:id="182"/>
      <w:r w:rsidRPr="00285D58">
        <w:rPr>
          <w:rFonts w:asciiTheme="minorHAnsi" w:eastAsia="Calibri" w:hAnsiTheme="minorHAnsi" w:cstheme="minorHAnsi"/>
          <w:b/>
        </w:rPr>
        <w:t>CANTERAS Y FUENTES DE AGUA</w:t>
      </w:r>
    </w:p>
    <w:p w14:paraId="00001FCE"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localizarán las canteras que serán utilizadas en la conformación de la capa de afirmado y preparación de mezclas para concreto. Se seleccionarán únicamente aquellas que demuestren que la calidad y cantidad de material existente son adecuadas y suficientes para la construcción de la obra y que cumplan con los requisitos establecidos en las normas aplicables, además de contar con los criterios ambientales establecidos en el informe de evaluación ambiental.</w:t>
      </w:r>
    </w:p>
    <w:p w14:paraId="00001FCF"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trabajos por efectuarse tanto en campo, laboratorio y gabinete estarán orientados a desarrollar las actividades que permitan evaluar y establecer las características físico – mecánicas de los agregados procedentes de las canteras a fin de determinar su calidad y usos en los diferentes requerimientos de obra.</w:t>
      </w:r>
    </w:p>
    <w:p w14:paraId="00001FD0"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localizará como mínimo una (01) cantera para cada vía proyectada, las cuales serán utilizadas en las distintas capas estructurales del pavimento (rellenos, afirmado, etc.), </w:t>
      </w:r>
      <w:r w:rsidRPr="00285D58">
        <w:rPr>
          <w:rFonts w:asciiTheme="minorHAnsi" w:eastAsia="Calibri" w:hAnsiTheme="minorHAnsi" w:cstheme="minorHAnsi"/>
          <w:color w:val="000000"/>
        </w:rPr>
        <w:lastRenderedPageBreak/>
        <w:t>áreas de préstamo de material para conformar los rellenos, así como agregados pétreos para la elaboración de concretos hidráulicos, a las que inicialmente se propondrán con las estimaciones necesarias o serán descartadas según la experiencia del profesional responsable.</w:t>
      </w:r>
    </w:p>
    <w:p w14:paraId="00001FD1"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 efectuará el levantamiento topográfico solo de aquellas canteras que se utilizaran en el proyecto para determinar los usos, volumen y potencia del banco de materiales, deben ser delimitados en el terreno mediante hitos de fácil ubicación. Asimismo, se precisarán las coordenadas con GPS dichas canteras.</w:t>
      </w:r>
    </w:p>
    <w:p w14:paraId="00001FD2"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canteras serán analizadas y clasificadas, evaluando su calidad, potencia, rendimiento, accesibilidad, estado de las vías de acceso y por su situación legal (libre disponibilidad).</w:t>
      </w:r>
    </w:p>
    <w:p w14:paraId="00001FD3"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calculara el volumen de material utilizable y desechable y recomendara, el periodo y oportunidad de utilización, calculando el rendimiento para cada uso; señalara el procedimiento de explotación y su disponibilidad para proporcionar los diferentes tipos de materiales a ser empleados en la obra.</w:t>
      </w:r>
    </w:p>
    <w:p w14:paraId="00001FD4"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recomendará, de ser el caso, los tipos de plantas para la producción de agregados, para los diferentes husos granulométricos, señalará los requerimientos de rendimientos de producción.</w:t>
      </w:r>
    </w:p>
    <w:p w14:paraId="00001FD5" w14:textId="15481695"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calidad de </w:t>
      </w:r>
      <w:r w:rsidR="00D55B7A" w:rsidRPr="00285D58">
        <w:rPr>
          <w:rFonts w:asciiTheme="minorHAnsi" w:eastAsia="Calibri" w:hAnsiTheme="minorHAnsi" w:cstheme="minorHAnsi"/>
          <w:color w:val="000000"/>
        </w:rPr>
        <w:t>los</w:t>
      </w:r>
      <w:r w:rsidRPr="00285D58">
        <w:rPr>
          <w:rFonts w:asciiTheme="minorHAnsi" w:eastAsia="Calibri" w:hAnsiTheme="minorHAnsi" w:cstheme="minorHAnsi"/>
          <w:color w:val="000000"/>
        </w:rPr>
        <w:t xml:space="preserve"> agregados de la Cantera estará dada por el cumplimiento de la totalidad de las Especificaciones Técnicas Básicas del Proyecto.</w:t>
      </w:r>
    </w:p>
    <w:p w14:paraId="00001FD6"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 el fin de determinar los estratos a explotar, utilización, rendimientos y potencia de las canteras, el CONCESIONARIO realizara exploraciones (mínimo 02 prospecciones por cada área menor o igual a una hectárea) por medio de perforaciones, sondeos, calicatas y/o trincheras de profundidades no menores de la profundidad máxima de explotación. En caso de que la profundidad de explotación sea mayor, El Concesionario deberá profundizar las calicatas y/o efectuara calicatas complementarias, a fin de alcanzar la profundidad de explotación y garantizar la real potencia del Banco de Materiales.</w:t>
      </w:r>
    </w:p>
    <w:p w14:paraId="00001FD7"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un Registro de Excavación para cada una de las calicatas que realice en las canteras estudiadas, en donde detallará las características de los agregados, forma, tamaño, humedad, color, etc.</w:t>
      </w:r>
    </w:p>
    <w:p w14:paraId="00001FD8"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Los ensayos de laboratorio para determinar las características físico, químicas y mecánicas de los materiales de cantera, se efectuarán de acuerdo a las normas aplicables, y serán de acuerdo al uso propuesto, entre las cuales se encuentran los siguientes:</w:t>
      </w:r>
    </w:p>
    <w:p w14:paraId="00001FD9" w14:textId="77777777" w:rsidR="00F664DB" w:rsidRPr="00285D58" w:rsidRDefault="006049C1" w:rsidP="00A3732C">
      <w:pPr>
        <w:widowControl/>
        <w:numPr>
          <w:ilvl w:val="1"/>
          <w:numId w:val="1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Ensayos Estándar:</w:t>
      </w:r>
    </w:p>
    <w:p w14:paraId="00001FDA"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Análisis Granulométrico por tamizado</w:t>
      </w:r>
    </w:p>
    <w:p w14:paraId="00001FDB"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Material que pasa la malla n°200</w:t>
      </w:r>
    </w:p>
    <w:p w14:paraId="00001FDC"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Humedad Natural</w:t>
      </w:r>
    </w:p>
    <w:p w14:paraId="00001FDD"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Absorción (agregado grueso y fino)</w:t>
      </w:r>
    </w:p>
    <w:p w14:paraId="00001FDE"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Límites de Atterberg (material que pasa la Malla N°40)</w:t>
      </w:r>
    </w:p>
    <w:p w14:paraId="00001FDF"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Clasificación de suelos por los métodos SUCS y AASHTO</w:t>
      </w:r>
    </w:p>
    <w:p w14:paraId="00001FE0" w14:textId="77777777" w:rsidR="00F664DB" w:rsidRPr="00285D58" w:rsidRDefault="006049C1" w:rsidP="00A3732C">
      <w:pPr>
        <w:widowControl/>
        <w:numPr>
          <w:ilvl w:val="1"/>
          <w:numId w:val="19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Ensayos Especiales:</w:t>
      </w:r>
    </w:p>
    <w:p w14:paraId="00001FE1"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Proctor Modificado</w:t>
      </w:r>
    </w:p>
    <w:p w14:paraId="00001FE2"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California Bearing Ratio (CBR)</w:t>
      </w:r>
    </w:p>
    <w:p w14:paraId="00001FE3"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Porcentaje de partículas chatas y alargadas</w:t>
      </w:r>
    </w:p>
    <w:p w14:paraId="00001FE4"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partículas con una y dos caras de fractura</w:t>
      </w:r>
    </w:p>
    <w:p w14:paraId="00001FE5"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Porcentaje de absorción (agregado grueso y fino)</w:t>
      </w:r>
    </w:p>
    <w:p w14:paraId="00001FE6"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Equivalente de arena</w:t>
      </w:r>
    </w:p>
    <w:p w14:paraId="00001FE7"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Abrasión</w:t>
      </w:r>
    </w:p>
    <w:p w14:paraId="00001FE8"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Durabilidad (agregado grueso y fino)</w:t>
      </w:r>
    </w:p>
    <w:p w14:paraId="00001FE9"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Carbón y lignito (agregado grueso y fino)</w:t>
      </w:r>
    </w:p>
    <w:p w14:paraId="00001FEA"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Sales solubles totales</w:t>
      </w:r>
    </w:p>
    <w:p w14:paraId="00001FEB"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Contenido de sulfatos y cloruros (agregado grueso y fino)</w:t>
      </w:r>
    </w:p>
    <w:p w14:paraId="00001FEC"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Impurezas orgánicas (agregado grueso y fino)</w:t>
      </w:r>
    </w:p>
    <w:p w14:paraId="00001FED"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Terrones de arcilla (agregado grueso y fino)</w:t>
      </w:r>
    </w:p>
    <w:p w14:paraId="00001FEE"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Pesos volumétricos (suelto y compactado, agregado grueso y fino)</w:t>
      </w:r>
    </w:p>
    <w:p w14:paraId="00001FEF" w14:textId="77777777" w:rsidR="00F664DB" w:rsidRPr="00285D58" w:rsidRDefault="006049C1" w:rsidP="00A3732C">
      <w:pPr>
        <w:widowControl/>
        <w:numPr>
          <w:ilvl w:val="2"/>
          <w:numId w:val="19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Pesos específicos (suelto y compactado, agregado grueso y fino)</w:t>
      </w:r>
    </w:p>
    <w:p w14:paraId="00001FF0"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En el caso de rocas y/o afloramientos rocosos que se hayan propuesto como cantera, los ensayos de calidad contemplaran, además:</w:t>
      </w:r>
    </w:p>
    <w:p w14:paraId="00001FF1"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petrográfica macroscópica de la roca.</w:t>
      </w:r>
    </w:p>
    <w:p w14:paraId="00001FF2"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Definición de las características del afloramiento (volumen, fracturamiento, dimensionamiento de bloques, etc.) </w:t>
      </w:r>
    </w:p>
    <w:p w14:paraId="00001FF3" w14:textId="77777777" w:rsidR="00F664DB" w:rsidRPr="00285D58" w:rsidRDefault="006049C1" w:rsidP="008D1FFF">
      <w:pPr>
        <w:widowControl/>
        <w:pBdr>
          <w:top w:val="nil"/>
          <w:left w:val="nil"/>
          <w:bottom w:val="nil"/>
          <w:right w:val="nil"/>
          <w:between w:val="nil"/>
        </w:pBdr>
        <w:spacing w:line="276" w:lineRule="auto"/>
        <w:ind w:left="1647" w:hanging="360"/>
        <w:jc w:val="both"/>
        <w:rPr>
          <w:rFonts w:asciiTheme="minorHAnsi" w:eastAsia="Calibri" w:hAnsiTheme="minorHAnsi" w:cstheme="minorHAnsi"/>
          <w:color w:val="000000"/>
        </w:rPr>
      </w:pPr>
      <w:r w:rsidRPr="00285D58">
        <w:rPr>
          <w:rFonts w:asciiTheme="minorHAnsi" w:eastAsia="Calibri" w:hAnsiTheme="minorHAnsi" w:cstheme="minorHAnsi"/>
          <w:color w:val="000000"/>
        </w:rPr>
        <w:t>Recomendación de la metodología de procesamiento de explotación (método de voladura, chancado, etc.).</w:t>
      </w:r>
    </w:p>
    <w:p w14:paraId="00001FF4"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Memoria Descriptiva debe establecer la información correspondiente a: ubicación del banco de materiales, accesibilidad al mismo (longitud y estado), tipo de fuente de materiales, descripción de los agregados, potencia, rendimiento, usos, tratamiento, tipo y periodo de explotación, propietario y demás información que considere pertinente el Concesionario.</w:t>
      </w:r>
    </w:p>
    <w:p w14:paraId="00001FF5"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Deberá determina la ubicación de las Fuentes de Agua, efectuar su análisis químico y determinar su calidad para ser usada en la obra (para mezclas de concreto, capas granulares y otros). Debiendo como mínimo realizar los siguientes ensayos: sales solubles, materia orgánica, PH, contenido de ion cloruros e ion sulfatos.</w:t>
      </w:r>
    </w:p>
    <w:p w14:paraId="00001FF6"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Deberá evaluar los requerimientos de los accesos a las canteras, considerando las necesidades de construirlos o mejorarlos, señalara también si los accesos se ubican dentro de propiedades de terceros.</w:t>
      </w:r>
    </w:p>
    <w:p w14:paraId="00001FF7"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El Concesionario presentará un plano de canteras y fuentes de agua, en el cual detallará la forma concreta y resumida de los resultados de las investigaciones de campo y Memoria Descriptiva (entre otros aspectos tales como: ubicación de las canteras y puntos de agua, longitud y estado de los accesos, características de los agregados, usos, potencia, rendimiento, tratamiento, periodo y equipo de explotación).</w:t>
      </w:r>
    </w:p>
    <w:p w14:paraId="00001FF8" w14:textId="7EABB493"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establecer las condiciones legales y técnicas o posibles derechos de explotación de canteras, para realizar los </w:t>
      </w:r>
      <w:r w:rsidR="00495C3C" w:rsidRPr="00285D58">
        <w:rPr>
          <w:rFonts w:asciiTheme="minorHAnsi" w:eastAsia="Calibri" w:hAnsiTheme="minorHAnsi" w:cstheme="minorHAnsi"/>
          <w:color w:val="000000"/>
        </w:rPr>
        <w:t>trámites</w:t>
      </w:r>
      <w:r w:rsidRPr="00285D58">
        <w:rPr>
          <w:rFonts w:asciiTheme="minorHAnsi" w:eastAsia="Calibri" w:hAnsiTheme="minorHAnsi" w:cstheme="minorHAnsi"/>
          <w:color w:val="000000"/>
        </w:rPr>
        <w:t xml:space="preserve"> correspondientes para la obtención de los permisos, autorizaciones y concesiones de tipo ambiental, así como las servidumbres, necesarias para la extracción, uso y aprovechamiento de los recursos naturales requeridos por el Proyecto.</w:t>
      </w:r>
    </w:p>
    <w:p w14:paraId="00001FF9"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En el caso de tratarse de canteras de ríos (cauces) y fuentes de agua, el Concesionario deberá realizar las gestiones correspondientes para la obtención de los permisos de disponibilidad ante la Autoridad Nacional de Agua. </w:t>
      </w:r>
    </w:p>
    <w:p w14:paraId="00001FFA" w14:textId="77777777" w:rsidR="00F664DB" w:rsidRPr="00285D58" w:rsidRDefault="006049C1" w:rsidP="008D1FFF">
      <w:pPr>
        <w:widowControl/>
        <w:numPr>
          <w:ilvl w:val="0"/>
          <w:numId w:val="2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canteras y fuentes de agua no deberán ubicarse en zonas arqueológicas o colindantes a ellas, debiendo reconsiderar una nueva cantera y/o fuente de agua.</w:t>
      </w:r>
    </w:p>
    <w:p w14:paraId="00001FFB" w14:textId="77777777" w:rsidR="00F664DB" w:rsidRPr="00285D58" w:rsidRDefault="00F664DB" w:rsidP="008D1FFF">
      <w:pPr>
        <w:spacing w:line="276" w:lineRule="auto"/>
        <w:jc w:val="both"/>
        <w:rPr>
          <w:rFonts w:asciiTheme="minorHAnsi" w:eastAsia="Calibri" w:hAnsiTheme="minorHAnsi" w:cstheme="minorHAnsi"/>
        </w:rPr>
      </w:pPr>
    </w:p>
    <w:p w14:paraId="00001FFC" w14:textId="77777777" w:rsidR="00F664DB" w:rsidRPr="00285D58" w:rsidRDefault="00F664DB" w:rsidP="008D1FFF">
      <w:pPr>
        <w:spacing w:line="276" w:lineRule="auto"/>
        <w:jc w:val="both"/>
        <w:rPr>
          <w:rFonts w:asciiTheme="minorHAnsi" w:eastAsia="Calibri" w:hAnsiTheme="minorHAnsi" w:cstheme="minorHAnsi"/>
        </w:rPr>
      </w:pPr>
    </w:p>
    <w:p w14:paraId="00001FFD" w14:textId="77777777" w:rsidR="00F664DB" w:rsidRPr="00285D58" w:rsidRDefault="00F664DB" w:rsidP="008D1FFF">
      <w:pPr>
        <w:spacing w:line="276" w:lineRule="auto"/>
        <w:jc w:val="both"/>
        <w:rPr>
          <w:rFonts w:asciiTheme="minorHAnsi" w:eastAsia="Calibri" w:hAnsiTheme="minorHAnsi" w:cstheme="minorHAnsi"/>
        </w:rPr>
      </w:pPr>
    </w:p>
    <w:p w14:paraId="00001FFE" w14:textId="77777777" w:rsidR="00F664DB" w:rsidRPr="00285D58" w:rsidRDefault="00F664DB" w:rsidP="008D1FFF">
      <w:pPr>
        <w:spacing w:line="276" w:lineRule="auto"/>
        <w:jc w:val="both"/>
        <w:rPr>
          <w:rFonts w:asciiTheme="minorHAnsi" w:eastAsia="Calibri" w:hAnsiTheme="minorHAnsi" w:cstheme="minorHAnsi"/>
        </w:rPr>
      </w:pPr>
    </w:p>
    <w:p w14:paraId="00001FFF" w14:textId="77777777" w:rsidR="00F664DB" w:rsidRPr="00285D58" w:rsidRDefault="00F664DB" w:rsidP="008D1FFF">
      <w:pPr>
        <w:spacing w:line="276" w:lineRule="auto"/>
        <w:jc w:val="both"/>
        <w:rPr>
          <w:rFonts w:asciiTheme="minorHAnsi" w:eastAsia="Calibri" w:hAnsiTheme="minorHAnsi" w:cstheme="minorHAnsi"/>
        </w:rPr>
      </w:pPr>
    </w:p>
    <w:p w14:paraId="00002000" w14:textId="77777777" w:rsidR="00F664DB" w:rsidRPr="00285D58" w:rsidRDefault="00F664DB" w:rsidP="008D1FFF">
      <w:pPr>
        <w:spacing w:line="276" w:lineRule="auto"/>
        <w:jc w:val="both"/>
        <w:rPr>
          <w:rFonts w:asciiTheme="minorHAnsi" w:eastAsia="Calibri" w:hAnsiTheme="minorHAnsi" w:cstheme="minorHAnsi"/>
        </w:rPr>
      </w:pPr>
    </w:p>
    <w:p w14:paraId="00002001" w14:textId="77777777" w:rsidR="00F664DB" w:rsidRPr="00285D58" w:rsidRDefault="00F664DB" w:rsidP="008D1FFF">
      <w:pPr>
        <w:spacing w:line="276" w:lineRule="auto"/>
        <w:jc w:val="both"/>
        <w:rPr>
          <w:rFonts w:asciiTheme="minorHAnsi" w:eastAsia="Calibri" w:hAnsiTheme="minorHAnsi" w:cstheme="minorHAnsi"/>
        </w:rPr>
      </w:pPr>
    </w:p>
    <w:p w14:paraId="00002002" w14:textId="77777777" w:rsidR="00F664DB" w:rsidRPr="00285D58" w:rsidRDefault="00F664DB" w:rsidP="008D1FFF">
      <w:pPr>
        <w:spacing w:line="276" w:lineRule="auto"/>
        <w:jc w:val="both"/>
        <w:rPr>
          <w:rFonts w:asciiTheme="minorHAnsi" w:eastAsia="Calibri" w:hAnsiTheme="minorHAnsi" w:cstheme="minorHAnsi"/>
        </w:rPr>
      </w:pPr>
    </w:p>
    <w:p w14:paraId="00002003" w14:textId="77777777" w:rsidR="00F664DB" w:rsidRPr="00285D58" w:rsidRDefault="00F664DB" w:rsidP="008D1FFF">
      <w:pPr>
        <w:spacing w:line="276" w:lineRule="auto"/>
        <w:jc w:val="both"/>
        <w:rPr>
          <w:rFonts w:asciiTheme="minorHAnsi" w:eastAsia="Calibri" w:hAnsiTheme="minorHAnsi" w:cstheme="minorHAnsi"/>
        </w:rPr>
      </w:pPr>
    </w:p>
    <w:p w14:paraId="00002004" w14:textId="77777777" w:rsidR="00F664DB" w:rsidRPr="00285D58" w:rsidRDefault="00F664DB" w:rsidP="008D1FFF">
      <w:pPr>
        <w:spacing w:line="276" w:lineRule="auto"/>
        <w:jc w:val="both"/>
        <w:rPr>
          <w:rFonts w:asciiTheme="minorHAnsi" w:eastAsia="Calibri" w:hAnsiTheme="minorHAnsi" w:cstheme="minorHAnsi"/>
        </w:rPr>
      </w:pPr>
    </w:p>
    <w:p w14:paraId="00002005" w14:textId="77777777" w:rsidR="00F664DB" w:rsidRPr="00285D58" w:rsidRDefault="00F664DB" w:rsidP="008D1FFF">
      <w:pPr>
        <w:spacing w:line="276" w:lineRule="auto"/>
        <w:jc w:val="both"/>
        <w:rPr>
          <w:rFonts w:asciiTheme="minorHAnsi" w:eastAsia="Calibri" w:hAnsiTheme="minorHAnsi" w:cstheme="minorHAnsi"/>
        </w:rPr>
      </w:pPr>
    </w:p>
    <w:p w14:paraId="00002006" w14:textId="77777777" w:rsidR="00F664DB" w:rsidRPr="00285D58" w:rsidRDefault="00F664DB" w:rsidP="008D1FFF">
      <w:pPr>
        <w:spacing w:line="276" w:lineRule="auto"/>
        <w:jc w:val="both"/>
        <w:rPr>
          <w:rFonts w:asciiTheme="minorHAnsi" w:eastAsia="Calibri" w:hAnsiTheme="minorHAnsi" w:cstheme="minorHAnsi"/>
        </w:rPr>
      </w:pPr>
    </w:p>
    <w:p w14:paraId="00002007" w14:textId="77777777" w:rsidR="00F664DB" w:rsidRPr="00285D58" w:rsidRDefault="00F664DB" w:rsidP="008D1FFF">
      <w:pPr>
        <w:spacing w:line="276" w:lineRule="auto"/>
        <w:jc w:val="both"/>
        <w:rPr>
          <w:rFonts w:asciiTheme="minorHAnsi" w:eastAsia="Calibri" w:hAnsiTheme="minorHAnsi" w:cstheme="minorHAnsi"/>
        </w:rPr>
      </w:pPr>
    </w:p>
    <w:p w14:paraId="00002008" w14:textId="77777777" w:rsidR="00F664DB" w:rsidRPr="00285D58" w:rsidRDefault="00F664DB" w:rsidP="008D1FFF">
      <w:pPr>
        <w:spacing w:line="276" w:lineRule="auto"/>
        <w:jc w:val="both"/>
        <w:rPr>
          <w:rFonts w:asciiTheme="minorHAnsi" w:eastAsia="Calibri" w:hAnsiTheme="minorHAnsi" w:cstheme="minorHAnsi"/>
        </w:rPr>
      </w:pPr>
    </w:p>
    <w:p w14:paraId="00002009" w14:textId="77777777" w:rsidR="00F664DB" w:rsidRPr="00285D58" w:rsidRDefault="00F664DB" w:rsidP="008D1FFF">
      <w:pPr>
        <w:spacing w:line="276" w:lineRule="auto"/>
        <w:jc w:val="both"/>
        <w:rPr>
          <w:rFonts w:asciiTheme="minorHAnsi" w:eastAsia="Calibri" w:hAnsiTheme="minorHAnsi" w:cstheme="minorHAnsi"/>
        </w:rPr>
      </w:pPr>
    </w:p>
    <w:p w14:paraId="0000200A" w14:textId="77777777" w:rsidR="00F664DB" w:rsidRPr="00285D58" w:rsidRDefault="00F664DB" w:rsidP="008D1FFF">
      <w:pPr>
        <w:spacing w:line="276" w:lineRule="auto"/>
        <w:jc w:val="both"/>
        <w:rPr>
          <w:rFonts w:asciiTheme="minorHAnsi" w:eastAsia="Calibri" w:hAnsiTheme="minorHAnsi" w:cstheme="minorHAnsi"/>
        </w:rPr>
      </w:pPr>
    </w:p>
    <w:p w14:paraId="0000200B" w14:textId="77777777" w:rsidR="00F664DB" w:rsidRPr="00285D58" w:rsidRDefault="00F664DB" w:rsidP="008D1FFF">
      <w:pPr>
        <w:spacing w:line="276" w:lineRule="auto"/>
        <w:jc w:val="both"/>
        <w:rPr>
          <w:rFonts w:asciiTheme="minorHAnsi" w:eastAsia="Calibri" w:hAnsiTheme="minorHAnsi" w:cstheme="minorHAnsi"/>
        </w:rPr>
      </w:pPr>
    </w:p>
    <w:p w14:paraId="0000200C" w14:textId="77777777" w:rsidR="00F664DB" w:rsidRPr="00285D58" w:rsidRDefault="00F664DB" w:rsidP="008D1FFF">
      <w:pPr>
        <w:spacing w:line="276" w:lineRule="auto"/>
        <w:jc w:val="both"/>
        <w:rPr>
          <w:rFonts w:asciiTheme="minorHAnsi" w:eastAsia="Calibri" w:hAnsiTheme="minorHAnsi" w:cstheme="minorHAnsi"/>
        </w:rPr>
      </w:pPr>
    </w:p>
    <w:p w14:paraId="0000200D" w14:textId="77777777" w:rsidR="00F664DB" w:rsidRPr="00285D58" w:rsidRDefault="00F664DB" w:rsidP="008D1FFF">
      <w:pPr>
        <w:spacing w:line="276" w:lineRule="auto"/>
        <w:jc w:val="both"/>
        <w:rPr>
          <w:rFonts w:asciiTheme="minorHAnsi" w:eastAsia="Calibri" w:hAnsiTheme="minorHAnsi" w:cstheme="minorHAnsi"/>
        </w:rPr>
      </w:pPr>
    </w:p>
    <w:p w14:paraId="0000200E" w14:textId="77777777" w:rsidR="00F664DB" w:rsidRPr="00285D58" w:rsidRDefault="00F664DB" w:rsidP="008D1FFF">
      <w:pPr>
        <w:spacing w:line="276" w:lineRule="auto"/>
        <w:jc w:val="both"/>
        <w:rPr>
          <w:rFonts w:asciiTheme="minorHAnsi" w:eastAsia="Calibri" w:hAnsiTheme="minorHAnsi" w:cstheme="minorHAnsi"/>
        </w:rPr>
      </w:pPr>
    </w:p>
    <w:p w14:paraId="0000200F" w14:textId="77777777" w:rsidR="00F664DB" w:rsidRPr="00285D58" w:rsidRDefault="00F664DB" w:rsidP="008D1FFF">
      <w:pPr>
        <w:spacing w:line="276" w:lineRule="auto"/>
        <w:jc w:val="both"/>
        <w:rPr>
          <w:rFonts w:asciiTheme="minorHAnsi" w:eastAsia="Calibri" w:hAnsiTheme="minorHAnsi" w:cstheme="minorHAnsi"/>
        </w:rPr>
      </w:pPr>
    </w:p>
    <w:p w14:paraId="00002010" w14:textId="77777777" w:rsidR="00F664DB" w:rsidRPr="00285D58" w:rsidRDefault="00F664DB" w:rsidP="008D1FFF">
      <w:pPr>
        <w:spacing w:line="276" w:lineRule="auto"/>
        <w:jc w:val="both"/>
        <w:rPr>
          <w:rFonts w:asciiTheme="minorHAnsi" w:eastAsia="Calibri" w:hAnsiTheme="minorHAnsi" w:cstheme="minorHAnsi"/>
        </w:rPr>
      </w:pPr>
    </w:p>
    <w:p w14:paraId="00002011" w14:textId="77777777" w:rsidR="00F664DB" w:rsidRPr="00285D58" w:rsidRDefault="00F664DB" w:rsidP="008D1FFF">
      <w:pPr>
        <w:spacing w:line="276" w:lineRule="auto"/>
        <w:jc w:val="both"/>
        <w:rPr>
          <w:rFonts w:asciiTheme="minorHAnsi" w:eastAsia="Calibri" w:hAnsiTheme="minorHAnsi" w:cstheme="minorHAnsi"/>
        </w:rPr>
      </w:pPr>
    </w:p>
    <w:p w14:paraId="00002012" w14:textId="77777777" w:rsidR="00F664DB" w:rsidRPr="00285D58" w:rsidRDefault="006049C1" w:rsidP="008D1FFF">
      <w:pPr>
        <w:widowControl/>
        <w:spacing w:after="160" w:line="276" w:lineRule="auto"/>
        <w:jc w:val="both"/>
        <w:rPr>
          <w:rFonts w:asciiTheme="minorHAnsi" w:eastAsia="Calibri" w:hAnsiTheme="minorHAnsi" w:cstheme="minorHAnsi"/>
        </w:rPr>
      </w:pPr>
      <w:r w:rsidRPr="00285D58">
        <w:rPr>
          <w:rFonts w:asciiTheme="minorHAnsi" w:hAnsiTheme="minorHAnsi" w:cstheme="minorHAnsi"/>
        </w:rPr>
        <w:br w:type="page"/>
      </w:r>
    </w:p>
    <w:p w14:paraId="00002013" w14:textId="560547CC" w:rsidR="00F664DB" w:rsidRPr="00285D58" w:rsidRDefault="009201AB" w:rsidP="008D1FFF">
      <w:pPr>
        <w:pStyle w:val="Ttulo2"/>
        <w:spacing w:before="1" w:line="276" w:lineRule="auto"/>
        <w:jc w:val="both"/>
        <w:rPr>
          <w:rFonts w:asciiTheme="minorHAnsi" w:eastAsia="Calibri" w:hAnsiTheme="minorHAnsi" w:cstheme="minorHAnsi"/>
          <w:b/>
          <w:color w:val="1F4E79"/>
          <w:sz w:val="22"/>
          <w:szCs w:val="22"/>
        </w:rPr>
      </w:pPr>
      <w:bookmarkStart w:id="183" w:name="_heading=h.47s7l5g" w:colFirst="0" w:colLast="0"/>
      <w:bookmarkStart w:id="184" w:name="_Toc193979285"/>
      <w:bookmarkEnd w:id="183"/>
      <w:r w:rsidRPr="00285D58">
        <w:rPr>
          <w:rFonts w:asciiTheme="minorHAnsi" w:eastAsia="Calibri" w:hAnsiTheme="minorHAnsi" w:cstheme="minorHAnsi"/>
          <w:b/>
          <w:color w:val="1F4E79"/>
          <w:sz w:val="22"/>
          <w:szCs w:val="22"/>
        </w:rPr>
        <w:lastRenderedPageBreak/>
        <w:t>ANEXO 08 - APÉNDICE 7 - CONTENIDO PARA LA ELABORACIÓN DEL ESTUDIO DE HIDROLOGÍA Y DRENAJE PARA LAS VÍAS TURÍSTICAS</w:t>
      </w:r>
      <w:bookmarkEnd w:id="184"/>
      <w:r w:rsidRPr="00285D58">
        <w:rPr>
          <w:rFonts w:asciiTheme="minorHAnsi" w:eastAsia="Calibri" w:hAnsiTheme="minorHAnsi" w:cstheme="minorHAnsi"/>
          <w:b/>
          <w:color w:val="1F4E79"/>
          <w:sz w:val="22"/>
          <w:szCs w:val="22"/>
        </w:rPr>
        <w:t xml:space="preserve"> </w:t>
      </w:r>
    </w:p>
    <w:p w14:paraId="0000201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5" w:name="_heading=h.2mxhvd9" w:colFirst="0" w:colLast="0"/>
      <w:bookmarkEnd w:id="185"/>
      <w:r w:rsidRPr="00285D58">
        <w:rPr>
          <w:rFonts w:asciiTheme="minorHAnsi" w:eastAsia="Calibri" w:hAnsiTheme="minorHAnsi" w:cstheme="minorHAnsi"/>
          <w:b/>
        </w:rPr>
        <w:t>OBJETO</w:t>
      </w:r>
    </w:p>
    <w:p w14:paraId="0000201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Ejecución del estudio de Hidrología y Drenaje de las Vías Turísticas del Proyecto, a fin de proponer el sistema de drenaje más adecuado (alcantarillas, tajeas, badenes, desviadores de agua, etc.) que permita la durabilidad y preservación de la vida útil de la calzada y el medio ambiente. </w:t>
      </w:r>
    </w:p>
    <w:p w14:paraId="0000201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6" w:name="_heading=h.122s5l2" w:colFirst="0" w:colLast="0"/>
      <w:bookmarkEnd w:id="186"/>
      <w:r w:rsidRPr="00285D58">
        <w:rPr>
          <w:rFonts w:asciiTheme="minorHAnsi" w:eastAsia="Calibri" w:hAnsiTheme="minorHAnsi" w:cstheme="minorHAnsi"/>
          <w:b/>
        </w:rPr>
        <w:t>NORMATIVIDAD</w:t>
      </w:r>
    </w:p>
    <w:p w14:paraId="0000201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considerar las Leyes y Disposiciones Aplicables para el cumplimiento de sus obligaciones. Los estudios de suelos deberán realizarse de acuerdo con dichas Leyes y Disposiciones Aplicables, y considerando las normas técnicas respectivas.</w:t>
      </w:r>
    </w:p>
    <w:p w14:paraId="00002018"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7" w:name="_heading=h.3m2fo8v" w:colFirst="0" w:colLast="0"/>
      <w:bookmarkEnd w:id="187"/>
      <w:r w:rsidRPr="00285D58">
        <w:rPr>
          <w:rFonts w:asciiTheme="minorHAnsi" w:eastAsia="Calibri" w:hAnsiTheme="minorHAnsi" w:cstheme="minorHAnsi"/>
          <w:b/>
        </w:rPr>
        <w:t>GENERALIDADES</w:t>
      </w:r>
    </w:p>
    <w:p w14:paraId="000020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estudio de hidrología y drenaje deberá incluir la ubicación del área de estudio, así como una breve descripción de la misma. Para ello se deberá apoyar en imágenes, mapas, o cualquier material gráfico que permita la identificación del área de estudio y del tramo de la vía turística.  </w:t>
      </w:r>
    </w:p>
    <w:p w14:paraId="0000201A" w14:textId="77777777" w:rsidR="00F664DB" w:rsidRPr="00285D58" w:rsidRDefault="00F664DB" w:rsidP="008D1FFF">
      <w:pPr>
        <w:spacing w:line="276" w:lineRule="auto"/>
        <w:jc w:val="both"/>
        <w:rPr>
          <w:rFonts w:asciiTheme="minorHAnsi" w:eastAsia="Calibri" w:hAnsiTheme="minorHAnsi" w:cstheme="minorHAnsi"/>
        </w:rPr>
      </w:pPr>
    </w:p>
    <w:p w14:paraId="0000201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Por otro lado, se deberá definir claramente el alcance de los trabajos realizados y del contenido del estudio.</w:t>
      </w:r>
    </w:p>
    <w:p w14:paraId="0000201C"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8" w:name="_heading=h.217pygo" w:colFirst="0" w:colLast="0"/>
      <w:bookmarkEnd w:id="188"/>
      <w:r w:rsidRPr="00285D58">
        <w:rPr>
          <w:rFonts w:asciiTheme="minorHAnsi" w:eastAsia="Calibri" w:hAnsiTheme="minorHAnsi" w:cstheme="minorHAnsi"/>
          <w:b/>
        </w:rPr>
        <w:t xml:space="preserve">RECOPILACIÓN DE INFORMACIÓN </w:t>
      </w:r>
    </w:p>
    <w:p w14:paraId="000020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Para la realización del estudio Hidrológico del sistema de drenaje de las vías, se deberá indicar y presentar los registros de precipitación provenientes de las estaciones hidrometereológicas que se encuentren cerca del área de estudio. Asimismo, se deberá indicar su ubicación. Los registros de precipitación deben contar al menos con 10 años. </w:t>
      </w:r>
    </w:p>
    <w:p w14:paraId="0000201E" w14:textId="77777777" w:rsidR="00F664DB" w:rsidRPr="00285D58" w:rsidRDefault="00F664DB" w:rsidP="008D1FFF">
      <w:pPr>
        <w:spacing w:line="276" w:lineRule="auto"/>
        <w:jc w:val="both"/>
        <w:rPr>
          <w:rFonts w:asciiTheme="minorHAnsi" w:eastAsia="Calibri" w:hAnsiTheme="minorHAnsi" w:cstheme="minorHAnsi"/>
        </w:rPr>
      </w:pPr>
    </w:p>
    <w:p w14:paraId="0000201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caso no se cuente con estaciones hidrometereológicas cerca o no se cuente con el tiempo mínimo de registro, El CONCESIONARIO podrá considerar el uso de otras fuentes a fin de poder estimar los caudales que se generarán en el área ocupada por la vía. Ello deberá ser debidamente justificado y comunicado al Supervisor, quien deberá evaluar y aprobar el uso de estas fuentes.</w:t>
      </w:r>
    </w:p>
    <w:p w14:paraId="00002020"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89" w:name="_heading=h.4l7dh4h" w:colFirst="0" w:colLast="0"/>
      <w:bookmarkEnd w:id="189"/>
      <w:r w:rsidRPr="00285D58">
        <w:rPr>
          <w:rFonts w:asciiTheme="minorHAnsi" w:eastAsia="Calibri" w:hAnsiTheme="minorHAnsi" w:cstheme="minorHAnsi"/>
          <w:b/>
        </w:rPr>
        <w:t>INFORMACIÓN CARTOGRÁFICA</w:t>
      </w:r>
    </w:p>
    <w:p w14:paraId="0000202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deberá obtener la información cartográfica a partir de la carta nacional proporcionada por el Instituto Geográfico Nacional a una escala adecuada, en la cual se ubicará el tramo de la vía, así como también, las fuentes de agua y cursos principales que inciden sobre esta. A partir de ella, se deberá elaborar el plano de subcuencas.</w:t>
      </w:r>
    </w:p>
    <w:p w14:paraId="0000202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0" w:name="_heading=h.30cnrca" w:colFirst="0" w:colLast="0"/>
      <w:bookmarkEnd w:id="190"/>
      <w:r w:rsidRPr="00285D58">
        <w:rPr>
          <w:rFonts w:asciiTheme="minorHAnsi" w:eastAsia="Calibri" w:hAnsiTheme="minorHAnsi" w:cstheme="minorHAnsi"/>
          <w:b/>
        </w:rPr>
        <w:lastRenderedPageBreak/>
        <w:t xml:space="preserve">ANÁLISIS DE LA INFORMACIÓN </w:t>
      </w:r>
    </w:p>
    <w:p w14:paraId="000020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partir de la información recolectada de fuentes oficiales y las visitas de campo realizadas por el profesional responsable, se sistematizará y analizará la información obtenida. </w:t>
      </w:r>
    </w:p>
    <w:p w14:paraId="00002024" w14:textId="77777777" w:rsidR="00F664DB" w:rsidRPr="00285D58" w:rsidRDefault="00F664DB" w:rsidP="008D1FFF">
      <w:pPr>
        <w:spacing w:line="276" w:lineRule="auto"/>
        <w:jc w:val="both"/>
        <w:rPr>
          <w:rFonts w:asciiTheme="minorHAnsi" w:eastAsia="Calibri" w:hAnsiTheme="minorHAnsi" w:cstheme="minorHAnsi"/>
        </w:rPr>
      </w:pPr>
    </w:p>
    <w:p w14:paraId="0000202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Por otro lado, se deberá realizar el análisis de frecuencia, indicando la metodología seguida, así como el tipo de distribución a emplear y los periodos de retorno. Para ello, El CONCESIONARIO podrá apoyarse del uso de software especializado, el cual deberá ser comunicado a El Supervisor. Finalmente, deberá presentar los resultados obtenidos. </w:t>
      </w:r>
    </w:p>
    <w:p w14:paraId="0000202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   </w:t>
      </w:r>
    </w:p>
    <w:p w14:paraId="00002027"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1" w:name="_heading=h.1fhy1k3" w:colFirst="0" w:colLast="0"/>
      <w:bookmarkEnd w:id="191"/>
      <w:r w:rsidRPr="00285D58">
        <w:rPr>
          <w:rFonts w:asciiTheme="minorHAnsi" w:eastAsia="Calibri" w:hAnsiTheme="minorHAnsi" w:cstheme="minorHAnsi"/>
          <w:b/>
        </w:rPr>
        <w:t xml:space="preserve">DETERMINACIÓN DE SUB CUENCAS Y CAUDALES DE DISEÑO </w:t>
      </w:r>
    </w:p>
    <w:p w14:paraId="0000202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partir de la información cartográfica, se deberá ubicar y delimitar las cuencas y sub cuencas hidrográficas cuyas quebradas incidan en la vía. Las características de las sub cuencas referidas al área, longitud de cauce principal, pendiente media del curso y tiempo de concentración serán utilizadas en los cálculos para la obtención de los caudales de diseño.</w:t>
      </w:r>
    </w:p>
    <w:p w14:paraId="000020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br/>
        <w:t xml:space="preserve">Para la estimación de los caudales de diseño El CONCESIONARIO podrá utilizar diferentes métodos tales como el de Mack Matt, Método Racional, Hidrograma Triangular, Hec HMS, entre otros. El método por emplear deberá ser comunicado previamente al Supervisor y aprobado por este. </w:t>
      </w:r>
    </w:p>
    <w:p w14:paraId="0000202A" w14:textId="77777777" w:rsidR="00F664DB" w:rsidRPr="00285D58" w:rsidRDefault="00F664DB" w:rsidP="008D1FFF">
      <w:pPr>
        <w:spacing w:line="276" w:lineRule="auto"/>
        <w:jc w:val="both"/>
        <w:rPr>
          <w:rFonts w:asciiTheme="minorHAnsi" w:eastAsia="Calibri" w:hAnsiTheme="minorHAnsi" w:cstheme="minorHAnsi"/>
        </w:rPr>
      </w:pPr>
    </w:p>
    <w:p w14:paraId="0000202B"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2" w:name="_heading=h.3zhlk7w" w:colFirst="0" w:colLast="0"/>
      <w:bookmarkEnd w:id="192"/>
      <w:r w:rsidRPr="00285D58">
        <w:rPr>
          <w:rFonts w:asciiTheme="minorHAnsi" w:eastAsia="Calibri" w:hAnsiTheme="minorHAnsi" w:cstheme="minorHAnsi"/>
          <w:b/>
        </w:rPr>
        <w:t>OBRAS DE DRENAJE</w:t>
      </w:r>
    </w:p>
    <w:p w14:paraId="0000202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CONCESIONARIO deberá proyectar el sistema de drenaje más adecuado para las vías turísticas, además de indicar el número, ubicación y características de las cunetas y alcantarillas proyectadas para el desfogue de las aguas (de paso o de alivio), teniendo en cuenta que la solución planteada garantice la operatividad del drenaje superficial y sub superficial en las épocas de avenida. </w:t>
      </w:r>
    </w:p>
    <w:p w14:paraId="0000202D" w14:textId="77777777" w:rsidR="00F664DB" w:rsidRPr="00285D58" w:rsidRDefault="00F664DB" w:rsidP="008D1FFF">
      <w:pPr>
        <w:spacing w:line="276" w:lineRule="auto"/>
        <w:jc w:val="both"/>
        <w:rPr>
          <w:rFonts w:asciiTheme="minorHAnsi" w:eastAsia="Calibri" w:hAnsiTheme="minorHAnsi" w:cstheme="minorHAnsi"/>
        </w:rPr>
      </w:pPr>
    </w:p>
    <w:p w14:paraId="0000202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Asimismo, deberá presentar el diseño de los elementos propuestos, las especificaciones técnicas y los detalles constructivos para su implementación en obra.  </w:t>
      </w:r>
    </w:p>
    <w:p w14:paraId="0000202F" w14:textId="77777777" w:rsidR="00F664DB" w:rsidRPr="00285D58" w:rsidRDefault="00F664DB" w:rsidP="008D1FFF">
      <w:pPr>
        <w:spacing w:line="276" w:lineRule="auto"/>
        <w:jc w:val="both"/>
        <w:rPr>
          <w:rFonts w:asciiTheme="minorHAnsi" w:eastAsia="Calibri" w:hAnsiTheme="minorHAnsi" w:cstheme="minorHAnsi"/>
        </w:rPr>
      </w:pPr>
    </w:p>
    <w:p w14:paraId="00002030"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3" w:name="_heading=h.2emvufp" w:colFirst="0" w:colLast="0"/>
      <w:bookmarkEnd w:id="193"/>
      <w:r w:rsidRPr="00285D58">
        <w:rPr>
          <w:rFonts w:asciiTheme="minorHAnsi" w:eastAsia="Calibri" w:hAnsiTheme="minorHAnsi" w:cstheme="minorHAnsi"/>
          <w:b/>
        </w:rPr>
        <w:t>PLANOS</w:t>
      </w:r>
    </w:p>
    <w:p w14:paraId="00002031"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Política y Geográfica</w:t>
      </w:r>
    </w:p>
    <w:p w14:paraId="00002032"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cuencas y subcuencas</w:t>
      </w:r>
    </w:p>
    <w:p w14:paraId="00002033"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Ubicación de estaciones hidrometereológicas, en las cuales se visualice claramente, el tramo de la vía turística.</w:t>
      </w:r>
    </w:p>
    <w:p w14:paraId="00002034"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Plano de ubicación del sistema de drenaje proyectado.</w:t>
      </w:r>
    </w:p>
    <w:p w14:paraId="00002035" w14:textId="77777777" w:rsidR="00F664DB" w:rsidRPr="00285D58" w:rsidRDefault="006049C1" w:rsidP="00A3732C">
      <w:pPr>
        <w:widowControl/>
        <w:numPr>
          <w:ilvl w:val="0"/>
          <w:numId w:val="1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Plano de detalles del sistema de drenaje proyectado. </w:t>
      </w:r>
    </w:p>
    <w:p w14:paraId="00002036" w14:textId="77777777" w:rsidR="00F664DB" w:rsidRPr="00285D58" w:rsidRDefault="00F664DB" w:rsidP="008D1FFF">
      <w:pPr>
        <w:spacing w:line="276" w:lineRule="auto"/>
        <w:jc w:val="both"/>
        <w:rPr>
          <w:rFonts w:asciiTheme="minorHAnsi" w:eastAsia="Calibri" w:hAnsiTheme="minorHAnsi" w:cstheme="minorHAnsi"/>
        </w:rPr>
      </w:pPr>
    </w:p>
    <w:p w14:paraId="0000203B" w14:textId="77777777" w:rsidR="00F664DB" w:rsidRPr="00285D58" w:rsidRDefault="00F664DB" w:rsidP="008D1FFF">
      <w:pPr>
        <w:spacing w:line="276" w:lineRule="auto"/>
        <w:jc w:val="both"/>
        <w:rPr>
          <w:rFonts w:asciiTheme="minorHAnsi" w:eastAsia="Calibri" w:hAnsiTheme="minorHAnsi" w:cstheme="minorHAnsi"/>
        </w:rPr>
      </w:pPr>
    </w:p>
    <w:p w14:paraId="0000203C" w14:textId="6867479E" w:rsidR="00F664DB" w:rsidRPr="00285D58" w:rsidRDefault="006049C1" w:rsidP="008D1FFF">
      <w:pPr>
        <w:pStyle w:val="Ttulo2"/>
        <w:spacing w:before="1" w:line="276" w:lineRule="auto"/>
        <w:jc w:val="both"/>
        <w:rPr>
          <w:rFonts w:asciiTheme="minorHAnsi" w:eastAsia="Calibri" w:hAnsiTheme="minorHAnsi" w:cstheme="minorHAnsi"/>
          <w:b/>
          <w:color w:val="1F4E79"/>
        </w:rPr>
      </w:pPr>
      <w:bookmarkStart w:id="194" w:name="_heading=h.1y810tw" w:colFirst="0" w:colLast="0"/>
      <w:bookmarkEnd w:id="194"/>
      <w:r w:rsidRPr="00285D58">
        <w:rPr>
          <w:rFonts w:asciiTheme="minorHAnsi" w:hAnsiTheme="minorHAnsi" w:cstheme="minorHAnsi"/>
        </w:rPr>
        <w:br w:type="page"/>
      </w:r>
      <w:bookmarkStart w:id="195" w:name="_Toc176800231"/>
      <w:bookmarkStart w:id="196" w:name="_Toc193979286"/>
      <w:r w:rsidR="002D5F82" w:rsidRPr="00285D58">
        <w:rPr>
          <w:rFonts w:asciiTheme="minorHAnsi" w:eastAsia="Calibri" w:hAnsiTheme="minorHAnsi" w:cstheme="minorHAnsi"/>
          <w:b/>
          <w:color w:val="1F4E79"/>
          <w:sz w:val="22"/>
          <w:szCs w:val="22"/>
        </w:rPr>
        <w:lastRenderedPageBreak/>
        <w:t xml:space="preserve">ANEXO 08 - </w:t>
      </w:r>
      <w:r w:rsidRPr="00285D58">
        <w:rPr>
          <w:rFonts w:asciiTheme="minorHAnsi" w:eastAsia="Calibri" w:hAnsiTheme="minorHAnsi" w:cstheme="minorHAnsi"/>
          <w:b/>
          <w:color w:val="1F4E79"/>
          <w:sz w:val="22"/>
          <w:szCs w:val="22"/>
        </w:rPr>
        <w:t>APÉNDICE 8 – REQUISITOS BIM</w:t>
      </w:r>
      <w:bookmarkEnd w:id="195"/>
      <w:bookmarkEnd w:id="196"/>
    </w:p>
    <w:p w14:paraId="0000203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7" w:name="_heading=h.ts64ni" w:colFirst="0" w:colLast="0"/>
      <w:bookmarkEnd w:id="197"/>
      <w:r w:rsidRPr="00285D58">
        <w:rPr>
          <w:rFonts w:asciiTheme="minorHAnsi" w:eastAsia="Calibri" w:hAnsiTheme="minorHAnsi" w:cstheme="minorHAnsi"/>
          <w:b/>
        </w:rPr>
        <w:t xml:space="preserve">INTRODUCCIÓN </w:t>
      </w:r>
    </w:p>
    <w:p w14:paraId="000020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implementará el uso de la metodología BIM (Building Information Modeling) como parte del proceso de generación del Estudio Definitivo de Ingeniería establecido en el Contrato de Concesión para el diseño, financiamiento, operación y mantenimiento del proyecto “Mejoramiento de los Servicios Turísticos Públicos del Parque Arqueológico Choquequirao” (en adelante, el Contrato de Concesión), con todas las especialidades que este comprenda (arquitectura, estructura, seguridad, mecánicas, telecomunicaciones, eléctricas, sanitarias) en la etapa de Diseño, y respecto de las etapas de Ejecución de Obras y de Operación y Mantenimiento, según las disposiciones establecidas en el Contrato de Concesión y el presente documento que define los requisitos BIM que serán desarrollados. </w:t>
      </w:r>
    </w:p>
    <w:p w14:paraId="0000203F" w14:textId="77777777" w:rsidR="00F664DB" w:rsidRPr="00285D58" w:rsidRDefault="00F664DB" w:rsidP="008D1FFF">
      <w:pPr>
        <w:spacing w:line="276" w:lineRule="auto"/>
        <w:jc w:val="both"/>
        <w:rPr>
          <w:rFonts w:asciiTheme="minorHAnsi" w:eastAsia="Calibri" w:hAnsiTheme="minorHAnsi" w:cstheme="minorHAnsi"/>
        </w:rPr>
      </w:pPr>
    </w:p>
    <w:p w14:paraId="0000204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la NTP-ISO 19650-1:2021, BIM es el “uso de una representación digital compartida de un activo construido para facilitar los procesos de diseño, construcción y operación, con la finalidad de contar con una base confiable para la toma de decisiones”. Esta representación digital integra toda la información de una inversión, tanto gráfica como no grafica.</w:t>
      </w:r>
    </w:p>
    <w:p w14:paraId="00002041" w14:textId="77777777" w:rsidR="00F664DB" w:rsidRPr="00285D58" w:rsidRDefault="00F664DB" w:rsidP="008D1FFF">
      <w:pPr>
        <w:spacing w:line="276" w:lineRule="auto"/>
        <w:jc w:val="both"/>
        <w:rPr>
          <w:rFonts w:asciiTheme="minorHAnsi" w:eastAsia="Calibri" w:hAnsiTheme="minorHAnsi" w:cstheme="minorHAnsi"/>
        </w:rPr>
      </w:pPr>
    </w:p>
    <w:p w14:paraId="000020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este sentido, en el marco de la adopción en el Perú y de acuerdo con su Guía Nacional, BIM se define como una metodología de trabajo colaborativo para la gestión de la información de una inversión pública, que hace uso de un modelo de información creado por las partes involucradas, para facilitar la programación multianual, formulación, diseño, construcción, operación y mantenimiento de la infraestructura pública, asegurando una base confiable para la toma de decisiones.</w:t>
      </w:r>
    </w:p>
    <w:p w14:paraId="00002043" w14:textId="77777777" w:rsidR="00F664DB" w:rsidRPr="00285D58" w:rsidRDefault="00F664DB" w:rsidP="008D1FFF">
      <w:pPr>
        <w:spacing w:line="276" w:lineRule="auto"/>
        <w:jc w:val="both"/>
        <w:rPr>
          <w:rFonts w:asciiTheme="minorHAnsi" w:eastAsia="Calibri" w:hAnsiTheme="minorHAnsi" w:cstheme="minorHAnsi"/>
        </w:rPr>
      </w:pPr>
    </w:p>
    <w:p w14:paraId="0000204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BIM tiene por objetivo, ordenar personas, procesos y herramientas, la cual garantiza la integración y comunicación entre todos los actores involucrados.</w:t>
      </w:r>
    </w:p>
    <w:p w14:paraId="00002045" w14:textId="77777777" w:rsidR="00F664DB" w:rsidRPr="00285D58" w:rsidRDefault="00F664DB" w:rsidP="008D1FFF">
      <w:pPr>
        <w:spacing w:line="276" w:lineRule="auto"/>
        <w:jc w:val="both"/>
        <w:rPr>
          <w:rFonts w:asciiTheme="minorHAnsi" w:eastAsia="Calibri" w:hAnsiTheme="minorHAnsi" w:cstheme="minorHAnsi"/>
        </w:rPr>
      </w:pPr>
    </w:p>
    <w:p w14:paraId="0000204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Personas </w:t>
      </w:r>
    </w:p>
    <w:p w14:paraId="0000204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Considera la definición de la estructura organizacional. Los roles BIM, son las funciones que realizará una o más personas en el desarrollo de una inversión aplicando BIM. Estos no definen una nueva disciplina o un nuevo cargo, más bien implican asumir responsabilidades sobre determinadas acciones que deberán cumplir las partes involucradas en el proceso de Gestión de la Información BIM. Estos roles deben ser desarrollados por personas que cuenten con las competencias necesarias para desempeñar actividades específicas, no obstante, es importante realizar capacitaciones y desarrollar, de manera progresiva, el conocimiento de BIM a nivel organizacional.</w:t>
      </w:r>
    </w:p>
    <w:p w14:paraId="00002048" w14:textId="77777777" w:rsidR="00F664DB" w:rsidRPr="00285D58" w:rsidRDefault="00F664DB" w:rsidP="008D1FFF">
      <w:pPr>
        <w:spacing w:line="276" w:lineRule="auto"/>
        <w:jc w:val="both"/>
        <w:rPr>
          <w:rFonts w:asciiTheme="minorHAnsi" w:eastAsia="Calibri" w:hAnsiTheme="minorHAnsi" w:cstheme="minorHAnsi"/>
        </w:rPr>
      </w:pPr>
    </w:p>
    <w:p w14:paraId="0000204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Procesos</w:t>
      </w:r>
    </w:p>
    <w:p w14:paraId="0000204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enfoca en entender cómo se realizan las actividades necesarias para crear o modificar productos y/o servicios a través de BIM, identificando los responsables y sus roles, y los flujos de información asociados. </w:t>
      </w:r>
    </w:p>
    <w:p w14:paraId="0000204B" w14:textId="77777777" w:rsidR="00F664DB" w:rsidRPr="00285D58" w:rsidRDefault="00F664DB" w:rsidP="008D1FFF">
      <w:pPr>
        <w:spacing w:line="276" w:lineRule="auto"/>
        <w:jc w:val="both"/>
        <w:rPr>
          <w:rFonts w:asciiTheme="minorHAnsi" w:eastAsia="Calibri" w:hAnsiTheme="minorHAnsi" w:cstheme="minorHAnsi"/>
        </w:rPr>
      </w:pPr>
    </w:p>
    <w:p w14:paraId="0000204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rPr>
        <w:t>Las acciones vinculadas a este pilar buscan generar una mejora continua, y la gestión, seguimiento y control efectivo para el buen uso de todos los recursos.</w:t>
      </w:r>
    </w:p>
    <w:p w14:paraId="0000204D" w14:textId="77777777" w:rsidR="00F664DB" w:rsidRPr="00285D58" w:rsidRDefault="00F664DB" w:rsidP="008D1FFF">
      <w:pPr>
        <w:spacing w:line="276" w:lineRule="auto"/>
        <w:jc w:val="both"/>
        <w:rPr>
          <w:rFonts w:asciiTheme="minorHAnsi" w:eastAsia="Calibri" w:hAnsiTheme="minorHAnsi" w:cstheme="minorHAnsi"/>
        </w:rPr>
      </w:pPr>
    </w:p>
    <w:p w14:paraId="0000204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Herramientas</w:t>
      </w:r>
    </w:p>
    <w:p w14:paraId="000020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Este pilar involucra las herramientas tecnológicas (hardware y software) para la realización de las actividades vinculadas a la implementación de BIM, estos recursos tecnológicos deben estar alineados a las necesidades identificadas en todas las fases de la inversión. Sin embargo, no solo esta representación digital integra toda la información de una inversión, tanto gráfica (como, por ejemplo, tuberías tridimensionales) como no gráfica.</w:t>
      </w:r>
    </w:p>
    <w:p w14:paraId="00002050" w14:textId="77777777" w:rsidR="00F664DB" w:rsidRPr="00285D58" w:rsidRDefault="00F664DB" w:rsidP="008D1FFF">
      <w:pPr>
        <w:spacing w:line="276" w:lineRule="auto"/>
        <w:jc w:val="both"/>
        <w:rPr>
          <w:rFonts w:asciiTheme="minorHAnsi" w:eastAsia="Calibri" w:hAnsiTheme="minorHAnsi" w:cstheme="minorHAnsi"/>
        </w:rPr>
      </w:pPr>
    </w:p>
    <w:p w14:paraId="000020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uso de Metodología BIM permitirá desarrollar el Proyecto de manera más eficiente en las entregas de los Estudios Definitivos de Ingeniería.</w:t>
      </w:r>
    </w:p>
    <w:p w14:paraId="00002052" w14:textId="77777777" w:rsidR="00F664DB" w:rsidRPr="00285D58" w:rsidRDefault="00F664DB" w:rsidP="008D1FFF">
      <w:pPr>
        <w:spacing w:line="276" w:lineRule="auto"/>
        <w:jc w:val="both"/>
        <w:rPr>
          <w:rFonts w:asciiTheme="minorHAnsi" w:eastAsia="Calibri" w:hAnsiTheme="minorHAnsi" w:cstheme="minorHAnsi"/>
        </w:rPr>
      </w:pPr>
      <w:bookmarkStart w:id="198" w:name="_heading=h.3drtnbb" w:colFirst="0" w:colLast="0"/>
      <w:bookmarkEnd w:id="198"/>
    </w:p>
    <w:p w14:paraId="00002053"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r w:rsidRPr="00285D58">
        <w:rPr>
          <w:rFonts w:asciiTheme="minorHAnsi" w:eastAsia="Calibri" w:hAnsiTheme="minorHAnsi" w:cstheme="minorHAnsi"/>
          <w:b/>
        </w:rPr>
        <w:t>OBJETO</w:t>
      </w:r>
    </w:p>
    <w:p w14:paraId="000020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de este ANEXO es establecer los estándares, estrategias de colaboración y requisitos del CONCEDENTE para el uso de la Metodología BIM, para el proyecto “Mejoramiento de los Servicios Turísticos Públicos del Parque Arqueológico Choquequirao”. Además, la base de trabajo para el desarrollo del Proyecto utilizando la Metodología BIM, en la cual todos los participantes a lo largo de las diferentes entregas del desarrollo del Proyecto pueden producir y recibir información de manera colaborativa permitiendo el intercambio de información asertiva y eficiente entre los productos desarrollados e incluidos en el Modelo por las diferentes especialidades sin necesidad de repetir y/o duplicar esfuerzos siendo más eficientes en el desarrollo y revisión de los entregables.</w:t>
      </w:r>
    </w:p>
    <w:p w14:paraId="00002055" w14:textId="77777777" w:rsidR="00F664DB" w:rsidRPr="00285D58" w:rsidRDefault="00F664DB" w:rsidP="008D1FFF">
      <w:pPr>
        <w:spacing w:line="276" w:lineRule="auto"/>
        <w:jc w:val="both"/>
        <w:rPr>
          <w:rFonts w:asciiTheme="minorHAnsi" w:eastAsia="Calibri" w:hAnsiTheme="minorHAnsi" w:cstheme="minorHAnsi"/>
        </w:rPr>
      </w:pPr>
    </w:p>
    <w:p w14:paraId="0000205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 OBJETIVO GENERAL</w:t>
      </w:r>
    </w:p>
    <w:p w14:paraId="00002057" w14:textId="77777777" w:rsidR="00F664DB" w:rsidRPr="00285D58" w:rsidRDefault="00F664DB" w:rsidP="008D1FFF">
      <w:pPr>
        <w:spacing w:line="276" w:lineRule="auto"/>
        <w:jc w:val="both"/>
        <w:rPr>
          <w:rFonts w:asciiTheme="minorHAnsi" w:eastAsia="Calibri" w:hAnsiTheme="minorHAnsi" w:cstheme="minorHAnsi"/>
        </w:rPr>
      </w:pPr>
    </w:p>
    <w:p w14:paraId="0000205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general del empleo de la Metodología BIM en la etapa de elaboración del Estudio Definitivo de Ingeniería es asegurar la constructibilidad desde la etapa de conceptualización del diseño, anticipando y detectando todos aquellos problemas derivados de interferencias o deficiencias en la integración total del Proyecto y de esta manera reducir pérdidas de tiempo y de modificaciones adicionales al Proyecto, aportando fuertemente eficiencia y economía al proceso.</w:t>
      </w:r>
    </w:p>
    <w:p w14:paraId="00002059" w14:textId="77777777" w:rsidR="00F664DB" w:rsidRPr="00285D58" w:rsidRDefault="00F664DB" w:rsidP="008D1FFF">
      <w:pPr>
        <w:spacing w:line="276" w:lineRule="auto"/>
        <w:jc w:val="both"/>
        <w:rPr>
          <w:rFonts w:asciiTheme="minorHAnsi" w:eastAsia="Calibri" w:hAnsiTheme="minorHAnsi" w:cstheme="minorHAnsi"/>
        </w:rPr>
      </w:pPr>
    </w:p>
    <w:p w14:paraId="000020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etapa de Ejecución de obra, el BIM se convierte en una herramienta de organización y documentación que contempla todos los modelos BIM involucrados dentro del proyecto, actualizados durante la etapa de construcción con las respectivas modificaciones efectuadas en obra, para representar un modelo fidedigno con lo construido.</w:t>
      </w:r>
    </w:p>
    <w:p w14:paraId="0000205B" w14:textId="77777777" w:rsidR="00F664DB" w:rsidRPr="00285D58" w:rsidRDefault="00F664DB" w:rsidP="008D1FFF">
      <w:pPr>
        <w:spacing w:line="276" w:lineRule="auto"/>
        <w:jc w:val="both"/>
        <w:rPr>
          <w:rFonts w:asciiTheme="minorHAnsi" w:eastAsia="Calibri" w:hAnsiTheme="minorHAnsi" w:cstheme="minorHAnsi"/>
        </w:rPr>
      </w:pPr>
    </w:p>
    <w:p w14:paraId="000020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la etapa de Operación y Mantenimiento se convierte en una herramienta de actualización constante de las diferentes especialidades de los modelos BIM, mediante una matriz de información que permite añadir datos sobre el ciclo de vida de los equipos o elementos instalados, programando </w:t>
      </w:r>
      <w:r w:rsidRPr="00285D58">
        <w:rPr>
          <w:rFonts w:asciiTheme="minorHAnsi" w:eastAsia="Calibri" w:hAnsiTheme="minorHAnsi" w:cstheme="minorHAnsi"/>
        </w:rPr>
        <w:lastRenderedPageBreak/>
        <w:t>avisos cuando sea necesario el mantenimiento preventivo o la renovación; también permite identificar los componentes en cuanto a sus especificaciones técnicas, de modo de reemplazar los equipos en mal estado y mantener un registro de las modificaciones realizadas de la edificación</w:t>
      </w:r>
    </w:p>
    <w:p w14:paraId="0000205D" w14:textId="77777777" w:rsidR="00F664DB" w:rsidRPr="00285D58" w:rsidRDefault="00F664DB" w:rsidP="008D1FFF">
      <w:pPr>
        <w:spacing w:line="276" w:lineRule="auto"/>
        <w:jc w:val="both"/>
        <w:rPr>
          <w:rFonts w:asciiTheme="minorHAnsi" w:eastAsia="Calibri" w:hAnsiTheme="minorHAnsi" w:cstheme="minorHAnsi"/>
        </w:rPr>
      </w:pPr>
    </w:p>
    <w:p w14:paraId="0000205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2.2 OBJETIVOS ESPECÍFICOS</w:t>
      </w:r>
    </w:p>
    <w:p w14:paraId="0000205F" w14:textId="77777777" w:rsidR="00F664DB" w:rsidRPr="00285D58" w:rsidRDefault="00F664DB" w:rsidP="008D1FFF">
      <w:pPr>
        <w:spacing w:line="276" w:lineRule="auto"/>
        <w:jc w:val="both"/>
        <w:rPr>
          <w:rFonts w:asciiTheme="minorHAnsi" w:eastAsia="Calibri" w:hAnsiTheme="minorHAnsi" w:cstheme="minorHAnsi"/>
        </w:rPr>
      </w:pPr>
    </w:p>
    <w:p w14:paraId="000020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elaboración de los Estudios Definitivos de Ingeniería:</w:t>
      </w:r>
    </w:p>
    <w:p w14:paraId="00002061"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Estudios Definitivos de Ingeniería mediante el Modelo BIM. </w:t>
      </w:r>
    </w:p>
    <w:p w14:paraId="00002062"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Mejorar la comunicación mediante un flujo de trabajo basado en estándares BIM y el uso de tecnología de Entorno de Datos Comunes (CDE) entre las partes involucradas y contar con información confiable y en tiempo real para la toma de decisiones adecuada.</w:t>
      </w:r>
    </w:p>
    <w:p w14:paraId="00002063" w14:textId="6F4E834D"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Integrar los modelos BIM de las diferentes especialidades o disciplinas al CDE para la colaboración del diseño, identificación de conflictos, revisión y gestión de incidencias desde las primeras etapas del Proyecto</w:t>
      </w:r>
      <w:r w:rsidR="00D55B7A" w:rsidRPr="00285D58">
        <w:rPr>
          <w:rFonts w:asciiTheme="minorHAnsi" w:eastAsia="Calibri" w:hAnsiTheme="minorHAnsi" w:cstheme="minorHAnsi"/>
          <w:color w:val="000000"/>
        </w:rPr>
        <w:t>.</w:t>
      </w:r>
    </w:p>
    <w:p w14:paraId="00002064"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Verificar, a través del Modelo BIM, el cumplimiento de las Norma Técnicas utilizadas. </w:t>
      </w:r>
    </w:p>
    <w:p w14:paraId="00002065"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Aportar al Proyecto coherencia, transparencia y trazabilidad con el objetivo que este sea construible. </w:t>
      </w:r>
    </w:p>
    <w:p w14:paraId="00002066"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Visualizar y realizar recorridos virtuales en el modelo 3D. </w:t>
      </w:r>
    </w:p>
    <w:p w14:paraId="00002067"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Auditar, por parte del CONCEDENTE del avance de los trabajos y de difusión de las soluciones, tanto de manera interna como externa. </w:t>
      </w:r>
    </w:p>
    <w:p w14:paraId="00002068"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modelos BIM como fuente de información durante el Diseño del Proyecto, siendo la fuente principal de documentación 2D para los entregables. </w:t>
      </w:r>
    </w:p>
    <w:p w14:paraId="00002069"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modelos BIM (coordinación 3D) para el mejor estudio de las fases de obra a proponer, coordinación del proyecto integrado y definir el diseño del anteproyecto y proyecto. </w:t>
      </w:r>
    </w:p>
    <w:p w14:paraId="0000206A"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Controlar, mediante el modelo BIM, la dinámica del Proyecto. </w:t>
      </w:r>
    </w:p>
    <w:p w14:paraId="0000206B"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Reducir la incertidumbre del valor de la obra y consultas de obra, extrayendo de manera más eficiente, rápida y precisa las cantidades directamente de los Modelos BIM para las partidas y valores unitarios (5D). </w:t>
      </w:r>
    </w:p>
    <w:p w14:paraId="0000206C"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De manera optativa, el modelo BIM deberá ser capaz de integrarse a plataformas para la realización de eficiencia energética (6D).</w:t>
      </w:r>
    </w:p>
    <w:p w14:paraId="0000206D" w14:textId="77777777" w:rsidR="00F664DB" w:rsidRPr="00285D58" w:rsidRDefault="00F664DB" w:rsidP="008D1FFF">
      <w:pPr>
        <w:spacing w:line="276" w:lineRule="auto"/>
        <w:jc w:val="both"/>
        <w:rPr>
          <w:rFonts w:asciiTheme="minorHAnsi" w:eastAsia="Calibri" w:hAnsiTheme="minorHAnsi" w:cstheme="minorHAnsi"/>
          <w:b/>
        </w:rPr>
      </w:pPr>
    </w:p>
    <w:p w14:paraId="0000206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ejecución de obra:</w:t>
      </w:r>
    </w:p>
    <w:p w14:paraId="0000206F"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Asegurar la entrega de información cierta de la obra acabada (Modelo BIM as built).</w:t>
      </w:r>
    </w:p>
    <w:p w14:paraId="00002070" w14:textId="77777777" w:rsidR="00F664DB" w:rsidRPr="00285D58" w:rsidRDefault="00F664DB" w:rsidP="008D1FFF">
      <w:pPr>
        <w:spacing w:line="276" w:lineRule="auto"/>
        <w:jc w:val="both"/>
        <w:rPr>
          <w:rFonts w:asciiTheme="minorHAnsi" w:eastAsia="Calibri" w:hAnsiTheme="minorHAnsi" w:cstheme="minorHAnsi"/>
        </w:rPr>
      </w:pPr>
    </w:p>
    <w:p w14:paraId="000020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Operación y Mantenimiento:</w:t>
      </w:r>
    </w:p>
    <w:p w14:paraId="00002072" w14:textId="3885F9C9"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Actualizar el Modelo BIM As Built en función a las modificaciones realizadas a las Infraestructuras del </w:t>
      </w:r>
      <w:r w:rsidR="00B86681" w:rsidRPr="00285D58">
        <w:rPr>
          <w:rFonts w:asciiTheme="minorHAnsi" w:eastAsia="Calibri" w:hAnsiTheme="minorHAnsi" w:cstheme="minorHAnsi"/>
          <w:color w:val="000000"/>
        </w:rPr>
        <w:t>Proyecto anualmente</w:t>
      </w:r>
      <w:r w:rsidRPr="00285D58">
        <w:rPr>
          <w:rFonts w:asciiTheme="minorHAnsi" w:eastAsia="Calibri" w:hAnsiTheme="minorHAnsi" w:cstheme="minorHAnsi"/>
          <w:color w:val="000000"/>
        </w:rPr>
        <w:t>.</w:t>
      </w:r>
    </w:p>
    <w:p w14:paraId="0000207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199" w:name="_heading=h.1sx3xj4" w:colFirst="0" w:colLast="0"/>
      <w:bookmarkEnd w:id="199"/>
      <w:r w:rsidRPr="00285D58">
        <w:rPr>
          <w:rFonts w:asciiTheme="minorHAnsi" w:eastAsia="Calibri" w:hAnsiTheme="minorHAnsi" w:cstheme="minorHAnsi"/>
          <w:b/>
        </w:rPr>
        <w:lastRenderedPageBreak/>
        <w:t>DEFINICIONES</w:t>
      </w:r>
    </w:p>
    <w:p w14:paraId="0000207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siguientes términos han sido desarrollados para el desarrollo de la gestión de la información bajo la metodología BIM de acuerdo con lo establecido en la Guía Nacional BIM de plan de implementación BIM del Perú:</w:t>
      </w:r>
    </w:p>
    <w:p w14:paraId="00002076" w14:textId="77777777" w:rsidR="00F664DB" w:rsidRPr="00285D58" w:rsidRDefault="00F664DB" w:rsidP="008D1FFF">
      <w:pPr>
        <w:spacing w:line="276" w:lineRule="auto"/>
        <w:jc w:val="both"/>
        <w:rPr>
          <w:rFonts w:asciiTheme="minorHAnsi" w:eastAsia="Calibri" w:hAnsiTheme="minorHAnsi" w:cstheme="minorHAnsi"/>
        </w:rPr>
      </w:pPr>
    </w:p>
    <w:p w14:paraId="00002077" w14:textId="6B0CC930"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Activo:</w:t>
      </w:r>
      <w:r w:rsidRPr="00285D58">
        <w:rPr>
          <w:rFonts w:asciiTheme="minorHAnsi" w:eastAsia="Calibri" w:hAnsiTheme="minorHAnsi" w:cstheme="minorHAnsi"/>
        </w:rPr>
        <w:t xml:space="preserve"> </w:t>
      </w:r>
      <w:r w:rsidR="00B86681" w:rsidRPr="00285D58">
        <w:rPr>
          <w:rFonts w:asciiTheme="minorHAnsi" w:eastAsia="Calibri" w:hAnsiTheme="minorHAnsi" w:cstheme="minorHAnsi"/>
        </w:rPr>
        <w:t>Ítem</w:t>
      </w:r>
      <w:r w:rsidRPr="00285D58">
        <w:rPr>
          <w:rFonts w:asciiTheme="minorHAnsi" w:eastAsia="Calibri" w:hAnsiTheme="minorHAnsi" w:cstheme="minorHAnsi"/>
        </w:rPr>
        <w:t>, objeto o elemento que tiene potencial o valor actual para una organización. Estos recursos son controlados por una entidad pública como consecuencia de hechos pasados (adquisición, transferencia, construcción, donación, etc.), de los cuales se espera recibir beneficios económicos futuros o un potencial de prestaciones, y que contribuyen al desarrollo de la función administrativa o cometido público.</w:t>
      </w:r>
    </w:p>
    <w:p w14:paraId="00002078" w14:textId="77777777" w:rsidR="00F664DB" w:rsidRPr="00285D58" w:rsidRDefault="00F664DB" w:rsidP="008D1FFF">
      <w:pPr>
        <w:spacing w:line="276" w:lineRule="auto"/>
        <w:jc w:val="both"/>
        <w:rPr>
          <w:rFonts w:asciiTheme="minorHAnsi" w:eastAsia="Calibri" w:hAnsiTheme="minorHAnsi" w:cstheme="minorHAnsi"/>
        </w:rPr>
      </w:pPr>
    </w:p>
    <w:p w14:paraId="0000207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b/>
        </w:rPr>
        <w:t>Inversiones:</w:t>
      </w:r>
      <w:r w:rsidRPr="00285D58">
        <w:rPr>
          <w:rFonts w:asciiTheme="minorHAnsi" w:eastAsia="Calibri" w:hAnsiTheme="minorHAnsi" w:cstheme="minorHAnsi"/>
        </w:rPr>
        <w:t xml:space="preserve"> Son intervenciones temporales que comprenden a los proyectos de inversión y a las inversiones de optimización, de ampliación marginal, de rehabilitación y de reposición - IOARR (Reglamento del DL 1252, aprobado por el DS 284-2018-EF). El proceso mediante el cual una inversión es concebida, diseñada, evaluada, ejecutada y genera sus beneficios para la efectiva prestación de servicios y la provisión de la infraestructura necesaria para el desarrollo del país se denomina Ciclo de inversión, el cual consta de 4 fases: Programación Multianual de Inversiones, Formulación y Evaluación, Ejecución y Funcionamiento.</w:t>
      </w:r>
    </w:p>
    <w:p w14:paraId="0000207A" w14:textId="77777777" w:rsidR="00F664DB" w:rsidRPr="00285D58" w:rsidRDefault="00F664DB" w:rsidP="008D1FFF">
      <w:pPr>
        <w:spacing w:line="276" w:lineRule="auto"/>
        <w:jc w:val="both"/>
        <w:rPr>
          <w:rFonts w:asciiTheme="minorHAnsi" w:eastAsia="Calibri" w:hAnsiTheme="minorHAnsi" w:cstheme="minorHAnsi"/>
        </w:rPr>
      </w:pPr>
    </w:p>
    <w:p w14:paraId="000020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BIM: Modelado de la Información de la Construcción o Building Information Modelling, en inglés. Es una metodología de trabajo colaborativo para la gestión de la información de una inversión pública, que hace uso de un modelo de información creado por las partes involucradas, para facilitar la programación multianual, formulación, diseño, construcción, operación y mantenimiento de la infraestructura pública, asegurando una base confiable para la toma de decisiones.</w:t>
      </w:r>
    </w:p>
    <w:p w14:paraId="0000207C" w14:textId="77777777" w:rsidR="00F664DB" w:rsidRPr="00285D58" w:rsidRDefault="00F664DB" w:rsidP="008D1FFF">
      <w:pPr>
        <w:spacing w:line="276" w:lineRule="auto"/>
        <w:jc w:val="both"/>
        <w:rPr>
          <w:rFonts w:asciiTheme="minorHAnsi" w:eastAsia="Calibri" w:hAnsiTheme="minorHAnsi" w:cstheme="minorHAnsi"/>
        </w:rPr>
      </w:pPr>
    </w:p>
    <w:p w14:paraId="000020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CAD: Computer Aided Design, en inglés. (Diseño Asistido por Computadora)</w:t>
      </w:r>
    </w:p>
    <w:p w14:paraId="0000207E" w14:textId="77777777" w:rsidR="00F664DB" w:rsidRPr="00285D58" w:rsidRDefault="00F664DB" w:rsidP="008D1FFF">
      <w:pPr>
        <w:spacing w:line="276" w:lineRule="auto"/>
        <w:jc w:val="both"/>
        <w:rPr>
          <w:rFonts w:asciiTheme="minorHAnsi" w:eastAsia="Calibri" w:hAnsiTheme="minorHAnsi" w:cstheme="minorHAnsi"/>
        </w:rPr>
      </w:pPr>
    </w:p>
    <w:p w14:paraId="000020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CDE: Entorno de Datos Comunes o Common Data Environment, en inglés. Fuente de información acordada para cualquier proyecto o activo dado, para la colección, gestión y difusión de cada contenedor de la información a través de un proceso de gestión.</w:t>
      </w:r>
    </w:p>
    <w:p w14:paraId="00002080" w14:textId="77777777" w:rsidR="00F664DB" w:rsidRPr="00285D58" w:rsidRDefault="00F664DB" w:rsidP="008D1FFF">
      <w:pPr>
        <w:spacing w:line="276" w:lineRule="auto"/>
        <w:jc w:val="both"/>
        <w:rPr>
          <w:rFonts w:asciiTheme="minorHAnsi" w:eastAsia="Calibri" w:hAnsiTheme="minorHAnsi" w:cstheme="minorHAnsi"/>
        </w:rPr>
      </w:pPr>
    </w:p>
    <w:p w14:paraId="000020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Contenedor de información: Conjunto de información persistente y recuperable desde un archivo, sistema o aplicación de almacenamiento jerarquizado. Algunos ejemplos de contenedor de información son: un archivo (modelos 3D, documentos, una tabla de información, un reporte, grabaciones y videos), una base de datos o un subconjunto, tal como un capítulo o sección o capa o símbolo.</w:t>
      </w:r>
    </w:p>
    <w:p w14:paraId="00002082" w14:textId="77777777" w:rsidR="00F664DB" w:rsidRPr="00285D58" w:rsidRDefault="00F664DB" w:rsidP="008D1FFF">
      <w:pPr>
        <w:spacing w:line="276" w:lineRule="auto"/>
        <w:jc w:val="both"/>
        <w:rPr>
          <w:rFonts w:asciiTheme="minorHAnsi" w:eastAsia="Calibri" w:hAnsiTheme="minorHAnsi" w:cstheme="minorHAnsi"/>
        </w:rPr>
      </w:pPr>
    </w:p>
    <w:p w14:paraId="0000208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Cuadros de Metrados: Conjunto de datos obtenidos mediante tablas de cuantificación de partidas</w:t>
      </w:r>
    </w:p>
    <w:p w14:paraId="00002084" w14:textId="77777777" w:rsidR="00F664DB" w:rsidRPr="00285D58" w:rsidRDefault="00F664DB" w:rsidP="008D1FFF">
      <w:pPr>
        <w:spacing w:line="276" w:lineRule="auto"/>
        <w:jc w:val="both"/>
        <w:rPr>
          <w:rFonts w:asciiTheme="minorHAnsi" w:eastAsia="Calibri" w:hAnsiTheme="minorHAnsi" w:cstheme="minorHAnsi"/>
        </w:rPr>
      </w:pPr>
    </w:p>
    <w:p w14:paraId="0000208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FM: Facility Management (Gestión de edificios y servicios)</w:t>
      </w:r>
    </w:p>
    <w:p w14:paraId="00002086" w14:textId="77777777" w:rsidR="00F664DB" w:rsidRPr="00285D58" w:rsidRDefault="00F664DB" w:rsidP="008D1FFF">
      <w:pPr>
        <w:spacing w:line="276" w:lineRule="auto"/>
        <w:jc w:val="both"/>
        <w:rPr>
          <w:rFonts w:asciiTheme="minorHAnsi" w:eastAsia="Calibri" w:hAnsiTheme="minorHAnsi" w:cstheme="minorHAnsi"/>
        </w:rPr>
      </w:pPr>
    </w:p>
    <w:p w14:paraId="0000208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Modelo de información: Es equivalente a modelo de información. Es el conjunto de contenedores de información estructurada y no estructurada. Comprende toda la documentación desarrollada durante una inversión, la cual se encuentra en una base confiable de información</w:t>
      </w:r>
    </w:p>
    <w:p w14:paraId="00002088" w14:textId="77777777" w:rsidR="00F664DB" w:rsidRPr="00285D58" w:rsidRDefault="00F664DB" w:rsidP="008D1FFF">
      <w:pPr>
        <w:spacing w:line="276" w:lineRule="auto"/>
        <w:jc w:val="both"/>
        <w:rPr>
          <w:rFonts w:asciiTheme="minorHAnsi" w:eastAsia="Calibri" w:hAnsiTheme="minorHAnsi" w:cstheme="minorHAnsi"/>
        </w:rPr>
      </w:pPr>
    </w:p>
    <w:p w14:paraId="0000208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Modelo Federado: Modelo de Información compuesto a partir de contenedores de información separados, los cuales pueden provenir de diferentes equipos de trabajo</w:t>
      </w:r>
    </w:p>
    <w:p w14:paraId="0000208A" w14:textId="77777777" w:rsidR="00F664DB" w:rsidRPr="00285D58" w:rsidRDefault="00F664DB" w:rsidP="008D1FFF">
      <w:pPr>
        <w:spacing w:line="276" w:lineRule="auto"/>
        <w:jc w:val="both"/>
        <w:rPr>
          <w:rFonts w:asciiTheme="minorHAnsi" w:eastAsia="Calibri" w:hAnsiTheme="minorHAnsi" w:cstheme="minorHAnsi"/>
        </w:rPr>
      </w:pPr>
    </w:p>
    <w:p w14:paraId="000020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Metadato: Los metadatos suministran información sobre los datos producidos, es decir, son “datos acerca de los datos”. Describen el contenido, calidad, condiciones, historia, disponibilidad y otras características de los datos producidos. Además, proveen un inventario estandarizado de los datos georreferenciados existentes en una organización, por lo cual son útiles para los usuarios que buscan cerciorarse si un dato o conjunto de datos son apropiados para su necesidad, o para aquéllos que necesitan localizar datos en bases de datos de diferentes organizaciones.</w:t>
      </w:r>
    </w:p>
    <w:p w14:paraId="0000208C" w14:textId="77777777" w:rsidR="00F664DB" w:rsidRPr="00285D58" w:rsidRDefault="00F664DB" w:rsidP="008D1FFF">
      <w:pPr>
        <w:spacing w:line="276" w:lineRule="auto"/>
        <w:jc w:val="both"/>
        <w:rPr>
          <w:rFonts w:asciiTheme="minorHAnsi" w:eastAsia="Calibri" w:hAnsiTheme="minorHAnsi" w:cstheme="minorHAnsi"/>
        </w:rPr>
      </w:pPr>
    </w:p>
    <w:p w14:paraId="000020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LOD: El nivel de desarrollo (LOD) para todos los elementos modelados en las distintas disciplinas seguirá lo especificado en el último estándar publicado de “Level of Development Specifications” del BIM Forum. Diciembre 2020, referencia a nivel mundial.</w:t>
      </w:r>
    </w:p>
    <w:p w14:paraId="0000208E" w14:textId="77777777" w:rsidR="00F664DB" w:rsidRPr="00285D58" w:rsidRDefault="00F664DB" w:rsidP="008D1FFF">
      <w:pPr>
        <w:spacing w:line="276" w:lineRule="auto"/>
        <w:jc w:val="both"/>
        <w:rPr>
          <w:rFonts w:asciiTheme="minorHAnsi" w:eastAsia="Calibri" w:hAnsiTheme="minorHAnsi" w:cstheme="minorHAnsi"/>
        </w:rPr>
      </w:pPr>
    </w:p>
    <w:p w14:paraId="000020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Reportes de Interferencias: Incluyen incompatibilidades y/o interferencias entre las diferentes Especialidades, incluyendo sus respectivos Sistemas y/o Servicios</w:t>
      </w:r>
    </w:p>
    <w:p w14:paraId="00002090" w14:textId="77777777" w:rsidR="00F664DB" w:rsidRPr="00285D58" w:rsidRDefault="00F664DB" w:rsidP="008D1FFF">
      <w:pPr>
        <w:spacing w:line="276" w:lineRule="auto"/>
        <w:jc w:val="both"/>
        <w:rPr>
          <w:rFonts w:asciiTheme="minorHAnsi" w:eastAsia="Calibri" w:hAnsiTheme="minorHAnsi" w:cstheme="minorHAnsi"/>
        </w:rPr>
      </w:pPr>
    </w:p>
    <w:p w14:paraId="0000209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Reuniones ICE: Las Reuniones ICE, por sus siglas en inglés, Integrated Concurrent Engineering (Ingeniería Concurrente Integrada) tienen por objeto enseñar el avance del Modelado de las diferentes Especialidades, así como de aclarar cualquier duda que surja como parte de la falta de información de los planos.</w:t>
      </w:r>
    </w:p>
    <w:p w14:paraId="00002093"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0" w:name="_heading=h.4cwrg6x" w:colFirst="0" w:colLast="0"/>
      <w:bookmarkEnd w:id="200"/>
      <w:r w:rsidRPr="00285D58">
        <w:rPr>
          <w:rFonts w:asciiTheme="minorHAnsi" w:eastAsia="Calibri" w:hAnsiTheme="minorHAnsi" w:cstheme="minorHAnsi"/>
          <w:b/>
        </w:rPr>
        <w:t>CONDICIONES</w:t>
      </w:r>
    </w:p>
    <w:p w14:paraId="0000209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establecen las siguientes condiciones para el desarrollo del Proyecto en BIM:</w:t>
      </w:r>
    </w:p>
    <w:p w14:paraId="00002095" w14:textId="77777777" w:rsidR="00F664DB" w:rsidRPr="00285D58" w:rsidRDefault="00F664DB" w:rsidP="008D1FFF">
      <w:pPr>
        <w:spacing w:line="276" w:lineRule="auto"/>
        <w:jc w:val="both"/>
        <w:rPr>
          <w:rFonts w:asciiTheme="minorHAnsi" w:eastAsia="Calibri" w:hAnsiTheme="minorHAnsi" w:cstheme="minorHAnsi"/>
        </w:rPr>
      </w:pPr>
    </w:p>
    <w:p w14:paraId="0000209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Desarrollar un Modelo BIM por cada especialidad o disciplina. </w:t>
      </w:r>
    </w:p>
    <w:p w14:paraId="00002097"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un Modelo BIM Federado a partir de Modelos de Información separados de las distintas especialidades o disciplinas. </w:t>
      </w:r>
    </w:p>
    <w:p w14:paraId="00002098"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Garantizar que los modelos sean translativos entre las diferentes instancias. El modelo deberá responder fácilmente en cada fase o etapa del Proyecto. </w:t>
      </w:r>
    </w:p>
    <w:p w14:paraId="00002099"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Modelos BIM con los objetos/elementos que permitan cumplir con los objetivos y Usos BIM esperados. </w:t>
      </w:r>
    </w:p>
    <w:p w14:paraId="0000209A"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Todos los objetos/elementos modelados necesarios deben contar con información paramétrica (metadato) coherente con los objetivos del Proyecto.</w:t>
      </w:r>
    </w:p>
    <w:p w14:paraId="0000209B"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Mantener los Modelos de Información como la única fuente de información del Proyecto, tanto en 3D como en 2D en las etapas necesarias, siendo posible poder trabajar en AutoCAD la información que no se pueda extraer del modelo por el nivel </w:t>
      </w:r>
      <w:r w:rsidRPr="00285D58">
        <w:rPr>
          <w:rFonts w:asciiTheme="minorHAnsi" w:eastAsia="Calibri" w:hAnsiTheme="minorHAnsi" w:cstheme="minorHAnsi"/>
          <w:color w:val="000000"/>
        </w:rPr>
        <w:lastRenderedPageBreak/>
        <w:t xml:space="preserve">de desarrollo al que se ajustan los objetivos BIM planteados, esta información deberá pasar por validación del CONCEDENTE. </w:t>
      </w:r>
    </w:p>
    <w:p w14:paraId="0000209C"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Mantener los Modelos de Información actualizados de manera constante en todas las etapas del Proyecto, los cuales se deben presentar en las reuniones establecidas y solicitadas por el CONCEDENTE, previa coordinación con el CONCESIONARIO. </w:t>
      </w:r>
    </w:p>
    <w:p w14:paraId="0000209D"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Adherirse a los Requisitos BIM definidos en el presente documento para la elaboración del Plan de Ejecución BIM (PEB) y desarrollo de los modelos inteligentes. </w:t>
      </w:r>
    </w:p>
    <w:p w14:paraId="0000209E"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Usar una plataforma de colaboración o Entorno Común de Datos (CDE) de última generación para el desarrollo compartido a tiempo real y la socialización de los modelos entre todos los involucrados en el Proyecto. La opción a utilizar será establecida en el Plan de Ejecución BIM y validada por el CONCEDENTE.</w:t>
      </w:r>
    </w:p>
    <w:p w14:paraId="0000209F"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intercambio de información buscará ser el más eficiente, de tal forma que pueda ser monitoreado por el CONCEDENTE, y al mismo tiempo permita agilizar los procesos para que los revisores estén al tanto y hagan validaciones previas de los avances de los entregables del CONCESIONARIO, de corresponder, durante el desarrollo del Estudio Definitivo de Ingeniería. </w:t>
      </w:r>
    </w:p>
    <w:p w14:paraId="000020A0"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software a utilizar se definirá en el PEB, siendo estos propuestos por el CONCESIONARIO en función de la necesidad del Proyecto. </w:t>
      </w:r>
    </w:p>
    <w:p w14:paraId="000020A1" w14:textId="77777777" w:rsidR="00F664DB" w:rsidRPr="00285D58" w:rsidRDefault="006049C1" w:rsidP="00A3732C">
      <w:pPr>
        <w:widowControl/>
        <w:numPr>
          <w:ilvl w:val="0"/>
          <w:numId w:val="13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El CONCESIONARIO podrá proponer Pluggins que hagan el proceso más eficiente o que sirvan para la colaboración y monitoreo de los Estudios Definitivos de Ingeniería.</w:t>
      </w:r>
    </w:p>
    <w:p w14:paraId="000020A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1" w:name="_heading=h.2s21qeq" w:colFirst="0" w:colLast="0"/>
      <w:bookmarkEnd w:id="201"/>
      <w:r w:rsidRPr="00285D58">
        <w:rPr>
          <w:rFonts w:asciiTheme="minorHAnsi" w:eastAsia="Calibri" w:hAnsiTheme="minorHAnsi" w:cstheme="minorHAnsi"/>
          <w:b/>
        </w:rPr>
        <w:t xml:space="preserve">RESPONSABILIDADES </w:t>
      </w:r>
    </w:p>
    <w:p w14:paraId="000020A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uso de la metodología BIM es un recurso que se emplea para reducir la incertidumbre y lograr procesos más eficientes y mejores entregables. Con la finalidad de cumplir con estos objetivos, se establece los siguientes roles y funciones BIM a presentar por el CONCESIONARIO como parte integral del desarrollo de proyectos BIM.</w:t>
      </w:r>
    </w:p>
    <w:p w14:paraId="000020A4" w14:textId="77777777" w:rsidR="00F664DB" w:rsidRPr="00285D58" w:rsidRDefault="00F664DB" w:rsidP="008D1FFF">
      <w:pPr>
        <w:spacing w:line="276" w:lineRule="auto"/>
        <w:jc w:val="both"/>
        <w:rPr>
          <w:rFonts w:asciiTheme="minorHAnsi" w:eastAsia="Calibri" w:hAnsiTheme="minorHAnsi" w:cstheme="minorHAnsi"/>
        </w:rPr>
      </w:pPr>
    </w:p>
    <w:p w14:paraId="000020A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derechos y responsabilidades de los actores del proceso de edificación, que intervienen como personas naturales o jurídicas, se encuentran determinados en la norma G.030 Derechos y responsabilidades, del Reglamento Nacional de Edificaciones.</w:t>
      </w:r>
    </w:p>
    <w:p w14:paraId="000020A6" w14:textId="77777777" w:rsidR="00F664DB" w:rsidRPr="00285D58" w:rsidRDefault="00F664DB" w:rsidP="008D1FFF">
      <w:pPr>
        <w:spacing w:line="276" w:lineRule="auto"/>
        <w:jc w:val="both"/>
        <w:rPr>
          <w:rFonts w:asciiTheme="minorHAnsi" w:eastAsia="Calibri" w:hAnsiTheme="minorHAnsi" w:cstheme="minorHAnsi"/>
        </w:rPr>
      </w:pPr>
    </w:p>
    <w:p w14:paraId="000020A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Adicionalmente a esto, se tendrá las siguientes responsabilidades para la correcta ejecución y coordinación de los modelos BIM, por lo que el CONCESIONARIO deberá velar por la calidad de estas:</w:t>
      </w:r>
    </w:p>
    <w:p w14:paraId="000020A8" w14:textId="77777777" w:rsidR="00F664DB" w:rsidRPr="00285D58" w:rsidRDefault="00F664DB" w:rsidP="008D1FFF">
      <w:pPr>
        <w:spacing w:line="276" w:lineRule="auto"/>
        <w:jc w:val="both"/>
        <w:rPr>
          <w:rFonts w:asciiTheme="minorHAnsi" w:eastAsia="Calibri" w:hAnsiTheme="minorHAnsi" w:cstheme="minorHAnsi"/>
        </w:rPr>
      </w:pPr>
    </w:p>
    <w:p w14:paraId="000020A9"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proveer acceso a los modelos inteligentes de gestión BIM de las diferentes especialidades que forman parte del proyecto BIM a lo largo de todo el desarrollo de este y a todos los participantes autorizados por el CONCEDENTE. </w:t>
      </w:r>
    </w:p>
    <w:p w14:paraId="000020AA"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proveer acceso al Entorno Común de Datos (CDE) a las personas autorizadas por el CONCEDENTE y se les otorgará permisos de ver, descarga, revisión, creación de gráficos y notas de revisión y generación de incidencias, </w:t>
      </w:r>
      <w:r w:rsidRPr="00285D58">
        <w:rPr>
          <w:rFonts w:asciiTheme="minorHAnsi" w:eastAsia="Calibri" w:hAnsiTheme="minorHAnsi" w:cstheme="minorHAnsi"/>
          <w:color w:val="000000"/>
        </w:rPr>
        <w:lastRenderedPageBreak/>
        <w:t xml:space="preserve">generación de espacios de coordinación y otras opciones que permitan el control de calidad del modelo. </w:t>
      </w:r>
    </w:p>
    <w:p w14:paraId="000020AB"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 efectos de realizar recomendaciones para la rápida absolución de interferencias, se sugiere la remisión del reporte de interferencias antes de las Reuniones ICE, para la revisión y análisis correspondiente por parte de los especialistas involucrados a fin de tener un conocimiento previo de las interferencias para proponer posibles soluciones en dichas reuniones. </w:t>
      </w:r>
    </w:p>
    <w:p w14:paraId="000020AC"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utilizar los Modelos BIM en las Reuniones ICE (Ingeniería Concurrente Integrada) entre el Concesionario, Concedente y el Supervisor, conforme a lo establecido en el Plan de Ejecución BIM. </w:t>
      </w:r>
    </w:p>
    <w:p w14:paraId="000020AD"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CONCEDENTE y SUPERVISOR participarán de las Reuniones ICE de acuerdo con el Cronograma establecido por el CONCESIONARIO en el Plan de Ejecución BIM (PEB). </w:t>
      </w:r>
    </w:p>
    <w:p w14:paraId="000020AE"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desarrollar un proyecto integrado y consolidado que esté compuesto de referencias de Modelos BIM de las diferentes especialidades o disciplinas que forman parte del Proyecto. </w:t>
      </w:r>
    </w:p>
    <w:p w14:paraId="000020AF"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concretar el proceso de coordinación y compatibilización con Modelos BIM libres de Interferencias que se puedan considerar como graves y medias (implican cambios en el diseño o la cooperación interdisciplinaria para su resolución). Las interferencias consideradas leves serán revisadas por el SUPERVISOR como tales y se resolverán siempre y cuando el SUPERVISOR las considere necesarias. </w:t>
      </w:r>
    </w:p>
    <w:p w14:paraId="000020B0"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obtener los metrados o cuantificaciones del Proyecto, a partir de los Modelos BIM de todas las especialidades desarrolladas en el LOD requerido en los entregables correspondientes. La especificación será detallada en el PEB, si es necesario modelar un objeto a un nivel de detalle elevado al requerido en los entregables. </w:t>
      </w:r>
    </w:p>
    <w:p w14:paraId="000020B1"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emitir entregas parciales del EDI según propuesta de desarrollo, considerando en cada entrega el nivel de desarrollo en el que se encuentren. Asimismo, el CONCESIONARIO determinará la metodología a utilizar para la entrega del total del EDI, según un cronograma que proponga de todos los entregables bajo metodología BIM. Este cronograma deberá respetar los plazos establecidos en el Contrato de Concesión para el desarrollo del Proyecto. </w:t>
      </w:r>
    </w:p>
    <w:p w14:paraId="000020B2"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entregar sus modelos finales BIM al CONCEDENTE. Estos deberán estar basados en los estándares nacionales e internacionales (Guía Nacional BIM, ISO 19650, PAS 1192 u otros) </w:t>
      </w:r>
    </w:p>
    <w:p w14:paraId="000020B3"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permitir el acceso al SUPERVISOR para las auditorías de cada uno de los Modelos que conforman el proyecto con base en los hitos definidos en la programación del esquema de trabajo contenido en el Plan de Ejecución BIM. </w:t>
      </w:r>
    </w:p>
    <w:p w14:paraId="000020B4"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CONCESIONARIO deberá permitir el acceso al SUPERVISOR para las auditorías del Entorno Común de Datos de acuerdo a lo establecido en la ISO 19650 y la Guía Nacional BIM. </w:t>
      </w:r>
    </w:p>
    <w:p w14:paraId="000020B5" w14:textId="77777777" w:rsidR="00F664DB" w:rsidRPr="00285D58" w:rsidRDefault="006049C1" w:rsidP="00A3732C">
      <w:pPr>
        <w:widowControl/>
        <w:numPr>
          <w:ilvl w:val="0"/>
          <w:numId w:val="132"/>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lastRenderedPageBreak/>
        <w:t>El CONCESIONARIO deberá permitir al SUPERVISOR realizar seguimiento permanente de los modelos, el entorno común de datos (CDE), el reporte de interferencias, los entregables de los usos BIM, el plan de ejecución BIM y otros que considere el CONCEDENTE.</w:t>
      </w:r>
    </w:p>
    <w:p w14:paraId="000020B6" w14:textId="77777777" w:rsidR="00F664DB" w:rsidRPr="00285D58" w:rsidRDefault="00F664DB" w:rsidP="008D1FFF">
      <w:pPr>
        <w:spacing w:line="276" w:lineRule="auto"/>
        <w:jc w:val="both"/>
        <w:rPr>
          <w:rFonts w:asciiTheme="minorHAnsi" w:eastAsia="Calibri" w:hAnsiTheme="minorHAnsi" w:cstheme="minorHAnsi"/>
          <w:b/>
        </w:rPr>
      </w:pPr>
    </w:p>
    <w:p w14:paraId="000020B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 desarrollar el Proyecto desde el modelo, siendo así que debe asegurar que tanto el Líder BIM, así como los demás roles BIM identificados para el contexto nacional, trabajen con los especialistas, y no simplemente que el modelador sirva como dibujante de lo que realice el especialista, además se debe asegurar que los modeladores conozcan de la especialidad a desarrollar.</w:t>
      </w:r>
    </w:p>
    <w:p w14:paraId="000020B8" w14:textId="77777777" w:rsidR="00F664DB" w:rsidRPr="00285D58" w:rsidRDefault="00F664DB" w:rsidP="008D1FFF">
      <w:pPr>
        <w:spacing w:line="276" w:lineRule="auto"/>
        <w:jc w:val="both"/>
        <w:rPr>
          <w:rFonts w:asciiTheme="minorHAnsi" w:eastAsia="Calibri" w:hAnsiTheme="minorHAnsi" w:cstheme="minorHAnsi"/>
        </w:rPr>
      </w:pPr>
    </w:p>
    <w:p w14:paraId="000020B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Líder BIM y demás roles propios de los procesos BIM en la elaboración del Estudio Definitivo de Ingeniería, son responsables de la elaboración, aprobación, actualización del modelo, así como de los datos extraídos de él, conforme los roles establecidos, no son responsables de los aspectos técnico-normativos del Proyecto.</w:t>
      </w:r>
    </w:p>
    <w:p w14:paraId="000020BA" w14:textId="77777777" w:rsidR="00F664DB" w:rsidRPr="00285D58" w:rsidRDefault="00F664DB" w:rsidP="008D1FFF">
      <w:pPr>
        <w:spacing w:line="276" w:lineRule="auto"/>
        <w:jc w:val="both"/>
        <w:rPr>
          <w:rFonts w:asciiTheme="minorHAnsi" w:eastAsia="Calibri" w:hAnsiTheme="minorHAnsi" w:cstheme="minorHAnsi"/>
        </w:rPr>
      </w:pPr>
    </w:p>
    <w:p w14:paraId="000020B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profesionales responsables deben firmar los planos, especificaciones y demás documentos de los cuales son autores, y que hayan elaborado como parte del Estudio Definitivo de Ingeniería, el CONCESIONARIO es responsable por las deficiencias y errores, así como por el incumplimiento de las normas reglamentarias en que hayan incurrido en la elaboración y ejecución del Proyecto.</w:t>
      </w:r>
    </w:p>
    <w:p w14:paraId="000020BC" w14:textId="77777777" w:rsidR="00F664DB" w:rsidRPr="00285D58" w:rsidRDefault="00F664DB" w:rsidP="008D1FFF">
      <w:pPr>
        <w:spacing w:line="276" w:lineRule="auto"/>
        <w:jc w:val="both"/>
        <w:rPr>
          <w:rFonts w:asciiTheme="minorHAnsi" w:eastAsia="Calibri" w:hAnsiTheme="minorHAnsi" w:cstheme="minorHAnsi"/>
        </w:rPr>
      </w:pPr>
    </w:p>
    <w:p w14:paraId="000020B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2" w:name="_heading=h.177c0mj" w:colFirst="0" w:colLast="0"/>
      <w:bookmarkEnd w:id="202"/>
      <w:r w:rsidRPr="00285D58">
        <w:rPr>
          <w:rFonts w:asciiTheme="minorHAnsi" w:eastAsia="Calibri" w:hAnsiTheme="minorHAnsi" w:cstheme="minorHAnsi"/>
          <w:b/>
        </w:rPr>
        <w:t>CONSIDERACIONES GENERALES</w:t>
      </w:r>
    </w:p>
    <w:p w14:paraId="000020B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por utilizar para el desarrollo de Modelos BIM deberá de estar basada en:</w:t>
      </w:r>
    </w:p>
    <w:p w14:paraId="000020BF" w14:textId="77777777" w:rsidR="00F664DB" w:rsidRPr="00285D58" w:rsidRDefault="00F664DB" w:rsidP="008D1FFF">
      <w:pPr>
        <w:spacing w:line="276" w:lineRule="auto"/>
        <w:jc w:val="both"/>
        <w:rPr>
          <w:rFonts w:asciiTheme="minorHAnsi" w:eastAsia="Calibri" w:hAnsiTheme="minorHAnsi" w:cstheme="minorHAnsi"/>
        </w:rPr>
      </w:pPr>
    </w:p>
    <w:p w14:paraId="000020C0"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Dependiendo del grado de detalle (LOD) exigido para el desarrollo de la plataforma BIM no todos los objetos/elementos serán Modelados en 3D dentro del Modelo, por lo que algunos objetos/elementos tendrán que representarse únicamente en 2D o ser referenciados, pero de ser necesario, estos elementos contendrán información complementaria y podrán ser visualizados en todas las vistas de detalle que lo requiera el Proyecto.</w:t>
      </w:r>
    </w:p>
    <w:p w14:paraId="000020C1"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desarrollo de propuestas de diseño en formato 2D de AutoCAD en paralelo al modelado será permitido previo consenso con el SUPERVISOR y CONCEDENTE. Se podrán usar archivos 2D en formato .dwg para el desarrollo de detalles, los mismos que tendrán que ser convertidos al formato 2D de la plataforma de modelado BIM. </w:t>
      </w:r>
    </w:p>
    <w:p w14:paraId="000020C2"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 (o los) software y los formatos con los que se deberá presentar los modelos BIM se definirán en el PEB, en donde serán seleccionadas herramientas comerciales que cuenten con amplia conectividad con otras plataformas. El o los softwares elegidos deberán permitir la revisión del CONCEDENTE en cualquiera de sus entregas sin problema alguno. </w:t>
      </w:r>
    </w:p>
    <w:p w14:paraId="000020C3"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 xml:space="preserve">El CONCESIONARIO deberá proponer en el BEP un Entorno de Datos Comunes (CDE) para respaldar el proyecto y el trabajo colaborativo interdisciplinario, el cual será compatible con el Software de modelado propuesto. La plataforma de colaboración deberá garantizar una correcta notificación de la gestión de los modelos, incidencias, inmediatez, accesibilidad desde diferentes dispositivos, trazabilidad, archivo, impresión e intercambio de información. </w:t>
      </w:r>
    </w:p>
    <w:p w14:paraId="000020C4" w14:textId="77777777" w:rsidR="00F664DB" w:rsidRPr="00285D58" w:rsidRDefault="006049C1" w:rsidP="00A3732C">
      <w:pPr>
        <w:widowControl/>
        <w:numPr>
          <w:ilvl w:val="0"/>
          <w:numId w:val="127"/>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El BEP es un documento que acompaña y define los alcances BIM del Proyecto siguiendo los Objetivos y Usos BIM del Proyecto, de acuerdo con lo establecido en el numeral 14.1.</w:t>
      </w:r>
    </w:p>
    <w:p w14:paraId="000020C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3" w:name="_heading=h.3r6zjac" w:colFirst="0" w:colLast="0"/>
      <w:bookmarkEnd w:id="203"/>
      <w:r w:rsidRPr="00285D58">
        <w:rPr>
          <w:rFonts w:asciiTheme="minorHAnsi" w:eastAsia="Calibri" w:hAnsiTheme="minorHAnsi" w:cstheme="minorHAnsi"/>
          <w:b/>
        </w:rPr>
        <w:t>PROPIEDADES DE LOS RESULTADOS</w:t>
      </w:r>
    </w:p>
    <w:p w14:paraId="000020C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BIM Federado generado para el Proyecto, es parte del Contrato de Concesión, es propiedad del CONCEDENTE e incluye los diseños, planos, cuadros, imágenes, cronogramas, metrados, tablas, memorias, especificaciones técnicas, entre otros, contenidos en el mismo. Esto incluye al contenido mismo dentro del Modelo BIM Federado y cualquier otro contenido proveniente de otros equipos de trabajo presentados como parte de este.</w:t>
      </w:r>
    </w:p>
    <w:p w14:paraId="000020C8" w14:textId="77777777" w:rsidR="00F664DB" w:rsidRPr="00285D58" w:rsidRDefault="00F664DB" w:rsidP="008D1FFF">
      <w:pPr>
        <w:spacing w:line="276" w:lineRule="auto"/>
        <w:jc w:val="both"/>
        <w:rPr>
          <w:rFonts w:asciiTheme="minorHAnsi" w:eastAsia="Calibri" w:hAnsiTheme="minorHAnsi" w:cstheme="minorHAnsi"/>
        </w:rPr>
      </w:pPr>
    </w:p>
    <w:p w14:paraId="000020C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Queda prohibida, bajo responsabilidad del CONCESIONARIO, la difusión o comunicación de los planos, modelos y demás información proporcionada por el CONCEDENTE o generadas en el proceso, sin autorización expresa del CONCEDENTE. El CONCESIONARIO es responsable del cumplimiento de esta condición de confidencialidad según corresponda</w:t>
      </w:r>
    </w:p>
    <w:p w14:paraId="000020CA" w14:textId="77777777" w:rsidR="00F664DB" w:rsidRPr="00285D58" w:rsidRDefault="00F664DB" w:rsidP="008D1FFF">
      <w:pPr>
        <w:spacing w:line="276" w:lineRule="auto"/>
        <w:jc w:val="both"/>
        <w:rPr>
          <w:rFonts w:asciiTheme="minorHAnsi" w:eastAsia="Calibri" w:hAnsiTheme="minorHAnsi" w:cstheme="minorHAnsi"/>
        </w:rPr>
      </w:pPr>
    </w:p>
    <w:p w14:paraId="000020CB"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4" w:name="_heading=h.26c9ti5" w:colFirst="0" w:colLast="0"/>
      <w:bookmarkEnd w:id="204"/>
      <w:r w:rsidRPr="00285D58">
        <w:rPr>
          <w:rFonts w:asciiTheme="minorHAnsi" w:eastAsia="Calibri" w:hAnsiTheme="minorHAnsi" w:cstheme="minorHAnsi"/>
          <w:b/>
        </w:rPr>
        <w:t>PLATAFORMA</w:t>
      </w:r>
    </w:p>
    <w:p w14:paraId="000020C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definirse en el BEPy ser multidisciplinaria, basada en ecosistemas BIM y que permitan integrar modelos de diferente especialidad con diferentes formatos de intercambio de información digital (extensión) permitiendo, la administración, revisión y análisis de las distintas especialidades de manera uniforme, coherente y sin pérdida ni distorsión de la información.</w:t>
      </w:r>
    </w:p>
    <w:p w14:paraId="000020CD" w14:textId="77777777" w:rsidR="00F664DB" w:rsidRPr="00285D58" w:rsidRDefault="00F664DB" w:rsidP="008D1FFF">
      <w:pPr>
        <w:spacing w:line="276" w:lineRule="auto"/>
        <w:jc w:val="both"/>
        <w:rPr>
          <w:rFonts w:asciiTheme="minorHAnsi" w:eastAsia="Calibri" w:hAnsiTheme="minorHAnsi" w:cstheme="minorHAnsi"/>
        </w:rPr>
      </w:pPr>
    </w:p>
    <w:p w14:paraId="000020C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Entre las funcionabilidades que deberá tener, es la de ser un sistema escalable, con control de accesos y seguridad, con creación de procesos, control de requisitos, control de documentos y modelo federado (único) con diferentes estados como trabajo en Curso (Work In Progress), Compartido (Shared), Publicado (Published) y Archivado (Archive), de acuerdo con lo indicado en la Guía Nacional BIM.</w:t>
      </w:r>
    </w:p>
    <w:p w14:paraId="000020CF" w14:textId="77777777" w:rsidR="00F664DB" w:rsidRPr="00285D58" w:rsidRDefault="00F664DB" w:rsidP="008D1FFF">
      <w:pPr>
        <w:spacing w:line="276" w:lineRule="auto"/>
        <w:jc w:val="both"/>
        <w:rPr>
          <w:rFonts w:asciiTheme="minorHAnsi" w:eastAsia="Calibri" w:hAnsiTheme="minorHAnsi" w:cstheme="minorHAnsi"/>
        </w:rPr>
      </w:pPr>
    </w:p>
    <w:p w14:paraId="000020D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ser lo suficientemente robusta como para contener toda la información del Proyecto, tanto en 3D como en 2D y deberá permitir importar y exportar información en CAD y formatos IFC por especialidad hacia y desde el Modelo BIM respectivamente.</w:t>
      </w:r>
    </w:p>
    <w:p w14:paraId="000020D1" w14:textId="77777777" w:rsidR="00F664DB" w:rsidRPr="00285D58" w:rsidRDefault="00F664DB" w:rsidP="008D1FFF">
      <w:pPr>
        <w:spacing w:line="276" w:lineRule="auto"/>
        <w:jc w:val="both"/>
        <w:rPr>
          <w:rFonts w:asciiTheme="minorHAnsi" w:eastAsia="Calibri" w:hAnsiTheme="minorHAnsi" w:cstheme="minorHAnsi"/>
        </w:rPr>
      </w:pPr>
    </w:p>
    <w:p w14:paraId="000020D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Plataforma BIM a usar deberá vincular su información con un Entorno de Datos Comunes (CDE).</w:t>
      </w:r>
    </w:p>
    <w:p w14:paraId="000020D3" w14:textId="77777777" w:rsidR="00F664DB" w:rsidRPr="00285D58" w:rsidRDefault="00F664DB" w:rsidP="008D1FFF">
      <w:pPr>
        <w:spacing w:line="276" w:lineRule="auto"/>
        <w:jc w:val="both"/>
        <w:rPr>
          <w:rFonts w:asciiTheme="minorHAnsi" w:eastAsia="Calibri" w:hAnsiTheme="minorHAnsi" w:cstheme="minorHAnsi"/>
        </w:rPr>
      </w:pPr>
    </w:p>
    <w:p w14:paraId="000020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recomienda que la Plataforma BIM a usar tenga la posibilidad de vincular su información con Sistemas de Gestión de costos, Sistemas de Gestión de obra y Sistemas de Gestión de Activos. A tal efecto, se deberá proponer los Usos BIM correspondientes.</w:t>
      </w:r>
    </w:p>
    <w:p w14:paraId="000020D5" w14:textId="77777777" w:rsidR="00F664DB" w:rsidRPr="00285D58" w:rsidRDefault="00F664DB" w:rsidP="008D1FFF">
      <w:pPr>
        <w:spacing w:line="276" w:lineRule="auto"/>
        <w:jc w:val="both"/>
        <w:rPr>
          <w:rFonts w:asciiTheme="minorHAnsi" w:eastAsia="Calibri" w:hAnsiTheme="minorHAnsi" w:cstheme="minorHAnsi"/>
        </w:rPr>
      </w:pPr>
    </w:p>
    <w:p w14:paraId="000020D6"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5" w:name="_heading=h.lhk3py" w:colFirst="0" w:colLast="0"/>
      <w:bookmarkEnd w:id="205"/>
      <w:r w:rsidRPr="00285D58">
        <w:rPr>
          <w:rFonts w:asciiTheme="minorHAnsi" w:eastAsia="Calibri" w:hAnsiTheme="minorHAnsi" w:cstheme="minorHAnsi"/>
          <w:b/>
        </w:rPr>
        <w:t>ESTANDARES</w:t>
      </w:r>
    </w:p>
    <w:p w14:paraId="000020D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será el responsable de definir un esquema de Estandarización basado en los principios de la Metodología BIM como el ISO 19650, la Guía Nacional BIM, PAS 1192 y otros. Deberá incluir Flujos de Trabajo, Procesos, Procedimientos, Mejores Prácticas, etc, los cuales son críticos a la hora de desarrollar un proyecto utilizando Tecnología BIM.</w:t>
      </w:r>
    </w:p>
    <w:p w14:paraId="000020D8" w14:textId="77777777" w:rsidR="00F664DB" w:rsidRPr="00285D58" w:rsidRDefault="00F664DB" w:rsidP="008D1FFF">
      <w:pPr>
        <w:spacing w:line="276" w:lineRule="auto"/>
        <w:jc w:val="both"/>
        <w:rPr>
          <w:rFonts w:asciiTheme="minorHAnsi" w:eastAsia="Calibri" w:hAnsiTheme="minorHAnsi" w:cstheme="minorHAnsi"/>
        </w:rPr>
      </w:pPr>
    </w:p>
    <w:p w14:paraId="000020D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debe cumplir con los principios de OPEN BIM (enfoque universal al diseño colaborativo independiente de las herramientas de software que utilicen) mismas que correspondan y faciliten la interoperabilidad entre los diferentes programas. Asimismo, el modelo debe cumplir las características mínimas de constructibilidad en más de una especialidad.</w:t>
      </w:r>
    </w:p>
    <w:p w14:paraId="000020DA" w14:textId="77777777" w:rsidR="00F664DB" w:rsidRPr="00285D58" w:rsidRDefault="00F664DB" w:rsidP="008D1FFF">
      <w:pPr>
        <w:spacing w:line="276" w:lineRule="auto"/>
        <w:jc w:val="both"/>
        <w:rPr>
          <w:rFonts w:asciiTheme="minorHAnsi" w:eastAsia="Calibri" w:hAnsiTheme="minorHAnsi" w:cstheme="minorHAnsi"/>
        </w:rPr>
      </w:pPr>
    </w:p>
    <w:p w14:paraId="000020D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formatos IFC (por sus siglas en inglés Industry Foundation Classes), es un estándar común para el intercambio de datos, deberán ser exportados de manera correcta del archivo nativo, teniendo en consideración el tipo de IFC compatible para el software y MVD (Model View Definition) correspondiente.</w:t>
      </w:r>
    </w:p>
    <w:p w14:paraId="000020DC" w14:textId="77777777" w:rsidR="00F664DB" w:rsidRPr="00285D58" w:rsidRDefault="00F664DB" w:rsidP="008D1FFF">
      <w:pPr>
        <w:spacing w:line="276" w:lineRule="auto"/>
        <w:jc w:val="both"/>
        <w:rPr>
          <w:rFonts w:asciiTheme="minorHAnsi" w:eastAsia="Calibri" w:hAnsiTheme="minorHAnsi" w:cstheme="minorHAnsi"/>
          <w:b/>
        </w:rPr>
      </w:pPr>
      <w:bookmarkStart w:id="206" w:name="_heading=h.35h7mdr" w:colFirst="0" w:colLast="0"/>
      <w:bookmarkEnd w:id="206"/>
    </w:p>
    <w:p w14:paraId="000020D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r w:rsidRPr="00285D58">
        <w:rPr>
          <w:rFonts w:asciiTheme="minorHAnsi" w:eastAsia="Calibri" w:hAnsiTheme="minorHAnsi" w:cstheme="minorHAnsi"/>
          <w:b/>
        </w:rPr>
        <w:t xml:space="preserve">VERSIÓN </w:t>
      </w:r>
    </w:p>
    <w:p w14:paraId="000020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versión del software a utilizar será la más actualizada. Considerando que podrá utilizarse más de un software, deberá preverse la versión de cada uno de ellos de manera que pueda asegurarse la integración y la conversión al formato IFC.</w:t>
      </w:r>
    </w:p>
    <w:p w14:paraId="000020DF" w14:textId="77777777" w:rsidR="00F664DB" w:rsidRPr="00285D58" w:rsidRDefault="00F664DB" w:rsidP="008D1FFF">
      <w:pPr>
        <w:spacing w:line="276" w:lineRule="auto"/>
        <w:jc w:val="both"/>
        <w:rPr>
          <w:rFonts w:asciiTheme="minorHAnsi" w:eastAsia="Calibri" w:hAnsiTheme="minorHAnsi" w:cstheme="minorHAnsi"/>
        </w:rPr>
      </w:pPr>
    </w:p>
    <w:p w14:paraId="000020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Final será entregado en archivo nativo definido en el BEP, incluyendo todas las librerías, familias y objetos.</w:t>
      </w:r>
    </w:p>
    <w:p w14:paraId="000020E1" w14:textId="77777777" w:rsidR="00F664DB" w:rsidRPr="00285D58" w:rsidRDefault="00F664DB" w:rsidP="008D1FFF">
      <w:pPr>
        <w:spacing w:line="276" w:lineRule="auto"/>
        <w:jc w:val="both"/>
        <w:rPr>
          <w:rFonts w:asciiTheme="minorHAnsi" w:eastAsia="Calibri" w:hAnsiTheme="minorHAnsi" w:cstheme="minorHAnsi"/>
        </w:rPr>
      </w:pPr>
    </w:p>
    <w:p w14:paraId="000020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Final podrá ser entregado en formato IFC previo consenso con el SUPERVISOR y CONCEDENTE.</w:t>
      </w:r>
    </w:p>
    <w:p w14:paraId="000020E3" w14:textId="77777777" w:rsidR="00F664DB" w:rsidRPr="00285D58" w:rsidRDefault="00F664DB" w:rsidP="008D1FFF">
      <w:pPr>
        <w:spacing w:line="276" w:lineRule="auto"/>
        <w:jc w:val="both"/>
        <w:rPr>
          <w:rFonts w:asciiTheme="minorHAnsi" w:eastAsia="Calibri" w:hAnsiTheme="minorHAnsi" w:cstheme="minorHAnsi"/>
        </w:rPr>
      </w:pPr>
    </w:p>
    <w:p w14:paraId="000020E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7" w:name="_heading=h.1kmhwlk" w:colFirst="0" w:colLast="0"/>
      <w:bookmarkEnd w:id="207"/>
      <w:r w:rsidRPr="00285D58">
        <w:rPr>
          <w:rFonts w:asciiTheme="minorHAnsi" w:eastAsia="Calibri" w:hAnsiTheme="minorHAnsi" w:cstheme="minorHAnsi"/>
          <w:b/>
        </w:rPr>
        <w:t>REQUERIMIENTOS SUGERIDOS PARA LOS ROLES BIM</w:t>
      </w:r>
    </w:p>
    <w:p w14:paraId="000020E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 continuación, se presentan los requerimientos sugeridos para los roles BIM, que deberán ser asignados por el CONCESIONARIO, según las responsabilidades sobre determinadas acciones que deberán cumplir las partes involucradas en el proceso de Gestión de la Información BIM de acuerdo con lo establecido en la Guía Nacional BIM reconociendo esta, 5 roles principales mismos que se </w:t>
      </w:r>
      <w:r w:rsidRPr="00285D58">
        <w:rPr>
          <w:rFonts w:asciiTheme="minorHAnsi" w:eastAsia="Calibri" w:hAnsiTheme="minorHAnsi" w:cstheme="minorHAnsi"/>
        </w:rPr>
        <w:lastRenderedPageBreak/>
        <w:t>detallan más adelante.</w:t>
      </w:r>
    </w:p>
    <w:p w14:paraId="000020E6" w14:textId="77777777" w:rsidR="00F664DB" w:rsidRPr="00285D58" w:rsidRDefault="00F664DB" w:rsidP="008D1FFF">
      <w:pPr>
        <w:spacing w:line="276" w:lineRule="auto"/>
        <w:jc w:val="both"/>
        <w:rPr>
          <w:rFonts w:asciiTheme="minorHAnsi" w:eastAsia="Calibri" w:hAnsiTheme="minorHAnsi" w:cstheme="minorHAnsi"/>
        </w:rPr>
      </w:pPr>
    </w:p>
    <w:p w14:paraId="000020E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Líder BIM</w:t>
      </w:r>
    </w:p>
    <w:p w14:paraId="000020E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 gestionar, liderar y diseñar, de manera exitosa, los procesos y estrategias para la adopción de BIM a nivel organizacional, de acuerdo con las necesidades y objetivos de cada entidad.</w:t>
      </w:r>
    </w:p>
    <w:p w14:paraId="000020E9" w14:textId="77777777" w:rsidR="00F664DB" w:rsidRPr="00285D58" w:rsidRDefault="00F664DB" w:rsidP="008D1FFF">
      <w:pPr>
        <w:spacing w:line="276" w:lineRule="auto"/>
        <w:jc w:val="both"/>
        <w:rPr>
          <w:rFonts w:asciiTheme="minorHAnsi" w:eastAsia="Calibri" w:hAnsiTheme="minorHAnsi" w:cstheme="minorHAnsi"/>
        </w:rPr>
      </w:pPr>
    </w:p>
    <w:p w14:paraId="000020E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Líder BIM son:</w:t>
      </w:r>
    </w:p>
    <w:p w14:paraId="000020EB" w14:textId="77777777" w:rsidR="00F664DB" w:rsidRPr="00285D58" w:rsidRDefault="00F664DB" w:rsidP="008D1FFF">
      <w:pPr>
        <w:spacing w:line="276" w:lineRule="auto"/>
        <w:jc w:val="both"/>
        <w:rPr>
          <w:rFonts w:asciiTheme="minorHAnsi" w:eastAsia="Calibri" w:hAnsiTheme="minorHAnsi" w:cstheme="minorHAnsi"/>
        </w:rPr>
      </w:pPr>
    </w:p>
    <w:p w14:paraId="000020EC"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estrategias y procesos de implementación BIM. </w:t>
      </w:r>
    </w:p>
    <w:p w14:paraId="000020ED"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Supervisar la aplicación de BIM en el marco organizacional. </w:t>
      </w:r>
    </w:p>
    <w:p w14:paraId="000020EE"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Recopilar las lecciones aprendidas. </w:t>
      </w:r>
    </w:p>
    <w:p w14:paraId="000020EF"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estrategias para el desarrollo de capacidades del personal. </w:t>
      </w:r>
    </w:p>
    <w:p w14:paraId="000020F0" w14:textId="77777777" w:rsidR="00F664DB" w:rsidRPr="00285D58" w:rsidRDefault="006049C1" w:rsidP="00A3732C">
      <w:pPr>
        <w:widowControl/>
        <w:numPr>
          <w:ilvl w:val="0"/>
          <w:numId w:val="124"/>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Evaluar y Establecer los Requisitos de Información Organizacional.</w:t>
      </w:r>
    </w:p>
    <w:p w14:paraId="000020F1" w14:textId="77777777" w:rsidR="00F664DB" w:rsidRPr="00285D58" w:rsidRDefault="00F664DB" w:rsidP="008D1FFF">
      <w:pPr>
        <w:spacing w:line="276" w:lineRule="auto"/>
        <w:jc w:val="both"/>
        <w:rPr>
          <w:rFonts w:asciiTheme="minorHAnsi" w:eastAsia="Calibri" w:hAnsiTheme="minorHAnsi" w:cstheme="minorHAnsi"/>
          <w:b/>
        </w:rPr>
      </w:pPr>
    </w:p>
    <w:p w14:paraId="000020F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Gestor BIM</w:t>
      </w:r>
    </w:p>
    <w:p w14:paraId="000020F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del proceso de Gestión de la Información BIM y el responsable de establecer los Requisitos de Información de las inversiones, en coordinación con el Líder BIM. Debe transmitir claramente los Requisitos de Información a los Equipos de Proyecto, manteniendo comunicación y coordinación constante con el Coordinador BIM.</w:t>
      </w:r>
    </w:p>
    <w:p w14:paraId="000020F4" w14:textId="77777777" w:rsidR="00F664DB" w:rsidRPr="00285D58" w:rsidRDefault="00F664DB" w:rsidP="008D1FFF">
      <w:pPr>
        <w:spacing w:line="276" w:lineRule="auto"/>
        <w:jc w:val="both"/>
        <w:rPr>
          <w:rFonts w:asciiTheme="minorHAnsi" w:eastAsia="Calibri" w:hAnsiTheme="minorHAnsi" w:cstheme="minorHAnsi"/>
        </w:rPr>
      </w:pPr>
    </w:p>
    <w:p w14:paraId="000020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Gestor BIM son:</w:t>
      </w:r>
    </w:p>
    <w:p w14:paraId="000020F6" w14:textId="77777777" w:rsidR="00F664DB" w:rsidRPr="00285D58" w:rsidRDefault="00F664DB" w:rsidP="008D1FFF">
      <w:pPr>
        <w:spacing w:line="276" w:lineRule="auto"/>
        <w:jc w:val="both"/>
        <w:rPr>
          <w:rFonts w:asciiTheme="minorHAnsi" w:eastAsia="Calibri" w:hAnsiTheme="minorHAnsi" w:cstheme="minorHAnsi"/>
        </w:rPr>
      </w:pPr>
    </w:p>
    <w:p w14:paraId="000020F7"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Requisitos de Información de la inversión. </w:t>
      </w:r>
    </w:p>
    <w:p w14:paraId="000020F8"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hitos de entrega de la información de la inversión. </w:t>
      </w:r>
    </w:p>
    <w:p w14:paraId="000020F9"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establecer los estándares de información. </w:t>
      </w:r>
    </w:p>
    <w:p w14:paraId="000020FA"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proponer métodos y procedimientos para la producción de información. </w:t>
      </w:r>
    </w:p>
    <w:p w14:paraId="000020FB"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establecer y gestionar la información a través del Entorno de Datos Comunes (CDE). </w:t>
      </w:r>
    </w:p>
    <w:p w14:paraId="000020FC"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Establece la organización y el flujo de intercambio de los contenedores de información. </w:t>
      </w:r>
    </w:p>
    <w:p w14:paraId="000020FD"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Evaluar y desarrollar el Plan de Ejecución BIM (BEP). </w:t>
      </w:r>
    </w:p>
    <w:p w14:paraId="000020FE"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Elaborar la planificación y cronograma de los hitos de entrega del proyecto. </w:t>
      </w:r>
    </w:p>
    <w:p w14:paraId="000020FF"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Definir la implementación de Infraestructura Tecnológica (TI).</w:t>
      </w:r>
    </w:p>
    <w:p w14:paraId="00002100"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la comunicación entre la entidad y el Equipo de Proyecto. </w:t>
      </w:r>
    </w:p>
    <w:p w14:paraId="00002101"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Evalúa y aprueba la entrega de información, según el cumplimiento de los requisitos de información de la prestación requerida en el desarrollo de la inversión. </w:t>
      </w:r>
    </w:p>
    <w:p w14:paraId="00002102" w14:textId="77777777" w:rsidR="00F664DB" w:rsidRPr="00285D58" w:rsidRDefault="006049C1" w:rsidP="00A3732C">
      <w:pPr>
        <w:widowControl/>
        <w:numPr>
          <w:ilvl w:val="0"/>
          <w:numId w:val="14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Gestionar las lecciones aprendidas.</w:t>
      </w:r>
    </w:p>
    <w:p w14:paraId="00002103" w14:textId="77777777" w:rsidR="00F664DB" w:rsidRPr="00285D58" w:rsidRDefault="00F664DB" w:rsidP="008D1FFF">
      <w:pPr>
        <w:spacing w:line="276" w:lineRule="auto"/>
        <w:jc w:val="both"/>
        <w:rPr>
          <w:rFonts w:asciiTheme="minorHAnsi" w:eastAsia="Calibri" w:hAnsiTheme="minorHAnsi" w:cstheme="minorHAnsi"/>
          <w:b/>
        </w:rPr>
      </w:pPr>
    </w:p>
    <w:p w14:paraId="0000210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Coordinador BIM</w:t>
      </w:r>
    </w:p>
    <w:p w14:paraId="0000210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Encargado de coordinar la ejecución de los modelos de información de las distintas especialidades, asegurando el cumplimiento de los Requisitos de Información, normativas y procedimientos establecidos para Gestión de la Información BIM, manteniendo la comunicación y coordinación con </w:t>
      </w:r>
      <w:r w:rsidRPr="00285D58">
        <w:rPr>
          <w:rFonts w:asciiTheme="minorHAnsi" w:eastAsia="Calibri" w:hAnsiTheme="minorHAnsi" w:cstheme="minorHAnsi"/>
        </w:rPr>
        <w:lastRenderedPageBreak/>
        <w:t>el Gestor BIM y el Equipo de Trabajo.</w:t>
      </w:r>
    </w:p>
    <w:p w14:paraId="00002106" w14:textId="77777777" w:rsidR="00F664DB" w:rsidRPr="00285D58" w:rsidRDefault="00F664DB" w:rsidP="008D1FFF">
      <w:pPr>
        <w:spacing w:line="276" w:lineRule="auto"/>
        <w:jc w:val="both"/>
        <w:rPr>
          <w:rFonts w:asciiTheme="minorHAnsi" w:eastAsia="Calibri" w:hAnsiTheme="minorHAnsi" w:cstheme="minorHAnsi"/>
        </w:rPr>
      </w:pPr>
    </w:p>
    <w:p w14:paraId="0000210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Coordinador BIM son:</w:t>
      </w:r>
    </w:p>
    <w:p w14:paraId="00002108" w14:textId="77777777" w:rsidR="00F664DB" w:rsidRPr="00285D58" w:rsidRDefault="00F664DB" w:rsidP="008D1FFF">
      <w:pPr>
        <w:spacing w:line="276" w:lineRule="auto"/>
        <w:jc w:val="both"/>
        <w:rPr>
          <w:rFonts w:asciiTheme="minorHAnsi" w:eastAsia="Calibri" w:hAnsiTheme="minorHAnsi" w:cstheme="minorHAnsi"/>
        </w:rPr>
      </w:pPr>
    </w:p>
    <w:p w14:paraId="0000210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Apoyar al Gestor BIM en el desarrollo del Plan de Ejecución BIM. </w:t>
      </w:r>
    </w:p>
    <w:p w14:paraId="0000210A"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Encargado de confirmar y asegurar la correcta implementación e interoperabilidad de los Recursos y Tecnología de Información (TI). </w:t>
      </w:r>
    </w:p>
    <w:p w14:paraId="0000210B"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Coordinar la elaboración del Modelo de Información. </w:t>
      </w:r>
    </w:p>
    <w:p w14:paraId="0000210C"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y coordinar los procesos de trabajo con el Equipo de Trabajo. </w:t>
      </w:r>
    </w:p>
    <w:p w14:paraId="0000210D"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Configurar los Contenedores de Información. </w:t>
      </w:r>
    </w:p>
    <w:p w14:paraId="0000210E"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Revisar y validar la integración de modelos de información federados de las distintas especialidades. </w:t>
      </w:r>
    </w:p>
    <w:p w14:paraId="0000210F"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Revisar y plantear soluciones a las incompatibilidades e interferencias del Modelo de Información. </w:t>
      </w:r>
    </w:p>
    <w:p w14:paraId="00002110"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que los modelos de información se mantengan actualizados. </w:t>
      </w:r>
    </w:p>
    <w:p w14:paraId="00002111"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que los modelos de información cumplan con los estándares definidos por el Gestor BIM. </w:t>
      </w:r>
    </w:p>
    <w:p w14:paraId="00002112"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Definir la estrategia para el desarrollo de los Modelos de Información. </w:t>
      </w:r>
    </w:p>
    <w:p w14:paraId="00002113"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Asegurar la comunicación dentro del Equipo de Trabajo. Asimismo, mantener comunicación con el Gestor BIM. </w:t>
      </w:r>
    </w:p>
    <w:p w14:paraId="00002114" w14:textId="77777777" w:rsidR="00F664DB" w:rsidRPr="00285D58" w:rsidRDefault="006049C1" w:rsidP="00A3732C">
      <w:pPr>
        <w:widowControl/>
        <w:numPr>
          <w:ilvl w:val="0"/>
          <w:numId w:val="143"/>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Extraer información y documentación a partir del Modelo de Información.</w:t>
      </w:r>
    </w:p>
    <w:p w14:paraId="00002115" w14:textId="77777777" w:rsidR="00F664DB" w:rsidRPr="00285D58" w:rsidRDefault="00F664DB" w:rsidP="008D1FFF">
      <w:pPr>
        <w:spacing w:line="276" w:lineRule="auto"/>
        <w:jc w:val="both"/>
        <w:rPr>
          <w:rFonts w:asciiTheme="minorHAnsi" w:eastAsia="Calibri" w:hAnsiTheme="minorHAnsi" w:cstheme="minorHAnsi"/>
          <w:b/>
        </w:rPr>
      </w:pPr>
    </w:p>
    <w:p w14:paraId="0000211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Modelador BIM</w:t>
      </w:r>
    </w:p>
    <w:p w14:paraId="0000211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Encargado del desarrollo de los Modelos de Información, según los Requisitos de Información, considerando el Nivel de Información Necesaria (LOIN), manteniendo la comunicación y coordinación constante con el Coordinador BIM y con los miembros del Equipo de Trabajo.</w:t>
      </w:r>
    </w:p>
    <w:p w14:paraId="00002118" w14:textId="77777777" w:rsidR="00F664DB" w:rsidRPr="00285D58" w:rsidRDefault="00F664DB" w:rsidP="008D1FFF">
      <w:pPr>
        <w:spacing w:line="276" w:lineRule="auto"/>
        <w:jc w:val="both"/>
        <w:rPr>
          <w:rFonts w:asciiTheme="minorHAnsi" w:eastAsia="Calibri" w:hAnsiTheme="minorHAnsi" w:cstheme="minorHAnsi"/>
        </w:rPr>
      </w:pPr>
    </w:p>
    <w:p w14:paraId="0000211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principales responsabilidades del Modelador BIM son:</w:t>
      </w:r>
    </w:p>
    <w:p w14:paraId="0000211A" w14:textId="77777777" w:rsidR="00F664DB" w:rsidRPr="00285D58" w:rsidRDefault="00F664DB" w:rsidP="008D1FFF">
      <w:pPr>
        <w:spacing w:line="276" w:lineRule="auto"/>
        <w:jc w:val="both"/>
        <w:rPr>
          <w:rFonts w:asciiTheme="minorHAnsi" w:eastAsia="Calibri" w:hAnsiTheme="minorHAnsi" w:cstheme="minorHAnsi"/>
        </w:rPr>
      </w:pPr>
    </w:p>
    <w:p w14:paraId="0000211B"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Desarrollar los Modelos de Información según la especialidad. </w:t>
      </w:r>
    </w:p>
    <w:p w14:paraId="0000211C"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Generar archivos de intercambio de la información en diferentes formatos. </w:t>
      </w:r>
    </w:p>
    <w:p w14:paraId="0000211D"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Modelar e introducir la información necesaria en los modelos o los elementos del modelo requeridos según el Nivel de Información Necesaria. </w:t>
      </w:r>
    </w:p>
    <w:p w14:paraId="0000211E"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Utilizar y crear nuevos objetos de acuerdo con las necesidades del proyecto. </w:t>
      </w:r>
    </w:p>
    <w:p w14:paraId="0000211F" w14:textId="77777777" w:rsidR="00F664DB" w:rsidRPr="00285D58" w:rsidRDefault="006049C1" w:rsidP="00A3732C">
      <w:pPr>
        <w:widowControl/>
        <w:numPr>
          <w:ilvl w:val="0"/>
          <w:numId w:val="138"/>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Asegurar la calidad de los entregables, manteniendo la coordinación con las distintas especialidades.</w:t>
      </w:r>
    </w:p>
    <w:p w14:paraId="00002120" w14:textId="77777777" w:rsidR="00F664DB" w:rsidRPr="00285D58" w:rsidRDefault="00F664DB" w:rsidP="008D1FFF">
      <w:pPr>
        <w:spacing w:line="276" w:lineRule="auto"/>
        <w:jc w:val="both"/>
        <w:rPr>
          <w:rFonts w:asciiTheme="minorHAnsi" w:eastAsia="Calibri" w:hAnsiTheme="minorHAnsi" w:cstheme="minorHAnsi"/>
          <w:b/>
        </w:rPr>
      </w:pPr>
    </w:p>
    <w:p w14:paraId="0000212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Supervisor BIM</w:t>
      </w:r>
    </w:p>
    <w:p w14:paraId="0000212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Responsable de realizar revisiones periódicas a los Contenedores de Información y verificar que el Modelo de Información se realice según los Requisitos de Información, en colaboración con el Coordinador BIM, antes de la entrega del Modelo de Información al Gestor BIM.</w:t>
      </w:r>
    </w:p>
    <w:p w14:paraId="00002123" w14:textId="77777777" w:rsidR="00F664DB" w:rsidRPr="00285D58" w:rsidRDefault="00F664DB" w:rsidP="008D1FFF">
      <w:pPr>
        <w:spacing w:line="276" w:lineRule="auto"/>
        <w:jc w:val="both"/>
        <w:rPr>
          <w:rFonts w:asciiTheme="minorHAnsi" w:eastAsia="Calibri" w:hAnsiTheme="minorHAnsi" w:cstheme="minorHAnsi"/>
        </w:rPr>
      </w:pPr>
    </w:p>
    <w:p w14:paraId="0000212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 Las principales responsabilidades del Supervisor BIM son:</w:t>
      </w:r>
    </w:p>
    <w:p w14:paraId="00002125" w14:textId="77777777" w:rsidR="00F664DB" w:rsidRPr="00285D58" w:rsidRDefault="00F664DB" w:rsidP="008D1FFF">
      <w:pPr>
        <w:spacing w:line="276" w:lineRule="auto"/>
        <w:jc w:val="both"/>
        <w:rPr>
          <w:rFonts w:asciiTheme="minorHAnsi" w:eastAsia="Calibri" w:hAnsiTheme="minorHAnsi" w:cstheme="minorHAnsi"/>
        </w:rPr>
      </w:pPr>
    </w:p>
    <w:p w14:paraId="00002126"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Apoyar en el desarrollo del Plan de Ejecución BIM (BEP). </w:t>
      </w:r>
    </w:p>
    <w:p w14:paraId="00002127"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Supervisar los procesos de ejecución de los Modelos de Información. </w:t>
      </w:r>
    </w:p>
    <w:p w14:paraId="00002128" w14:textId="77777777" w:rsidR="00F664DB" w:rsidRPr="00285D58" w:rsidRDefault="006049C1" w:rsidP="00A3732C">
      <w:pPr>
        <w:widowControl/>
        <w:numPr>
          <w:ilvl w:val="0"/>
          <w:numId w:val="145"/>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Revisar y validar los modelos de información generados por parte del equipo de Ejecución.</w:t>
      </w:r>
    </w:p>
    <w:p w14:paraId="00002129" w14:textId="77777777" w:rsidR="00F664DB" w:rsidRPr="00285D58" w:rsidRDefault="00F664DB" w:rsidP="008D1FFF">
      <w:pPr>
        <w:spacing w:line="276" w:lineRule="auto"/>
        <w:jc w:val="both"/>
        <w:rPr>
          <w:rFonts w:asciiTheme="minorHAnsi" w:eastAsia="Calibri" w:hAnsiTheme="minorHAnsi" w:cstheme="minorHAnsi"/>
          <w:b/>
        </w:rPr>
      </w:pPr>
    </w:p>
    <w:p w14:paraId="0000212A" w14:textId="77777777" w:rsidR="00F664DB" w:rsidRPr="00285D58" w:rsidRDefault="006049C1" w:rsidP="008D1FFF">
      <w:pPr>
        <w:keepNext/>
        <w:keepLines/>
        <w:spacing w:before="360" w:after="80" w:line="276" w:lineRule="auto"/>
        <w:ind w:left="1560" w:hanging="284"/>
        <w:jc w:val="both"/>
        <w:rPr>
          <w:rFonts w:asciiTheme="minorHAnsi" w:eastAsia="Calibri" w:hAnsiTheme="minorHAnsi" w:cstheme="minorHAnsi"/>
          <w:b/>
        </w:rPr>
      </w:pPr>
      <w:bookmarkStart w:id="208" w:name="_heading=h.44m5f9d" w:colFirst="0" w:colLast="0"/>
      <w:bookmarkEnd w:id="208"/>
      <w:r w:rsidRPr="00285D58">
        <w:rPr>
          <w:rFonts w:asciiTheme="minorHAnsi" w:eastAsia="Calibri" w:hAnsiTheme="minorHAnsi" w:cstheme="minorHAnsi"/>
          <w:b/>
          <w:smallCaps/>
        </w:rPr>
        <w:t xml:space="preserve"> </w:t>
      </w:r>
      <w:r w:rsidRPr="00285D58">
        <w:rPr>
          <w:rFonts w:asciiTheme="minorHAnsi" w:eastAsia="Calibri" w:hAnsiTheme="minorHAnsi" w:cstheme="minorHAnsi"/>
          <w:b/>
        </w:rPr>
        <w:t>RESPONSABILIDADES COLECTIVAS</w:t>
      </w:r>
    </w:p>
    <w:p w14:paraId="000021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Competen a todos los involucrados en la ejecución del Proyecto, entre ellas se encuentran:</w:t>
      </w:r>
    </w:p>
    <w:p w14:paraId="0000212C" w14:textId="77777777" w:rsidR="00F664DB" w:rsidRPr="00285D58" w:rsidRDefault="00F664DB" w:rsidP="008D1FFF">
      <w:pPr>
        <w:spacing w:line="276" w:lineRule="auto"/>
        <w:jc w:val="both"/>
        <w:rPr>
          <w:rFonts w:asciiTheme="minorHAnsi" w:eastAsia="Calibri" w:hAnsiTheme="minorHAnsi" w:cstheme="minorHAnsi"/>
        </w:rPr>
      </w:pPr>
    </w:p>
    <w:p w14:paraId="0000212D"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Participar en la Reunión de Orientación de Inicio de Proyecto, en donde se definirá los Alcances, Objetivos y Cronograma del Proyecto previo a la elaboración del BEP. Estará a cargo del CONCEDENTE y SUPERVISOR con la participación del CONCESIONARIO </w:t>
      </w:r>
    </w:p>
    <w:p w14:paraId="0000212E"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Participar en las Reuniones de Ingeniería Concurrente Integrada (ICE), de acuerdo con el Cronograma establecido y aprobado en el BEP. El Plan de Ejecución BIM debe precisar el método para obtener el máximo beneficio de las reuniones ICE. Responsable: CONCESIONARIO, SUPERVISOR y CONCEDENTE </w:t>
      </w:r>
    </w:p>
    <w:p w14:paraId="0000212F" w14:textId="77777777" w:rsidR="00F664DB" w:rsidRPr="00285D58" w:rsidRDefault="006049C1" w:rsidP="00A3732C">
      <w:pPr>
        <w:widowControl/>
        <w:numPr>
          <w:ilvl w:val="0"/>
          <w:numId w:val="14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Otras Actividades Colectivas que se puedan definir en el Plan de Ejecución BIM.</w:t>
      </w:r>
    </w:p>
    <w:p w14:paraId="00002130" w14:textId="77777777" w:rsidR="00F664DB" w:rsidRPr="00285D58" w:rsidRDefault="00F664DB" w:rsidP="008D1FFF">
      <w:pPr>
        <w:spacing w:line="276" w:lineRule="auto"/>
        <w:jc w:val="both"/>
        <w:rPr>
          <w:rFonts w:asciiTheme="minorHAnsi" w:eastAsia="Calibri" w:hAnsiTheme="minorHAnsi" w:cstheme="minorHAnsi"/>
        </w:rPr>
      </w:pPr>
    </w:p>
    <w:p w14:paraId="0000213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09" w:name="_heading=h.2jrfph6" w:colFirst="0" w:colLast="0"/>
      <w:bookmarkEnd w:id="209"/>
      <w:r w:rsidRPr="00285D58">
        <w:rPr>
          <w:rFonts w:asciiTheme="minorHAnsi" w:eastAsia="Calibri" w:hAnsiTheme="minorHAnsi" w:cstheme="minorHAnsi"/>
          <w:b/>
        </w:rPr>
        <w:t xml:space="preserve">METODOLOGIA </w:t>
      </w:r>
    </w:p>
    <w:p w14:paraId="0000213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Metodología por usar será BIM (Building Information Modeling) que está basada en el desarrollo de un Modelo BIM utilizando una dinámica de trabajo colaborativa y coordinada.</w:t>
      </w:r>
    </w:p>
    <w:p w14:paraId="00002133" w14:textId="77777777" w:rsidR="00F664DB" w:rsidRPr="00285D58" w:rsidRDefault="00F664DB" w:rsidP="008D1FFF">
      <w:pPr>
        <w:spacing w:line="276" w:lineRule="auto"/>
        <w:jc w:val="both"/>
        <w:rPr>
          <w:rFonts w:asciiTheme="minorHAnsi" w:eastAsia="Calibri" w:hAnsiTheme="minorHAnsi" w:cstheme="minorHAnsi"/>
        </w:rPr>
      </w:pPr>
    </w:p>
    <w:p w14:paraId="0000213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liderazgo de la implementación de la Metodología BIM, deberá estar a cargo del CONCESIONARIO, que pueda articular la implementación de esta metodología en el Proyecto, de ser el caso. Así mismo, el Líder BIM deberá considerarse para el Equipo de Supervisión a fin de tener un profesional responsable que acompañe, analice y reporte con propuestas de mejoras al Proyecto. Las funciones y responsabilidades del Gestor, Coordinador y del Modelador BIM, están especificadas en el numeral 12 precedente, basado en la Guía Nacional BIM, por lo que cualquier cambio o modificación al presente rol, deberá ser consensuado con el CONCEDENTE.</w:t>
      </w:r>
    </w:p>
    <w:p w14:paraId="00002135" w14:textId="77777777" w:rsidR="00F664DB" w:rsidRPr="00285D58" w:rsidRDefault="00F664DB" w:rsidP="008D1FFF">
      <w:pPr>
        <w:spacing w:line="276" w:lineRule="auto"/>
        <w:jc w:val="both"/>
        <w:rPr>
          <w:rFonts w:asciiTheme="minorHAnsi" w:eastAsia="Calibri" w:hAnsiTheme="minorHAnsi" w:cstheme="minorHAnsi"/>
        </w:rPr>
      </w:pPr>
    </w:p>
    <w:p w14:paraId="000021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deberá tener la capacidad de desarrollar los siguientes puntos:</w:t>
      </w:r>
    </w:p>
    <w:p w14:paraId="00002137" w14:textId="77777777" w:rsidR="00F664DB" w:rsidRPr="00285D58" w:rsidRDefault="00F664DB" w:rsidP="008D1FFF">
      <w:pPr>
        <w:spacing w:line="276" w:lineRule="auto"/>
        <w:jc w:val="both"/>
        <w:rPr>
          <w:rFonts w:asciiTheme="minorHAnsi" w:eastAsia="Calibri" w:hAnsiTheme="minorHAnsi" w:cstheme="minorHAnsi"/>
        </w:rPr>
      </w:pPr>
    </w:p>
    <w:p w14:paraId="00002138"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13.1 PLAN DE EJECUCION BIM (BEP)</w:t>
      </w:r>
    </w:p>
    <w:p w14:paraId="00002139" w14:textId="77777777" w:rsidR="00F664DB" w:rsidRPr="00285D58" w:rsidRDefault="00F664DB" w:rsidP="008D1FFF">
      <w:pPr>
        <w:spacing w:line="276" w:lineRule="auto"/>
        <w:jc w:val="both"/>
        <w:rPr>
          <w:rFonts w:asciiTheme="minorHAnsi" w:eastAsia="Calibri" w:hAnsiTheme="minorHAnsi" w:cstheme="minorHAnsi"/>
        </w:rPr>
      </w:pPr>
    </w:p>
    <w:p w14:paraId="0000213A" w14:textId="44DD5984"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Plan de Ejecución BIM o BIM Execution Plan, en inglés será presentado en los primeros </w:t>
      </w:r>
      <w:r w:rsidR="00242093" w:rsidRPr="00285D58">
        <w:rPr>
          <w:rFonts w:asciiTheme="minorHAnsi" w:eastAsia="Calibri" w:hAnsiTheme="minorHAnsi" w:cstheme="minorHAnsi"/>
        </w:rPr>
        <w:t>quince (</w:t>
      </w:r>
      <w:r w:rsidRPr="00285D58">
        <w:rPr>
          <w:rFonts w:asciiTheme="minorHAnsi" w:eastAsia="Calibri" w:hAnsiTheme="minorHAnsi" w:cstheme="minorHAnsi"/>
        </w:rPr>
        <w:t>15</w:t>
      </w:r>
      <w:r w:rsidR="00242093" w:rsidRPr="00285D58">
        <w:rPr>
          <w:rFonts w:asciiTheme="minorHAnsi" w:eastAsia="Calibri" w:hAnsiTheme="minorHAnsi" w:cstheme="minorHAnsi"/>
        </w:rPr>
        <w:t>)</w:t>
      </w:r>
      <w:r w:rsidRPr="00285D58">
        <w:rPr>
          <w:rFonts w:asciiTheme="minorHAnsi" w:eastAsia="Calibri" w:hAnsiTheme="minorHAnsi" w:cstheme="minorHAnsi"/>
        </w:rPr>
        <w:t xml:space="preserve"> </w:t>
      </w:r>
      <w:r w:rsidR="00242093" w:rsidRPr="00285D58">
        <w:rPr>
          <w:rFonts w:asciiTheme="minorHAnsi" w:eastAsia="Calibri" w:hAnsiTheme="minorHAnsi" w:cstheme="minorHAnsi"/>
        </w:rPr>
        <w:t>D</w:t>
      </w:r>
      <w:r w:rsidRPr="00285D58">
        <w:rPr>
          <w:rFonts w:asciiTheme="minorHAnsi" w:eastAsia="Calibri" w:hAnsiTheme="minorHAnsi" w:cstheme="minorHAnsi"/>
        </w:rPr>
        <w:t xml:space="preserve">ías </w:t>
      </w:r>
      <w:r w:rsidR="00242093" w:rsidRPr="00285D58">
        <w:rPr>
          <w:rFonts w:asciiTheme="minorHAnsi" w:eastAsia="Calibri" w:hAnsiTheme="minorHAnsi" w:cstheme="minorHAnsi"/>
        </w:rPr>
        <w:t>C</w:t>
      </w:r>
      <w:r w:rsidRPr="00285D58">
        <w:rPr>
          <w:rFonts w:asciiTheme="minorHAnsi" w:eastAsia="Calibri" w:hAnsiTheme="minorHAnsi" w:cstheme="minorHAnsi"/>
        </w:rPr>
        <w:t xml:space="preserve">alendario contados desde la Fecha de Cierre, por el CONCESIONARIO, considerando como mínimo el presente Anexo 1 Requisitos BIM y las recomendaciones de la “Guia Nacional BIM” será </w:t>
      </w:r>
      <w:r w:rsidRPr="00285D58">
        <w:rPr>
          <w:rFonts w:asciiTheme="minorHAnsi" w:eastAsia="Calibri" w:hAnsiTheme="minorHAnsi" w:cstheme="minorHAnsi"/>
        </w:rPr>
        <w:lastRenderedPageBreak/>
        <w:t>revisado por el SUPERVISOR y CONCEDENTE. El BEP será realizado por el profesional con rol de Coordinador BIM tal como se definen las funciones para este rol.</w:t>
      </w:r>
    </w:p>
    <w:p w14:paraId="0000213B" w14:textId="77777777" w:rsidR="00F664DB" w:rsidRPr="00285D58" w:rsidRDefault="00F664DB" w:rsidP="008D1FFF">
      <w:pPr>
        <w:spacing w:line="276" w:lineRule="auto"/>
        <w:jc w:val="both"/>
        <w:rPr>
          <w:rFonts w:asciiTheme="minorHAnsi" w:eastAsia="Calibri" w:hAnsiTheme="minorHAnsi" w:cstheme="minorHAnsi"/>
        </w:rPr>
      </w:pPr>
    </w:p>
    <w:p w14:paraId="0000213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objetivo del Plan de Ejecución BIM es definir el marco en el cual el CONCEDENTE, SUPERVISOR y CONCESIONARIO utilicen la Metodología BIM bajo un mismo esquema de trabajo.</w:t>
      </w:r>
    </w:p>
    <w:p w14:paraId="0000213D" w14:textId="77777777" w:rsidR="00F664DB" w:rsidRPr="00285D58" w:rsidRDefault="00F664DB" w:rsidP="008D1FFF">
      <w:pPr>
        <w:spacing w:line="276" w:lineRule="auto"/>
        <w:jc w:val="both"/>
        <w:rPr>
          <w:rFonts w:asciiTheme="minorHAnsi" w:eastAsia="Calibri" w:hAnsiTheme="minorHAnsi" w:cstheme="minorHAnsi"/>
        </w:rPr>
      </w:pPr>
    </w:p>
    <w:p w14:paraId="0000213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 de Ejecución BIM explica la metodología de trabajo, los procesos, las características técnicas, los roles BIM, las responsabilidades y los entregables que responden a los requisitos de información del CONCEDENTE y que las partes involucradas deben seguir para el desarrollo del Proyecto.</w:t>
      </w:r>
    </w:p>
    <w:p w14:paraId="0000213F" w14:textId="77777777" w:rsidR="00F664DB" w:rsidRPr="00285D58" w:rsidRDefault="00F664DB" w:rsidP="008D1FFF">
      <w:pPr>
        <w:spacing w:line="276" w:lineRule="auto"/>
        <w:jc w:val="both"/>
        <w:rPr>
          <w:rFonts w:asciiTheme="minorHAnsi" w:eastAsia="Calibri" w:hAnsiTheme="minorHAnsi" w:cstheme="minorHAnsi"/>
        </w:rPr>
      </w:pPr>
    </w:p>
    <w:p w14:paraId="0000214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Cabe mencionar que el BEP es un documento que se irá actualizando a lo largo del diseño y conforme se avance el desarrollo del Proyecto, con la previa opinión del SUPERVISOR. El carácter de estos cambios siempre irá alineado al éxito del Proyecto, asegurando siempre el correcto uso del Estudio Definitivo de Ingeniería en la Ejecución de la obra. Todos los cambios deberán ser perfectamente documentados y al finalizar el desarrollo del Estudio Definitivo de Ingeniería, en el último entregable, se presentará una versión final de este documento donde se hagan todas las precisiones de cómo se trabajó el Proyecto.</w:t>
      </w:r>
    </w:p>
    <w:p w14:paraId="00002141" w14:textId="77777777" w:rsidR="00F664DB" w:rsidRPr="00285D58" w:rsidRDefault="00F664DB" w:rsidP="008D1FFF">
      <w:pPr>
        <w:spacing w:line="276" w:lineRule="auto"/>
        <w:jc w:val="both"/>
        <w:rPr>
          <w:rFonts w:asciiTheme="minorHAnsi" w:eastAsia="Calibri" w:hAnsiTheme="minorHAnsi" w:cstheme="minorHAnsi"/>
        </w:rPr>
      </w:pPr>
    </w:p>
    <w:p w14:paraId="0000214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Su desarrollo deberá considerar lo siguiente:</w:t>
      </w:r>
    </w:p>
    <w:p w14:paraId="00002143" w14:textId="77777777" w:rsidR="00F664DB" w:rsidRPr="00285D58" w:rsidRDefault="00F664DB" w:rsidP="008D1FFF">
      <w:pPr>
        <w:spacing w:line="276" w:lineRule="auto"/>
        <w:jc w:val="both"/>
        <w:rPr>
          <w:rFonts w:asciiTheme="minorHAnsi" w:eastAsia="Calibri" w:hAnsiTheme="minorHAnsi" w:cstheme="minorHAnsi"/>
        </w:rPr>
      </w:pPr>
    </w:p>
    <w:p w14:paraId="00002144"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Descripción del Proyecto y datos de los responsables de la gestión de la información en nombre del Equipo de Ejecución.</w:t>
      </w:r>
    </w:p>
    <w:p w14:paraId="00002145"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Una estrategia de desarrollo de información.</w:t>
      </w:r>
    </w:p>
    <w:p w14:paraId="00002146"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Una estrategia de federación</w:t>
      </w:r>
    </w:p>
    <w:p w14:paraId="00002147"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Matriz de Responsabilidades. (Ver Anexo H. Formato N°07: Matriz de Responsabilidades de la Guía Nacional BIM).</w:t>
      </w:r>
    </w:p>
    <w:p w14:paraId="00002148"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Propuesta para añadir o modificar las normas de información del Proyecto</w:t>
      </w:r>
    </w:p>
    <w:p w14:paraId="00002149" w14:textId="77777777"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Métodos y procedimientos de producción de información</w:t>
      </w:r>
    </w:p>
    <w:p w14:paraId="0000214A" w14:textId="76BE41CF" w:rsidR="00F664DB" w:rsidRPr="00285D58" w:rsidRDefault="006049C1" w:rsidP="00A3732C">
      <w:pPr>
        <w:widowControl/>
        <w:numPr>
          <w:ilvl w:val="0"/>
          <w:numId w:val="1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Lista de software y plataformas de coordinación.</w:t>
      </w:r>
    </w:p>
    <w:p w14:paraId="7BEF9AD5" w14:textId="77777777" w:rsidR="009E5B5B" w:rsidRPr="00285D58" w:rsidRDefault="009E5B5B" w:rsidP="008D1FFF">
      <w:pPr>
        <w:widowControl/>
        <w:pBdr>
          <w:top w:val="nil"/>
          <w:left w:val="nil"/>
          <w:bottom w:val="nil"/>
          <w:right w:val="nil"/>
          <w:between w:val="nil"/>
        </w:pBdr>
        <w:spacing w:line="276" w:lineRule="auto"/>
        <w:ind w:left="1287"/>
        <w:jc w:val="both"/>
        <w:rPr>
          <w:rFonts w:asciiTheme="minorHAnsi" w:eastAsia="Calibri" w:hAnsiTheme="minorHAnsi" w:cstheme="minorHAnsi"/>
          <w:color w:val="000000"/>
        </w:rPr>
      </w:pPr>
    </w:p>
    <w:p w14:paraId="0000214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13.2 REUNIONES ICE (INGENIERÍA CONCURRENTE INTEGRADA) </w:t>
      </w:r>
    </w:p>
    <w:p w14:paraId="0000214C" w14:textId="77777777" w:rsidR="00F664DB" w:rsidRPr="00285D58" w:rsidRDefault="00F664DB" w:rsidP="008D1FFF">
      <w:pPr>
        <w:spacing w:line="276" w:lineRule="auto"/>
        <w:jc w:val="both"/>
        <w:rPr>
          <w:rFonts w:asciiTheme="minorHAnsi" w:eastAsia="Calibri" w:hAnsiTheme="minorHAnsi" w:cstheme="minorHAnsi"/>
        </w:rPr>
      </w:pPr>
    </w:p>
    <w:p w14:paraId="0000214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Reuniones ICE, por sus siglas en inglés, Integrated Concurrent Engineering (Ingeniería Concurrente Integrada) tienen por objeto enseñar el avance del Modelado de las diferentes Especialidades, así como de aclarar cualquier duda que surja como parte de la falta de información de los planos. Estas se realizarán con frecuencia quincenal para revisar los avances del Proyecto, cada reunión ICE deberá documentarse con actas.</w:t>
      </w:r>
    </w:p>
    <w:p w14:paraId="0000214E" w14:textId="77777777" w:rsidR="00F664DB" w:rsidRPr="00285D58" w:rsidRDefault="00F664DB" w:rsidP="008D1FFF">
      <w:pPr>
        <w:spacing w:line="276" w:lineRule="auto"/>
        <w:jc w:val="both"/>
        <w:rPr>
          <w:rFonts w:asciiTheme="minorHAnsi" w:eastAsia="Calibri" w:hAnsiTheme="minorHAnsi" w:cstheme="minorHAnsi"/>
        </w:rPr>
      </w:pPr>
    </w:p>
    <w:p w14:paraId="0000214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La clave de estas Reuniones ICE es el contar con los participantes correctos, es decir, los representantes acreditados del CONCESIONARIO, SUPERVISOR y CONCEDENTE, ya que estas reuniones son sesiones de trabajo en las cuales se darán soluciones a los problemas de diseño expresados en el modelo BIM. Estas sesiones ICE contendrán actas, las cuales deberán estar </w:t>
      </w:r>
      <w:r w:rsidRPr="00285D58">
        <w:rPr>
          <w:rFonts w:asciiTheme="minorHAnsi" w:eastAsia="Calibri" w:hAnsiTheme="minorHAnsi" w:cstheme="minorHAnsi"/>
        </w:rPr>
        <w:lastRenderedPageBreak/>
        <w:t>firmadas, de ser el caso, virtualmente, por todos los asistentes para verificar así su participación y acuerdos arribados en las mismas.</w:t>
      </w:r>
    </w:p>
    <w:p w14:paraId="00002150" w14:textId="77777777" w:rsidR="00F664DB" w:rsidRPr="00285D58" w:rsidRDefault="00F664DB" w:rsidP="008D1FFF">
      <w:pPr>
        <w:spacing w:line="276" w:lineRule="auto"/>
        <w:jc w:val="both"/>
        <w:rPr>
          <w:rFonts w:asciiTheme="minorHAnsi" w:eastAsia="Calibri" w:hAnsiTheme="minorHAnsi" w:cstheme="minorHAnsi"/>
        </w:rPr>
      </w:pPr>
    </w:p>
    <w:p w14:paraId="0000215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Toda Reunión ICE deberá contener como mínimo dos documentos: Agenda de Sesión ICE y Acta de Sesión ICE, las cuales deberán ir firmadas por los involucrados de ambas partes.</w:t>
      </w:r>
    </w:p>
    <w:p w14:paraId="00002152" w14:textId="77777777" w:rsidR="00F664DB" w:rsidRPr="00285D58" w:rsidRDefault="00F664DB" w:rsidP="008D1FFF">
      <w:pPr>
        <w:spacing w:line="276" w:lineRule="auto"/>
        <w:jc w:val="both"/>
        <w:rPr>
          <w:rFonts w:asciiTheme="minorHAnsi" w:eastAsia="Calibri" w:hAnsiTheme="minorHAnsi" w:cstheme="minorHAnsi"/>
        </w:rPr>
      </w:pPr>
    </w:p>
    <w:p w14:paraId="0000215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estas reuniones se recorre el Modelo BIM de manera virtual levantando observaciones de diseño, flujos, procesos, interferencias, etc.</w:t>
      </w:r>
    </w:p>
    <w:p w14:paraId="00002154" w14:textId="77777777" w:rsidR="00F664DB" w:rsidRPr="00285D58" w:rsidRDefault="00F664DB" w:rsidP="008D1FFF">
      <w:pPr>
        <w:spacing w:line="276" w:lineRule="auto"/>
        <w:jc w:val="both"/>
        <w:rPr>
          <w:rFonts w:asciiTheme="minorHAnsi" w:eastAsia="Calibri" w:hAnsiTheme="minorHAnsi" w:cstheme="minorHAnsi"/>
        </w:rPr>
      </w:pPr>
    </w:p>
    <w:p w14:paraId="0000215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reuniones se efectuarán con la disponibilidad del programa BIM y modelo en sala, para mayor comprensión de eventuales interferencias, siempre que sean presenciales. En caso de reuniones a través de plataformas virtuales, estás no tendrán limitaciones.</w:t>
      </w:r>
    </w:p>
    <w:p w14:paraId="00002156" w14:textId="77777777" w:rsidR="00F664DB" w:rsidRPr="00285D58" w:rsidRDefault="00F664DB" w:rsidP="008D1FFF">
      <w:pPr>
        <w:spacing w:line="276" w:lineRule="auto"/>
        <w:jc w:val="both"/>
        <w:rPr>
          <w:rFonts w:asciiTheme="minorHAnsi" w:eastAsia="Calibri" w:hAnsiTheme="minorHAnsi" w:cstheme="minorHAnsi"/>
        </w:rPr>
      </w:pPr>
    </w:p>
    <w:p w14:paraId="0000215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Plan de Ejecución BIM debe describir las reglas y procedimientos necesarios a fin de obtener el máximo beneficio de las Reuniones ICE.</w:t>
      </w:r>
    </w:p>
    <w:p w14:paraId="00002158" w14:textId="77777777" w:rsidR="00F664DB" w:rsidRPr="00285D58" w:rsidRDefault="00F664DB" w:rsidP="008D1FFF">
      <w:pPr>
        <w:spacing w:line="276" w:lineRule="auto"/>
        <w:jc w:val="both"/>
        <w:rPr>
          <w:rFonts w:asciiTheme="minorHAnsi" w:eastAsia="Calibri" w:hAnsiTheme="minorHAnsi" w:cstheme="minorHAnsi"/>
          <w:b/>
        </w:rPr>
      </w:pPr>
    </w:p>
    <w:p w14:paraId="00002159"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0" w:name="_heading=h.ywpzoz" w:colFirst="0" w:colLast="0"/>
      <w:bookmarkEnd w:id="210"/>
      <w:r w:rsidRPr="00285D58">
        <w:rPr>
          <w:rFonts w:asciiTheme="minorHAnsi" w:eastAsia="Calibri" w:hAnsiTheme="minorHAnsi" w:cstheme="minorHAnsi"/>
          <w:b/>
        </w:rPr>
        <w:t xml:space="preserve">NIVEL DE INFORMACION (LOIN) </w:t>
      </w:r>
    </w:p>
    <w:p w14:paraId="0000215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información necesaria LOIN (por sus siglas en inglés, Level of Information Need) satisface los objetivos relacionados a la información de un Proyecto, en cada proceso de intercambio de información. Este, deberá contener los datos esenciales para cumplir con los objetivos y requisitos de Información del proyecto y puede incluir el Nivel de Información Gráfica o detalles geométricos (por ejemplo: elementos tridimensionales), el Nivel de Información no Gráfica o alcance de conjuntos de datos (por ejemplo: tablas de contenido e información alfanumérica) y la documentación asociada al Contenedor de Información (por ejemplo: informes técnicos).</w:t>
      </w:r>
    </w:p>
    <w:p w14:paraId="0000215B" w14:textId="77777777" w:rsidR="00F664DB" w:rsidRPr="00285D58" w:rsidRDefault="00F664DB" w:rsidP="008D1FFF">
      <w:pPr>
        <w:spacing w:line="276" w:lineRule="auto"/>
        <w:jc w:val="both"/>
        <w:rPr>
          <w:rFonts w:asciiTheme="minorHAnsi" w:eastAsia="Calibri" w:hAnsiTheme="minorHAnsi" w:cstheme="minorHAnsi"/>
        </w:rPr>
      </w:pPr>
    </w:p>
    <w:p w14:paraId="000021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definición del Nivel de Información Gráfica se hará a través del Nivel de Detalle (LOD) y para definir al Nivel de Información no Gráfica se hará a través del Nivel de Información (LOI). Ambos, LOD y LOI, son igual de importantes y definen el Nivel de Información Necesaria (LOIN), tal como se muestra a continuación:</w:t>
      </w:r>
    </w:p>
    <w:p w14:paraId="0000215D" w14:textId="77777777" w:rsidR="00F664DB" w:rsidRPr="00285D58" w:rsidRDefault="00F664DB" w:rsidP="008D1FFF">
      <w:pPr>
        <w:spacing w:line="276" w:lineRule="auto"/>
        <w:jc w:val="both"/>
        <w:rPr>
          <w:rFonts w:asciiTheme="minorHAnsi" w:eastAsia="Calibri" w:hAnsiTheme="minorHAnsi" w:cstheme="minorHAnsi"/>
        </w:rPr>
      </w:pPr>
    </w:p>
    <w:p w14:paraId="0000215E" w14:textId="3210254C"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s-PE"/>
        </w:rPr>
        <w:drawing>
          <wp:inline distT="0" distB="0" distL="0" distR="0" wp14:anchorId="5D62B5E0" wp14:editId="2EE84996">
            <wp:extent cx="3600000" cy="1575094"/>
            <wp:effectExtent l="0" t="0" r="0" b="0"/>
            <wp:docPr id="213361742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4"/>
                    <a:srcRect b="14187"/>
                    <a:stretch>
                      <a:fillRect/>
                    </a:stretch>
                  </pic:blipFill>
                  <pic:spPr>
                    <a:xfrm>
                      <a:off x="0" y="0"/>
                      <a:ext cx="3600000" cy="1575094"/>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5F" w14:textId="77777777" w:rsidR="00F664DB" w:rsidRPr="00285D58" w:rsidRDefault="00F664DB" w:rsidP="008D1FFF">
      <w:pPr>
        <w:spacing w:line="276" w:lineRule="auto"/>
        <w:jc w:val="both"/>
        <w:rPr>
          <w:rFonts w:asciiTheme="minorHAnsi" w:eastAsia="Calibri" w:hAnsiTheme="minorHAnsi" w:cstheme="minorHAnsi"/>
          <w:b/>
        </w:rPr>
      </w:pPr>
    </w:p>
    <w:p w14:paraId="0000216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ese sentido, la progresividad del Nivel de Información Necesaria (LOIN) implica que, tanto el Nivel de Detalle (LOD) como el Nivel de Información (LOI), aumenta la cantidad y confiabilidad de la información, a medida que avanza el desarrollo de un Proyecto.</w:t>
      </w:r>
    </w:p>
    <w:p w14:paraId="00002162"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1" w:name="_heading=h.3iwdics" w:colFirst="0" w:colLast="0"/>
      <w:bookmarkEnd w:id="211"/>
      <w:r w:rsidRPr="00285D58">
        <w:rPr>
          <w:rFonts w:asciiTheme="minorHAnsi" w:eastAsia="Calibri" w:hAnsiTheme="minorHAnsi" w:cstheme="minorHAnsi"/>
          <w:b/>
        </w:rPr>
        <w:t>NIVEL DE DETALLE (LOD)</w:t>
      </w:r>
    </w:p>
    <w:p w14:paraId="0000216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se refiere al Nivel de información gráfica relacionada al detalle y precisión de cada uno de los objetos modelados en 3D. Para todos los elementos modelados en las distintas disciplinas se seguirá lo especificado en la Guía Nacional BIM.</w:t>
      </w:r>
    </w:p>
    <w:p w14:paraId="00002164" w14:textId="77777777" w:rsidR="00F664DB" w:rsidRPr="00285D58" w:rsidRDefault="00F664DB" w:rsidP="008D1FFF">
      <w:pPr>
        <w:spacing w:line="276" w:lineRule="auto"/>
        <w:jc w:val="both"/>
        <w:rPr>
          <w:rFonts w:asciiTheme="minorHAnsi" w:eastAsia="Calibri" w:hAnsiTheme="minorHAnsi" w:cstheme="minorHAnsi"/>
        </w:rPr>
      </w:pPr>
    </w:p>
    <w:p w14:paraId="000021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del proyecto es acumulativo y debe avanzar de un nivel a otro.</w:t>
      </w:r>
    </w:p>
    <w:p w14:paraId="00002166" w14:textId="77777777" w:rsidR="00F664DB" w:rsidRPr="00285D58" w:rsidRDefault="00F664DB" w:rsidP="008D1FFF">
      <w:pPr>
        <w:spacing w:line="276" w:lineRule="auto"/>
        <w:jc w:val="both"/>
        <w:rPr>
          <w:rFonts w:asciiTheme="minorHAnsi" w:eastAsia="Calibri" w:hAnsiTheme="minorHAnsi" w:cstheme="minorHAnsi"/>
        </w:rPr>
      </w:pPr>
    </w:p>
    <w:p w14:paraId="0000216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No se admitirán propuestas con niveles de desarrollo inferiores a los especificados.</w:t>
      </w:r>
    </w:p>
    <w:p w14:paraId="00002168" w14:textId="77777777" w:rsidR="00F664DB" w:rsidRPr="00285D58" w:rsidRDefault="00F664DB" w:rsidP="008D1FFF">
      <w:pPr>
        <w:spacing w:line="276" w:lineRule="auto"/>
        <w:jc w:val="both"/>
        <w:rPr>
          <w:rFonts w:asciiTheme="minorHAnsi" w:eastAsia="Calibri" w:hAnsiTheme="minorHAnsi" w:cstheme="minorHAnsi"/>
        </w:rPr>
      </w:pPr>
    </w:p>
    <w:p w14:paraId="000021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Para el Estudio Definitivo de Ingeniería se definirá los LOD como sigue:</w:t>
      </w:r>
    </w:p>
    <w:p w14:paraId="0000216A" w14:textId="77777777" w:rsidR="00F664DB" w:rsidRPr="00285D58" w:rsidRDefault="00F664DB" w:rsidP="008D1FFF">
      <w:pPr>
        <w:spacing w:line="276" w:lineRule="auto"/>
        <w:jc w:val="both"/>
        <w:rPr>
          <w:rFonts w:asciiTheme="minorHAnsi" w:eastAsia="Calibri" w:hAnsiTheme="minorHAnsi" w:cstheme="minorHAnsi"/>
        </w:rPr>
      </w:pPr>
    </w:p>
    <w:p w14:paraId="0000216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15.1 NIVEL DE DETALLE (LOD 2)</w:t>
      </w:r>
    </w:p>
    <w:p w14:paraId="0000216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2 (Representación genérica), se describe en la Guía Nacional BIM como se muestra a continuación:</w:t>
      </w:r>
    </w:p>
    <w:p w14:paraId="0000216D" w14:textId="77777777" w:rsidR="00F664DB" w:rsidRPr="00285D58" w:rsidRDefault="00F664DB" w:rsidP="008D1FFF">
      <w:pPr>
        <w:spacing w:line="276" w:lineRule="auto"/>
        <w:jc w:val="both"/>
        <w:rPr>
          <w:rFonts w:asciiTheme="minorHAnsi" w:eastAsia="Calibri" w:hAnsiTheme="minorHAnsi" w:cstheme="minorHAnsi"/>
        </w:rPr>
      </w:pPr>
    </w:p>
    <w:p w14:paraId="0000216E" w14:textId="3073A60F"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205BD8F5" wp14:editId="7E9F0432">
            <wp:extent cx="3467400" cy="5757832"/>
            <wp:effectExtent l="0" t="0" r="0" b="0"/>
            <wp:docPr id="213361742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15"/>
                    <a:srcRect b="4602"/>
                    <a:stretch>
                      <a:fillRect/>
                    </a:stretch>
                  </pic:blipFill>
                  <pic:spPr>
                    <a:xfrm>
                      <a:off x="0" y="0"/>
                      <a:ext cx="3467400" cy="5757832"/>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6F" w14:textId="77777777" w:rsidR="00F664DB" w:rsidRPr="00285D58" w:rsidRDefault="00F664DB" w:rsidP="008D1FFF">
      <w:pPr>
        <w:spacing w:line="276" w:lineRule="auto"/>
        <w:jc w:val="both"/>
        <w:rPr>
          <w:rFonts w:asciiTheme="minorHAnsi" w:eastAsia="Calibri" w:hAnsiTheme="minorHAnsi" w:cstheme="minorHAnsi"/>
        </w:rPr>
      </w:pPr>
    </w:p>
    <w:p w14:paraId="00002170" w14:textId="77777777" w:rsidR="00F664DB" w:rsidRPr="00285D58" w:rsidRDefault="00F664DB" w:rsidP="008D1FFF">
      <w:pPr>
        <w:spacing w:line="276" w:lineRule="auto"/>
        <w:jc w:val="both"/>
        <w:rPr>
          <w:rFonts w:asciiTheme="minorHAnsi" w:eastAsia="Calibri" w:hAnsiTheme="minorHAnsi" w:cstheme="minorHAnsi"/>
        </w:rPr>
      </w:pPr>
    </w:p>
    <w:p w14:paraId="0000217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2 incluye elementos en que se han utilizado componentes genéricos donde las características de los elementos son sólo generales y volumétricos (por ejemplo, un muro) con cantidades, tamaño, forma, ubicación y orientación aproximados). Este nivel corresponde al Anteproyecto de arquitectura y estructuras, en la que se permite la compatibilización mediante la visualización de interferencias.</w:t>
      </w:r>
    </w:p>
    <w:p w14:paraId="00002172" w14:textId="77777777" w:rsidR="00F664DB" w:rsidRPr="00285D58" w:rsidRDefault="00F664DB" w:rsidP="008D1FFF">
      <w:pPr>
        <w:spacing w:line="276" w:lineRule="auto"/>
        <w:jc w:val="both"/>
        <w:rPr>
          <w:rFonts w:asciiTheme="minorHAnsi" w:eastAsia="Calibri" w:hAnsiTheme="minorHAnsi" w:cstheme="minorHAnsi"/>
        </w:rPr>
      </w:pPr>
    </w:p>
    <w:p w14:paraId="00002173" w14:textId="5FB651EF"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3570E029" wp14:editId="4654513F">
            <wp:extent cx="4000847" cy="5131245"/>
            <wp:effectExtent l="0" t="0" r="0" b="0"/>
            <wp:docPr id="2133617440"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16"/>
                    <a:srcRect b="6740"/>
                    <a:stretch>
                      <a:fillRect/>
                    </a:stretch>
                  </pic:blipFill>
                  <pic:spPr>
                    <a:xfrm>
                      <a:off x="0" y="0"/>
                      <a:ext cx="4000847" cy="5131245"/>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74" w14:textId="77777777" w:rsidR="00F664DB" w:rsidRPr="00285D58" w:rsidRDefault="00F664DB" w:rsidP="008D1FFF">
      <w:pPr>
        <w:spacing w:line="276" w:lineRule="auto"/>
        <w:jc w:val="both"/>
        <w:rPr>
          <w:rFonts w:asciiTheme="minorHAnsi" w:eastAsia="Calibri" w:hAnsiTheme="minorHAnsi" w:cstheme="minorHAnsi"/>
        </w:rPr>
      </w:pPr>
    </w:p>
    <w:p w14:paraId="00002175"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15.2 NIVEL DE DETALLE (LOD3)</w:t>
      </w:r>
    </w:p>
    <w:p w14:paraId="00002176" w14:textId="77777777" w:rsidR="00F664DB" w:rsidRPr="00285D58" w:rsidRDefault="00F664DB" w:rsidP="008D1FFF">
      <w:pPr>
        <w:spacing w:line="276" w:lineRule="auto"/>
        <w:jc w:val="both"/>
        <w:rPr>
          <w:rFonts w:asciiTheme="minorHAnsi" w:eastAsia="Calibri" w:hAnsiTheme="minorHAnsi" w:cstheme="minorHAnsi"/>
        </w:rPr>
      </w:pPr>
    </w:p>
    <w:p w14:paraId="000021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nivel de detalle LOD 3 (Representación definida), se describe en la Guía Nacional BIM como se muestra a continuación:</w:t>
      </w:r>
    </w:p>
    <w:p w14:paraId="00002178" w14:textId="77777777" w:rsidR="00F664DB" w:rsidRPr="00285D58" w:rsidRDefault="00F664DB" w:rsidP="008D1FFF">
      <w:pPr>
        <w:spacing w:line="276" w:lineRule="auto"/>
        <w:jc w:val="both"/>
        <w:rPr>
          <w:rFonts w:asciiTheme="minorHAnsi" w:eastAsia="Calibri" w:hAnsiTheme="minorHAnsi" w:cstheme="minorHAnsi"/>
        </w:rPr>
      </w:pPr>
    </w:p>
    <w:p w14:paraId="00002179" w14:textId="70721869"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lastRenderedPageBreak/>
        <w:drawing>
          <wp:inline distT="0" distB="0" distL="0" distR="0" wp14:anchorId="2BBDBB40" wp14:editId="28C5462A">
            <wp:extent cx="3558848" cy="5656223"/>
            <wp:effectExtent l="0" t="0" r="0" b="0"/>
            <wp:docPr id="213361744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17"/>
                    <a:srcRect b="5087"/>
                    <a:stretch>
                      <a:fillRect/>
                    </a:stretch>
                  </pic:blipFill>
                  <pic:spPr>
                    <a:xfrm>
                      <a:off x="0" y="0"/>
                      <a:ext cx="3558848" cy="5656223"/>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7A" w14:textId="77777777" w:rsidR="00F664DB" w:rsidRPr="00285D58" w:rsidRDefault="00F664DB" w:rsidP="008D1FFF">
      <w:pPr>
        <w:spacing w:line="276" w:lineRule="auto"/>
        <w:jc w:val="both"/>
        <w:rPr>
          <w:rFonts w:asciiTheme="minorHAnsi" w:eastAsia="Calibri" w:hAnsiTheme="minorHAnsi" w:cstheme="minorHAnsi"/>
        </w:rPr>
      </w:pPr>
    </w:p>
    <w:p w14:paraId="0000217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LOD 3 incluye elementos en que los cuales los componentes genéricos han sido remplazados por materiales totalmente definidos. Este nivel corresponde al segundo entregable, en la que se permite obtener Cuadros de Metrados exactos basados en los diferentes materiales del modelo BIM.</w:t>
      </w:r>
    </w:p>
    <w:p w14:paraId="0000217C" w14:textId="77777777" w:rsidR="00F664DB" w:rsidRPr="00285D58" w:rsidRDefault="00F664DB" w:rsidP="008D1FFF">
      <w:pPr>
        <w:spacing w:line="276" w:lineRule="auto"/>
        <w:jc w:val="both"/>
        <w:rPr>
          <w:rFonts w:asciiTheme="minorHAnsi" w:eastAsia="Calibri" w:hAnsiTheme="minorHAnsi" w:cstheme="minorHAnsi"/>
        </w:rPr>
      </w:pPr>
    </w:p>
    <w:p w14:paraId="0000217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representa gráficamente como un sistema, objeto o ensamblaje específico con características de cantidad, tamaño, forma, ubicación, orientación e interacción con otros sistemas del edificio u obra de construcción.</w:t>
      </w:r>
    </w:p>
    <w:p w14:paraId="0000217E" w14:textId="77777777" w:rsidR="00F664DB" w:rsidRPr="00285D58" w:rsidRDefault="00F664DB" w:rsidP="008D1FFF">
      <w:pPr>
        <w:spacing w:line="276" w:lineRule="auto"/>
        <w:jc w:val="both"/>
        <w:rPr>
          <w:rFonts w:asciiTheme="minorHAnsi" w:eastAsia="Calibri" w:hAnsiTheme="minorHAnsi" w:cstheme="minorHAnsi"/>
        </w:rPr>
      </w:pPr>
    </w:p>
    <w:p w14:paraId="0000217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Se incluye información no gráfica específica en cada Elemento BIM Modelado (por ejemplo, especificaciones técnicas, componentes, materiales, costos, fechas de determinación del presupuesto, análisis de precios, etc.). El Modelo BIM está en total capacidad de producir planos y </w:t>
      </w:r>
      <w:r w:rsidRPr="00285D58">
        <w:rPr>
          <w:rFonts w:asciiTheme="minorHAnsi" w:eastAsia="Calibri" w:hAnsiTheme="minorHAnsi" w:cstheme="minorHAnsi"/>
        </w:rPr>
        <w:lastRenderedPageBreak/>
        <w:t>demás documentos propios del Estudio Definitivo de Ingeniería. Las características no deberían cambiar en la siguiente etapa, pero sí pueden definirse más características con mayor definición.</w:t>
      </w:r>
    </w:p>
    <w:p w14:paraId="00002180" w14:textId="77777777" w:rsidR="00F664DB" w:rsidRPr="00285D58" w:rsidRDefault="00F664DB" w:rsidP="008D1FFF">
      <w:pPr>
        <w:spacing w:line="276" w:lineRule="auto"/>
        <w:jc w:val="both"/>
        <w:rPr>
          <w:rFonts w:asciiTheme="minorHAnsi" w:eastAsia="Calibri" w:hAnsiTheme="minorHAnsi" w:cstheme="minorHAnsi"/>
        </w:rPr>
      </w:pPr>
    </w:p>
    <w:p w14:paraId="0000218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Como se mencionó anteriormente, este nivel corresponde al proyecto de arquitectura, estructuras e instalaciones.</w:t>
      </w:r>
    </w:p>
    <w:p w14:paraId="00002182" w14:textId="77777777" w:rsidR="00F664DB" w:rsidRPr="00285D58" w:rsidRDefault="00F664DB" w:rsidP="008D1FFF">
      <w:pPr>
        <w:spacing w:line="276" w:lineRule="auto"/>
        <w:jc w:val="both"/>
        <w:rPr>
          <w:rFonts w:asciiTheme="minorHAnsi" w:eastAsia="Calibri" w:hAnsiTheme="minorHAnsi" w:cstheme="minorHAnsi"/>
        </w:rPr>
      </w:pPr>
    </w:p>
    <w:p w14:paraId="00002183" w14:textId="641F6522"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32190C6" wp14:editId="29BBDBC4">
            <wp:extent cx="3962743" cy="5105842"/>
            <wp:effectExtent l="0" t="0" r="0" b="0"/>
            <wp:docPr id="2133617442"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18"/>
                    <a:srcRect b="7073"/>
                    <a:stretch>
                      <a:fillRect/>
                    </a:stretch>
                  </pic:blipFill>
                  <pic:spPr>
                    <a:xfrm>
                      <a:off x="0" y="0"/>
                      <a:ext cx="3962743" cy="5105842"/>
                    </a:xfrm>
                    <a:prstGeom prst="rect">
                      <a:avLst/>
                    </a:prstGeom>
                    <a:ln/>
                  </pic:spPr>
                </pic:pic>
              </a:graphicData>
            </a:graphic>
          </wp:inline>
        </w:drawing>
      </w:r>
      <w:r w:rsidRPr="00285D58">
        <w:rPr>
          <w:rFonts w:asciiTheme="minorHAnsi" w:eastAsia="Calibri" w:hAnsiTheme="minorHAnsi" w:cstheme="minorHAnsi"/>
        </w:rPr>
        <w:br/>
        <w:t>Fuente: Guía Nacional BIM – Plan BIM Perú</w:t>
      </w:r>
      <w:r w:rsidR="00D55B7A" w:rsidRPr="00285D58">
        <w:rPr>
          <w:rFonts w:asciiTheme="minorHAnsi" w:eastAsia="Calibri" w:hAnsiTheme="minorHAnsi" w:cstheme="minorHAnsi"/>
        </w:rPr>
        <w:t>.</w:t>
      </w:r>
    </w:p>
    <w:p w14:paraId="00002184" w14:textId="77777777" w:rsidR="00F664DB" w:rsidRPr="00285D58" w:rsidRDefault="00F664DB" w:rsidP="008D1FFF">
      <w:pPr>
        <w:spacing w:line="276" w:lineRule="auto"/>
        <w:jc w:val="both"/>
        <w:rPr>
          <w:rFonts w:asciiTheme="minorHAnsi" w:eastAsia="Calibri" w:hAnsiTheme="minorHAnsi" w:cstheme="minorHAnsi"/>
        </w:rPr>
      </w:pPr>
    </w:p>
    <w:p w14:paraId="00002185" w14:textId="77777777" w:rsidR="00F664DB" w:rsidRPr="00285D58" w:rsidRDefault="00F664DB" w:rsidP="008D1FFF">
      <w:pPr>
        <w:spacing w:line="276" w:lineRule="auto"/>
        <w:jc w:val="both"/>
        <w:rPr>
          <w:rFonts w:asciiTheme="minorHAnsi" w:eastAsia="Calibri" w:hAnsiTheme="minorHAnsi" w:cstheme="minorHAnsi"/>
        </w:rPr>
      </w:pPr>
    </w:p>
    <w:p w14:paraId="00002189"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15.3 NIVEL DE INFORMACIÓN (LOI)</w:t>
      </w:r>
    </w:p>
    <w:p w14:paraId="0000218A" w14:textId="77777777" w:rsidR="00F664DB" w:rsidRPr="00285D58" w:rsidRDefault="00F664DB" w:rsidP="008D1FFF">
      <w:pPr>
        <w:spacing w:line="276" w:lineRule="auto"/>
        <w:jc w:val="both"/>
        <w:rPr>
          <w:rFonts w:asciiTheme="minorHAnsi" w:eastAsia="Calibri" w:hAnsiTheme="minorHAnsi" w:cstheme="minorHAnsi"/>
        </w:rPr>
      </w:pPr>
    </w:p>
    <w:p w14:paraId="0000218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el nivel de información no gráfica relacionada a las especificaciones técnicas y/o documentación insertada, vinculada o anexada, con el fin de complementar la información de los del modelo 3D.</w:t>
      </w:r>
    </w:p>
    <w:p w14:paraId="0000218C" w14:textId="77777777" w:rsidR="00F664DB" w:rsidRPr="00285D58" w:rsidRDefault="00F664DB" w:rsidP="008D1FFF">
      <w:pPr>
        <w:spacing w:line="276" w:lineRule="auto"/>
        <w:jc w:val="both"/>
        <w:rPr>
          <w:rFonts w:asciiTheme="minorHAnsi" w:eastAsia="Calibri" w:hAnsiTheme="minorHAnsi" w:cstheme="minorHAnsi"/>
        </w:rPr>
      </w:pPr>
    </w:p>
    <w:p w14:paraId="0000218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Todos los objetos/elementos contarán con información paramétrica (meta data). Para ello, se deberá considerar lo indicado en Guía Nacional BIM. La información ingresada final se realizará en </w:t>
      </w:r>
      <w:r w:rsidRPr="00285D58">
        <w:rPr>
          <w:rFonts w:asciiTheme="minorHAnsi" w:eastAsia="Calibri" w:hAnsiTheme="minorHAnsi" w:cstheme="minorHAnsi"/>
        </w:rPr>
        <w:lastRenderedPageBreak/>
        <w:t>el segundo entregable del Estudio Definitivo de Ingeniería</w:t>
      </w:r>
    </w:p>
    <w:p w14:paraId="0000218E" w14:textId="77777777" w:rsidR="00F664DB" w:rsidRPr="00285D58" w:rsidRDefault="00F664DB" w:rsidP="008D1FFF">
      <w:pPr>
        <w:spacing w:line="276" w:lineRule="auto"/>
        <w:jc w:val="both"/>
        <w:rPr>
          <w:rFonts w:asciiTheme="minorHAnsi" w:eastAsia="Calibri" w:hAnsiTheme="minorHAnsi" w:cstheme="minorHAnsi"/>
        </w:rPr>
      </w:pPr>
    </w:p>
    <w:p w14:paraId="0000218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el Estudio Definitivo de Ingeniería (entregable final) el CONCESIONARIO realizará los procesos necesarios para la extracción de cuantificaciones detalladas a partir de los modelos BIM, esta exportación será adaptada a la Norma Técnica de Metrados y opcionalmente a otro sistema de clasificación con la conformidad del CONCEDENTE.</w:t>
      </w:r>
    </w:p>
    <w:p w14:paraId="00002190" w14:textId="77777777" w:rsidR="00F664DB" w:rsidRPr="00285D58" w:rsidRDefault="00F664DB" w:rsidP="008D1FFF">
      <w:pPr>
        <w:spacing w:line="276" w:lineRule="auto"/>
        <w:jc w:val="both"/>
        <w:rPr>
          <w:rFonts w:asciiTheme="minorHAnsi" w:eastAsia="Calibri" w:hAnsiTheme="minorHAnsi" w:cstheme="minorHAnsi"/>
        </w:rPr>
      </w:pPr>
    </w:p>
    <w:p w14:paraId="0000219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15.4 GRANULARIDAD</w:t>
      </w:r>
    </w:p>
    <w:p w14:paraId="00002192" w14:textId="77777777" w:rsidR="00F664DB" w:rsidRPr="00285D58" w:rsidRDefault="00F664DB" w:rsidP="008D1FFF">
      <w:pPr>
        <w:spacing w:line="276" w:lineRule="auto"/>
        <w:jc w:val="both"/>
        <w:rPr>
          <w:rFonts w:asciiTheme="minorHAnsi" w:eastAsia="Calibri" w:hAnsiTheme="minorHAnsi" w:cstheme="minorHAnsi"/>
          <w:b/>
        </w:rPr>
      </w:pPr>
    </w:p>
    <w:p w14:paraId="0000219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asume que no todos los objetos/elementos de una edificación se pueden modelar en 3D dentro del entorno BIM ya que haría los archivos demasiado grandes y difíciles de administrar, por lo tanto, se considera que los Modelos BIM no podrán representar de manera exacta todos los elementos a incluir en la realidad. Por consiguiente, se recomienda que los objetos que no le aporten nada al metrado o desarrollo de planimetría se puedan representar en 2D dentro del modelo o con un modelo simple o geométrico. En caso algún elemento no tenga relevancia en el metrado y sus dimensiones sean despreciables, se propondrá en el BEP a criterio del CONCESIONARIO no considerar el elemento en el modelado o agregar solo una descripción como meta datos, lo cual deberá ser aprobado por el CONCEDENTE, previa opinión del SUPERVISOR.</w:t>
      </w:r>
    </w:p>
    <w:p w14:paraId="00002194" w14:textId="77777777" w:rsidR="00F664DB" w:rsidRPr="00285D58" w:rsidRDefault="00F664DB" w:rsidP="008D1FFF">
      <w:pPr>
        <w:spacing w:line="276" w:lineRule="auto"/>
        <w:jc w:val="both"/>
        <w:rPr>
          <w:rFonts w:asciiTheme="minorHAnsi" w:eastAsia="Calibri" w:hAnsiTheme="minorHAnsi" w:cstheme="minorHAnsi"/>
        </w:rPr>
      </w:pPr>
    </w:p>
    <w:p w14:paraId="0000219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excepción a esta regla son objetos/elementos que el Software de modelamiento BIM construye automáticamente como parte de algunos de sus sistemas, tales como Codos de Conductos, Reductores de Tuberías, Rejillas de Ductos, y todo aquel de importancia en el modelado e información del Proyecto.</w:t>
      </w:r>
    </w:p>
    <w:p w14:paraId="00002196" w14:textId="77777777" w:rsidR="00F664DB" w:rsidRPr="00285D58" w:rsidRDefault="00F664DB" w:rsidP="008D1FFF">
      <w:pPr>
        <w:spacing w:line="276" w:lineRule="auto"/>
        <w:jc w:val="both"/>
        <w:rPr>
          <w:rFonts w:asciiTheme="minorHAnsi" w:eastAsia="Calibri" w:hAnsiTheme="minorHAnsi" w:cstheme="minorHAnsi"/>
        </w:rPr>
      </w:pPr>
    </w:p>
    <w:p w14:paraId="0000219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15.5 EXCLUSIONES</w:t>
      </w:r>
    </w:p>
    <w:p w14:paraId="00002198" w14:textId="77777777" w:rsidR="00F664DB" w:rsidRPr="00285D58" w:rsidRDefault="00F664DB" w:rsidP="008D1FFF">
      <w:pPr>
        <w:spacing w:line="276" w:lineRule="auto"/>
        <w:jc w:val="both"/>
        <w:rPr>
          <w:rFonts w:asciiTheme="minorHAnsi" w:eastAsia="Calibri" w:hAnsiTheme="minorHAnsi" w:cstheme="minorHAnsi"/>
        </w:rPr>
      </w:pPr>
    </w:p>
    <w:p w14:paraId="0000219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virtual es un producto intermedio y un Activo del CONCEDENTE para su uso posterior, por lo que es posible considerar que en el desarrollo del Proyecto algunos elementos no serán necesarios de modelar a detalle, para definir estos puntos se presentará en el PEB una propuesta que tendrá que ser evaluada por el CONCEDENTE, previa opinión del SUPERVISOR, a fin de dar conformidad a los elementos que no serán modelados. Esto no quiere decir que en estos casos dichos elementos no se encuentren en el proyecto, ya que en algunos casos algunos de estos elementos que no se modelarán se visualizarán con información en 2D con información</w:t>
      </w:r>
    </w:p>
    <w:p w14:paraId="0000219A" w14:textId="77777777" w:rsidR="00F664DB" w:rsidRPr="00285D58" w:rsidRDefault="00F664DB" w:rsidP="008D1FFF">
      <w:pPr>
        <w:spacing w:line="276" w:lineRule="auto"/>
        <w:jc w:val="both"/>
        <w:rPr>
          <w:rFonts w:asciiTheme="minorHAnsi" w:eastAsia="Calibri" w:hAnsiTheme="minorHAnsi" w:cstheme="minorHAnsi"/>
        </w:rPr>
      </w:pPr>
    </w:p>
    <w:p w14:paraId="0000219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Otras exclusiones, siempre y cuando tengan la finalidad de aportar eficiencia y efectividad al proceso sin afectar el alcance ni la calidad de la ejecución real del Proyecto, deben contar con la autorización expresa del CONCEDENTE, previa opinión del SUPERVISOR.</w:t>
      </w:r>
    </w:p>
    <w:p w14:paraId="0000219C" w14:textId="77777777" w:rsidR="00F664DB" w:rsidRPr="00285D58" w:rsidRDefault="00F664DB" w:rsidP="008D1FFF">
      <w:pPr>
        <w:spacing w:line="276" w:lineRule="auto"/>
        <w:jc w:val="both"/>
        <w:rPr>
          <w:rFonts w:asciiTheme="minorHAnsi" w:eastAsia="Calibri" w:hAnsiTheme="minorHAnsi" w:cstheme="minorHAnsi"/>
        </w:rPr>
      </w:pPr>
    </w:p>
    <w:p w14:paraId="0000219D"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2" w:name="_heading=h.1y1nskl" w:colFirst="0" w:colLast="0"/>
      <w:bookmarkEnd w:id="212"/>
      <w:r w:rsidRPr="00285D58">
        <w:rPr>
          <w:rFonts w:asciiTheme="minorHAnsi" w:eastAsia="Calibri" w:hAnsiTheme="minorHAnsi" w:cstheme="minorHAnsi"/>
          <w:b/>
        </w:rPr>
        <w:t>ENTREGABLES BIM</w:t>
      </w:r>
    </w:p>
    <w:p w14:paraId="0000219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Estos se realizarán de acuerdo con los entregables definidos en el Contrato de Concesión para los </w:t>
      </w:r>
      <w:r w:rsidRPr="00285D58">
        <w:rPr>
          <w:rFonts w:asciiTheme="minorHAnsi" w:eastAsia="Calibri" w:hAnsiTheme="minorHAnsi" w:cstheme="minorHAnsi"/>
        </w:rPr>
        <w:lastRenderedPageBreak/>
        <w:t>Estudios Definitivos de Ingeniería, de acuerdo a lo indicado a continuación:</w:t>
      </w:r>
    </w:p>
    <w:p w14:paraId="0000219F" w14:textId="77777777" w:rsidR="00F664DB" w:rsidRPr="00285D58" w:rsidRDefault="00F664DB" w:rsidP="008D1FFF">
      <w:pPr>
        <w:spacing w:line="276" w:lineRule="auto"/>
        <w:jc w:val="both"/>
        <w:rPr>
          <w:rFonts w:asciiTheme="minorHAnsi" w:eastAsia="Calibri" w:hAnsiTheme="minorHAnsi" w:cstheme="minorHAnsi"/>
        </w:rPr>
      </w:pPr>
    </w:p>
    <w:p w14:paraId="000021A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 ENTREGABLES BIM DE ESTUDIOS DEFINITIVOS DE INGENIERÍA</w:t>
      </w:r>
    </w:p>
    <w:p w14:paraId="000021A1" w14:textId="77777777" w:rsidR="00F664DB" w:rsidRPr="00285D58" w:rsidRDefault="00F664DB" w:rsidP="008D1FFF">
      <w:pPr>
        <w:spacing w:line="276" w:lineRule="auto"/>
        <w:jc w:val="both"/>
        <w:rPr>
          <w:rFonts w:asciiTheme="minorHAnsi" w:eastAsia="Calibri" w:hAnsiTheme="minorHAnsi" w:cstheme="minorHAnsi"/>
        </w:rPr>
      </w:pPr>
    </w:p>
    <w:p w14:paraId="000021A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16.1.1 Primer Entregable</w:t>
      </w:r>
    </w:p>
    <w:p w14:paraId="000021A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definirá, en conjunto con el CONCEDENTE, la información vertida en sus modelados con base en los alcances detallados para la Fase de Anteproyecto. Al respecto, la información a modelar deberá tener en promedio un LOD 2, propio del nivel de la etapa, pero esto se definirá a mayor detalle en el BEP.</w:t>
      </w:r>
    </w:p>
    <w:p w14:paraId="000021A4" w14:textId="77777777" w:rsidR="00F664DB" w:rsidRPr="00285D58" w:rsidRDefault="00F664DB" w:rsidP="008D1FFF">
      <w:pPr>
        <w:spacing w:line="276" w:lineRule="auto"/>
        <w:jc w:val="both"/>
        <w:rPr>
          <w:rFonts w:asciiTheme="minorHAnsi" w:eastAsia="Calibri" w:hAnsiTheme="minorHAnsi" w:cstheme="minorHAnsi"/>
        </w:rPr>
      </w:pPr>
    </w:p>
    <w:p w14:paraId="000021A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el CONCESIONARIO presentará documentación a partir del modelado, el cual mostrar las intenciones de diseño y ser validada por el CONCEDENTE, a través del SUPERVISOR</w:t>
      </w:r>
    </w:p>
    <w:p w14:paraId="000021A6" w14:textId="77777777" w:rsidR="00F664DB" w:rsidRPr="00285D58" w:rsidRDefault="00F664DB" w:rsidP="008D1FFF">
      <w:pPr>
        <w:spacing w:line="276" w:lineRule="auto"/>
        <w:jc w:val="both"/>
        <w:rPr>
          <w:rFonts w:asciiTheme="minorHAnsi" w:eastAsia="Calibri" w:hAnsiTheme="minorHAnsi" w:cstheme="minorHAnsi"/>
        </w:rPr>
      </w:pPr>
    </w:p>
    <w:p w14:paraId="000021A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16.1.2 Segundo Entregable</w:t>
      </w:r>
    </w:p>
    <w:p w14:paraId="000021A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propondrá la información vertida en los modelados con base en los alcances detallados en el LOD que alcanzará cada partida de este entregable. El nivel de LOD deberá responder a los objetivos de los Estudios Definitivos de Ingeniería.</w:t>
      </w:r>
    </w:p>
    <w:p w14:paraId="000021A9" w14:textId="77777777" w:rsidR="00F664DB" w:rsidRPr="00285D58" w:rsidRDefault="00F664DB" w:rsidP="008D1FFF">
      <w:pPr>
        <w:spacing w:line="276" w:lineRule="auto"/>
        <w:jc w:val="both"/>
        <w:rPr>
          <w:rFonts w:asciiTheme="minorHAnsi" w:eastAsia="Calibri" w:hAnsiTheme="minorHAnsi" w:cstheme="minorHAnsi"/>
        </w:rPr>
      </w:pPr>
    </w:p>
    <w:p w14:paraId="000021A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etapa el CONCESIONARIO y el CONCEDENTE deberán definir en el Plan de Ejecución BIM la presentación de la planimetría correspondiente al nivel de desarrollo del modelado BIM que permita revisar y validar la propuesta</w:t>
      </w:r>
    </w:p>
    <w:p w14:paraId="000021AB" w14:textId="77777777" w:rsidR="00F664DB" w:rsidRPr="00285D58" w:rsidRDefault="00F664DB" w:rsidP="008D1FFF">
      <w:pPr>
        <w:spacing w:line="276" w:lineRule="auto"/>
        <w:jc w:val="both"/>
        <w:rPr>
          <w:rFonts w:asciiTheme="minorHAnsi" w:eastAsia="Calibri" w:hAnsiTheme="minorHAnsi" w:cstheme="minorHAnsi"/>
        </w:rPr>
      </w:pPr>
    </w:p>
    <w:p w14:paraId="000021A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16.1.3 Tercer Entregable</w:t>
      </w:r>
    </w:p>
    <w:p w14:paraId="000021A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Las mediciones deben realizarse desde el modelo BIM hacia una Plataforma de mediciones y presupuestos, sugiriéndose que el flujo sea bidireccional, es decir, las mediciones se podrían gestionar también desde la Plataforma de mediciones y presupuestos hacia el modelo BIM.</w:t>
      </w:r>
    </w:p>
    <w:p w14:paraId="000021AE" w14:textId="77777777" w:rsidR="00F664DB" w:rsidRPr="00285D58" w:rsidRDefault="00F664DB" w:rsidP="008D1FFF">
      <w:pPr>
        <w:spacing w:line="276" w:lineRule="auto"/>
        <w:jc w:val="both"/>
        <w:rPr>
          <w:rFonts w:asciiTheme="minorHAnsi" w:eastAsia="Calibri" w:hAnsiTheme="minorHAnsi" w:cstheme="minorHAnsi"/>
        </w:rPr>
      </w:pPr>
    </w:p>
    <w:p w14:paraId="000021A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sistema de clasificación o códigos deberá ser propuesto por el CONCESIONARIO y validado por el SUPERVISOR y CONCEDENTE siguiendo los requerimientos definidos en el Plan de Ejecución BIM. Es responsabilidad del CONCESIONARIO la Generación de Metrados de cada uno de los elementos definidos en este documento.</w:t>
      </w:r>
    </w:p>
    <w:p w14:paraId="000021B0" w14:textId="77777777" w:rsidR="00F664DB" w:rsidRPr="00285D58" w:rsidRDefault="00F664DB" w:rsidP="008D1FFF">
      <w:pPr>
        <w:spacing w:line="276" w:lineRule="auto"/>
        <w:jc w:val="both"/>
        <w:rPr>
          <w:rFonts w:asciiTheme="minorHAnsi" w:eastAsia="Calibri" w:hAnsiTheme="minorHAnsi" w:cstheme="minorHAnsi"/>
        </w:rPr>
      </w:pPr>
    </w:p>
    <w:p w14:paraId="000021B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ser solicitado por el SUPERVISOR y/o CONCESIONARIO alguna información adicional necesario para la revisión del Proyecto será responsabilidad del CONCESIONARIO obtener esta del modelo BIM o de la plataforma de mediciones y presupuestos.</w:t>
      </w:r>
    </w:p>
    <w:p w14:paraId="000021B2" w14:textId="77777777" w:rsidR="00F664DB" w:rsidRPr="00285D58" w:rsidRDefault="00F664DB" w:rsidP="008D1FFF">
      <w:pPr>
        <w:spacing w:line="276" w:lineRule="auto"/>
        <w:jc w:val="both"/>
        <w:rPr>
          <w:rFonts w:asciiTheme="minorHAnsi" w:eastAsia="Calibri" w:hAnsiTheme="minorHAnsi" w:cstheme="minorHAnsi"/>
        </w:rPr>
      </w:pPr>
    </w:p>
    <w:p w14:paraId="000021B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formatos de esquemas y listados serán propuestos por el CONCESIONARIO, estos deberán estar debidamente estructuradas y ordenadas por Módulos, pisos, ambientes, etc. y tener la información necesaria para su ubicación y comprobación dependiendo de la magnitud y unidad de cada elemento u objeto, sugiriéndose el siguiente orden.</w:t>
      </w:r>
    </w:p>
    <w:p w14:paraId="000021B4" w14:textId="77777777" w:rsidR="00F664DB" w:rsidRPr="00285D58" w:rsidRDefault="00F664DB" w:rsidP="008D1FFF">
      <w:pPr>
        <w:spacing w:line="276" w:lineRule="auto"/>
        <w:jc w:val="both"/>
        <w:rPr>
          <w:rFonts w:asciiTheme="minorHAnsi" w:eastAsia="Calibri" w:hAnsiTheme="minorHAnsi" w:cstheme="minorHAnsi"/>
        </w:rPr>
      </w:pPr>
    </w:p>
    <w:p w14:paraId="000021B5"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Código</w:t>
      </w:r>
    </w:p>
    <w:p w14:paraId="000021B6"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Elemento / objeto</w:t>
      </w:r>
    </w:p>
    <w:p w14:paraId="000021B7"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Unidad</w:t>
      </w:r>
    </w:p>
    <w:p w14:paraId="000021B8"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Largo</w:t>
      </w:r>
    </w:p>
    <w:p w14:paraId="000021B9"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Ancho</w:t>
      </w:r>
    </w:p>
    <w:p w14:paraId="000021BA"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Altura</w:t>
      </w:r>
    </w:p>
    <w:p w14:paraId="000021BB"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Area</w:t>
      </w:r>
    </w:p>
    <w:p w14:paraId="000021BC"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Cantidad</w:t>
      </w:r>
    </w:p>
    <w:p w14:paraId="000021BD" w14:textId="77777777" w:rsidR="00F664DB" w:rsidRPr="00285D58" w:rsidRDefault="006049C1" w:rsidP="00A3732C">
      <w:pPr>
        <w:widowControl/>
        <w:numPr>
          <w:ilvl w:val="0"/>
          <w:numId w:val="17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Volumen</w:t>
      </w:r>
    </w:p>
    <w:p w14:paraId="000021BE" w14:textId="77777777" w:rsidR="00F664DB" w:rsidRPr="00285D58" w:rsidRDefault="00F664DB" w:rsidP="008D1FFF">
      <w:pPr>
        <w:spacing w:line="276" w:lineRule="auto"/>
        <w:jc w:val="both"/>
        <w:rPr>
          <w:rFonts w:asciiTheme="minorHAnsi" w:eastAsia="Calibri" w:hAnsiTheme="minorHAnsi" w:cstheme="minorHAnsi"/>
          <w:b/>
        </w:rPr>
      </w:pPr>
    </w:p>
    <w:p w14:paraId="000021B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16.2 ENTREGABLES BIM DE EJECUCIÓN DE OBRAS</w:t>
      </w:r>
    </w:p>
    <w:p w14:paraId="000021C0" w14:textId="77777777" w:rsidR="00F664DB" w:rsidRPr="00285D58" w:rsidRDefault="00F664DB" w:rsidP="008D1FFF">
      <w:pPr>
        <w:spacing w:line="276" w:lineRule="auto"/>
        <w:jc w:val="both"/>
        <w:rPr>
          <w:rFonts w:asciiTheme="minorHAnsi" w:eastAsia="Calibri" w:hAnsiTheme="minorHAnsi" w:cstheme="minorHAnsi"/>
        </w:rPr>
      </w:pPr>
    </w:p>
    <w:p w14:paraId="000021C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esta etapa se presentarán las actualizaciones del Modelo Federado y del Plan de Ejecución BIM (BEP), así como los planos As Built. Cualquier otro entregable BIM en la etapa de Ejecución de obras se definirá en una actualización del Plan de ejecución BIM (BEP) de acuerdo con el consenso entre el CONCESIONARIO, SUPERVISOR y el CONCEDENTE.</w:t>
      </w:r>
    </w:p>
    <w:p w14:paraId="000021C2" w14:textId="77777777" w:rsidR="00F664DB" w:rsidRPr="00285D58" w:rsidRDefault="00F664DB" w:rsidP="008D1FFF">
      <w:pPr>
        <w:spacing w:line="276" w:lineRule="auto"/>
        <w:jc w:val="both"/>
        <w:rPr>
          <w:rFonts w:asciiTheme="minorHAnsi" w:eastAsia="Calibri" w:hAnsiTheme="minorHAnsi" w:cstheme="minorHAnsi"/>
        </w:rPr>
      </w:pPr>
    </w:p>
    <w:p w14:paraId="000021C3"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16.3 ENTREGABLES BIM DE OPERACIÓN Y MANTENIMIENTO</w:t>
      </w:r>
    </w:p>
    <w:p w14:paraId="000021C4" w14:textId="77777777" w:rsidR="00F664DB" w:rsidRPr="00285D58" w:rsidRDefault="00F664DB" w:rsidP="008D1FFF">
      <w:pPr>
        <w:spacing w:line="276" w:lineRule="auto"/>
        <w:jc w:val="both"/>
        <w:rPr>
          <w:rFonts w:asciiTheme="minorHAnsi" w:eastAsia="Calibri" w:hAnsiTheme="minorHAnsi" w:cstheme="minorHAnsi"/>
          <w:b/>
        </w:rPr>
      </w:pPr>
    </w:p>
    <w:p w14:paraId="000021C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Comprende la actualización del modelo As Built.</w:t>
      </w:r>
    </w:p>
    <w:p w14:paraId="000021C6" w14:textId="77777777" w:rsidR="00F664DB" w:rsidRPr="00285D58" w:rsidRDefault="00F664DB" w:rsidP="008D1FFF">
      <w:pPr>
        <w:spacing w:line="276" w:lineRule="auto"/>
        <w:jc w:val="both"/>
        <w:rPr>
          <w:rFonts w:asciiTheme="minorHAnsi" w:eastAsia="Calibri" w:hAnsiTheme="minorHAnsi" w:cstheme="minorHAnsi"/>
        </w:rPr>
      </w:pPr>
    </w:p>
    <w:p w14:paraId="000021C7"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3" w:name="_heading=h.4i1bb8e" w:colFirst="0" w:colLast="0"/>
      <w:bookmarkEnd w:id="213"/>
      <w:r w:rsidRPr="00285D58">
        <w:rPr>
          <w:rFonts w:asciiTheme="minorHAnsi" w:eastAsia="Calibri" w:hAnsiTheme="minorHAnsi" w:cstheme="minorHAnsi"/>
          <w:b/>
        </w:rPr>
        <w:t>GESTIÓN DE LA INFORMACIÓN</w:t>
      </w:r>
    </w:p>
    <w:p w14:paraId="000021C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clave que existan métodos establecidos y conocidos por todos, tanto para la gestión de la información como para su intercambio.</w:t>
      </w:r>
    </w:p>
    <w:p w14:paraId="000021C9" w14:textId="77777777" w:rsidR="00F664DB" w:rsidRPr="00285D58" w:rsidRDefault="00F664DB" w:rsidP="008D1FFF">
      <w:pPr>
        <w:spacing w:line="276" w:lineRule="auto"/>
        <w:jc w:val="both"/>
        <w:rPr>
          <w:rFonts w:asciiTheme="minorHAnsi" w:eastAsia="Calibri" w:hAnsiTheme="minorHAnsi" w:cstheme="minorHAnsi"/>
        </w:rPr>
      </w:pPr>
    </w:p>
    <w:p w14:paraId="000021C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decir, debe definirse una estrategia de colaboración que deberá estar apoyada por plataformas habilitantes que faciliten la comunicación, que permitan tener trazabilidad de la información, y trazabilidad en la toma de decisiones del Proyecto.</w:t>
      </w:r>
    </w:p>
    <w:p w14:paraId="000021CB" w14:textId="77777777" w:rsidR="00F664DB" w:rsidRPr="00285D58" w:rsidRDefault="00F664DB" w:rsidP="008D1FFF">
      <w:pPr>
        <w:spacing w:line="276" w:lineRule="auto"/>
        <w:jc w:val="both"/>
        <w:rPr>
          <w:rFonts w:asciiTheme="minorHAnsi" w:eastAsia="Calibri" w:hAnsiTheme="minorHAnsi" w:cstheme="minorHAnsi"/>
        </w:rPr>
      </w:pPr>
    </w:p>
    <w:p w14:paraId="000021C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17.1 ENTORNO DE DATOS COMUNES (CDE)</w:t>
      </w:r>
    </w:p>
    <w:p w14:paraId="000021CD" w14:textId="77777777" w:rsidR="00F664DB" w:rsidRPr="00285D58" w:rsidRDefault="00F664DB" w:rsidP="008D1FFF">
      <w:pPr>
        <w:spacing w:line="276" w:lineRule="auto"/>
        <w:jc w:val="both"/>
        <w:rPr>
          <w:rFonts w:asciiTheme="minorHAnsi" w:eastAsia="Calibri" w:hAnsiTheme="minorHAnsi" w:cstheme="minorHAnsi"/>
        </w:rPr>
      </w:pPr>
    </w:p>
    <w:p w14:paraId="000021C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Entorno de Datos Comunes (CDE, por sus siglas en inglés Common Data Environment) tiene un rol fundamental en el desarrollo de trabajo colaborativo y la gestión de la información para el desarrollo de inversiones aplicando BIM.</w:t>
      </w:r>
    </w:p>
    <w:p w14:paraId="000021CF" w14:textId="77777777" w:rsidR="00F664DB" w:rsidRPr="00285D58" w:rsidRDefault="00F664DB" w:rsidP="008D1FFF">
      <w:pPr>
        <w:spacing w:line="276" w:lineRule="auto"/>
        <w:jc w:val="both"/>
        <w:rPr>
          <w:rFonts w:asciiTheme="minorHAnsi" w:eastAsia="Calibri" w:hAnsiTheme="minorHAnsi" w:cstheme="minorHAnsi"/>
        </w:rPr>
      </w:pPr>
    </w:p>
    <w:p w14:paraId="000021D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es la fuente de información que utiliza el equipo del proyecto en las inversiones desarrolladas aplicando BIM para la recopilación, gestión y difusión de cada contenedor de información generado por los involucrados en la inversión. Este equipo del proyecto está conformado por la CONCEDENTE (Parte que Designa), CONCESIONARIO (Parte Designada Principal) y SUPERVISOR (las Partes Designadas) tal como se muestra en la figura 40 (UK BIM Framework, 2020b)</w:t>
      </w:r>
    </w:p>
    <w:p w14:paraId="000021D1" w14:textId="77777777" w:rsidR="00F664DB" w:rsidRPr="00285D58" w:rsidRDefault="00F664DB" w:rsidP="008D1FFF">
      <w:pPr>
        <w:spacing w:line="276" w:lineRule="auto"/>
        <w:jc w:val="both"/>
        <w:rPr>
          <w:rFonts w:asciiTheme="minorHAnsi" w:eastAsia="Calibri" w:hAnsiTheme="minorHAnsi" w:cstheme="minorHAnsi"/>
        </w:rPr>
      </w:pPr>
    </w:p>
    <w:p w14:paraId="000021D2" w14:textId="2377C642"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s-PE"/>
        </w:rPr>
        <w:lastRenderedPageBreak/>
        <w:drawing>
          <wp:inline distT="0" distB="0" distL="0" distR="0" wp14:anchorId="26EAADE5" wp14:editId="141DECCE">
            <wp:extent cx="3060000" cy="3023163"/>
            <wp:effectExtent l="0" t="0" r="0" b="0"/>
            <wp:docPr id="213361744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19"/>
                    <a:srcRect b="6974"/>
                    <a:stretch>
                      <a:fillRect/>
                    </a:stretch>
                  </pic:blipFill>
                  <pic:spPr>
                    <a:xfrm>
                      <a:off x="0" y="0"/>
                      <a:ext cx="3060000" cy="3023163"/>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D3" w14:textId="77777777" w:rsidR="00F664DB" w:rsidRPr="00285D58" w:rsidRDefault="00F664DB" w:rsidP="008D1FFF">
      <w:pPr>
        <w:spacing w:line="276" w:lineRule="auto"/>
        <w:jc w:val="both"/>
        <w:rPr>
          <w:rFonts w:asciiTheme="minorHAnsi" w:eastAsia="Calibri" w:hAnsiTheme="minorHAnsi" w:cstheme="minorHAnsi"/>
          <w:b/>
        </w:rPr>
      </w:pPr>
    </w:p>
    <w:p w14:paraId="000021D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se basa en una combinación de dos enfoques: flujo de trabajo y tecnología. El flujo de trabajo de un CDE describe los procesos que se utilizarán para recopilar, administrar y difundir la información estructurada o no estructurada (por ejemplo: modelos 3D, contratos, videos, informes, costos, etc.). Una vez definidos los flujos necesarios se opta por una o varias soluciones tecnológicas, que pueden estar o no relacionadas a través del Interfaz del Programa de Aplicación (API) respondiendo a los flujos requeridos. Es importante resaltar que es posible utilizar diferentes y/o múltiples tecnologías dentro de un solo flujo de trabajo.</w:t>
      </w:r>
    </w:p>
    <w:p w14:paraId="000021D5" w14:textId="77777777" w:rsidR="00F664DB" w:rsidRPr="00285D58" w:rsidRDefault="00F664DB" w:rsidP="008D1FFF">
      <w:pPr>
        <w:spacing w:line="276" w:lineRule="auto"/>
        <w:jc w:val="both"/>
        <w:rPr>
          <w:rFonts w:asciiTheme="minorHAnsi" w:eastAsia="Calibri" w:hAnsiTheme="minorHAnsi" w:cstheme="minorHAnsi"/>
        </w:rPr>
      </w:pPr>
    </w:p>
    <w:p w14:paraId="000021D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Asimismo, existe la idea errónea de que el CDE se trata más de tecnología y menos de flujos de trabajo. Sin embargo, es fundamental que, en la práctica, los flujos de trabajo se desarrollen primero y las soluciones tecnológicas se adapten y se seleccionen para facilitar el flujo de trabajo de acuerdo con las necesidades de la inversión. La unión de los procesos y las soluciones tecnológicas permitirán gestionar adecuadamente la información y extraer beneficios de ello.</w:t>
      </w:r>
    </w:p>
    <w:p w14:paraId="000021D7" w14:textId="77777777" w:rsidR="00F664DB" w:rsidRPr="00285D58" w:rsidRDefault="00F664DB" w:rsidP="008D1FFF">
      <w:pPr>
        <w:spacing w:line="276" w:lineRule="auto"/>
        <w:jc w:val="both"/>
        <w:rPr>
          <w:rFonts w:asciiTheme="minorHAnsi" w:eastAsia="Calibri" w:hAnsiTheme="minorHAnsi" w:cstheme="minorHAnsi"/>
        </w:rPr>
      </w:pPr>
    </w:p>
    <w:p w14:paraId="000021D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 acuerdo con el propósito del contenedor de información dentro de la inversión, es preciso evaluar las opciones de software de CDE, para que los flujos de trabajo necesarios puedan desarrollarse de manera eficiente. En esta parte se destaca la idea de que una inversión puede trabajar con diferentes soluciones de CDE, de acuerdo con sus necesidades y al tipo de contenedores con los que se va a trabajar. Por ejemplo, si el contenedor de información está orientado al propósito de diseño colaborativo (Modelo-3D), será necesario buscar una solución de CDE que tenga flujos de trabajo que permitan colaborar en tiempo real, controlar versiones, entre otros. Por otro lado, si el contenedor de información está dirigido a la gestión de contratos, se debe buscar una solución de CDE que tenga flujos de trabajo para hacer seguimiento a los contratos, seguimiento de pagos, valorizaciones, que incluya estadísticas, entre otros.</w:t>
      </w:r>
    </w:p>
    <w:p w14:paraId="000021D9" w14:textId="77777777" w:rsidR="00F664DB" w:rsidRPr="00285D58" w:rsidRDefault="00F664DB" w:rsidP="008D1FFF">
      <w:pPr>
        <w:spacing w:line="276" w:lineRule="auto"/>
        <w:jc w:val="both"/>
        <w:rPr>
          <w:rFonts w:asciiTheme="minorHAnsi" w:eastAsia="Calibri" w:hAnsiTheme="minorHAnsi" w:cstheme="minorHAnsi"/>
        </w:rPr>
      </w:pPr>
    </w:p>
    <w:p w14:paraId="000021DA"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Debe existir un ambiente de colaboración en las diferentes etapas del ciclo de los Activos, esta debe permitir que los actores del Proyecto accedan a la información para realizar sus diferentes funciones y puede ser implementado de diferentes maneras, según el nivel de madurez del solicitante y del proveedor. Este ambiente se conoce como Entorno de Datos Comunes.</w:t>
      </w:r>
    </w:p>
    <w:p w14:paraId="000021DB" w14:textId="77777777" w:rsidR="00F664DB" w:rsidRPr="00285D58" w:rsidRDefault="00F664DB" w:rsidP="008D1FFF">
      <w:pPr>
        <w:spacing w:line="276" w:lineRule="auto"/>
        <w:jc w:val="both"/>
        <w:rPr>
          <w:rFonts w:asciiTheme="minorHAnsi" w:eastAsia="Calibri" w:hAnsiTheme="minorHAnsi" w:cstheme="minorHAnsi"/>
        </w:rPr>
      </w:pPr>
    </w:p>
    <w:p w14:paraId="000021D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Entorno de Datos Comunes es una fuente única de información para recopilar, gestionar y difundir documentos y modelos entre los actores del Proyecto, a través de un proceso estandarizado.</w:t>
      </w:r>
    </w:p>
    <w:p w14:paraId="000021DD" w14:textId="77777777" w:rsidR="00F664DB" w:rsidRPr="00285D58" w:rsidRDefault="00F664DB" w:rsidP="008D1FFF">
      <w:pPr>
        <w:spacing w:line="276" w:lineRule="auto"/>
        <w:jc w:val="both"/>
        <w:rPr>
          <w:rFonts w:asciiTheme="minorHAnsi" w:eastAsia="Calibri" w:hAnsiTheme="minorHAnsi" w:cstheme="minorHAnsi"/>
        </w:rPr>
      </w:pPr>
    </w:p>
    <w:p w14:paraId="000021D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un CDE debe considerarse la seguridad y la calidad de la Información</w:t>
      </w:r>
    </w:p>
    <w:p w14:paraId="000021DF" w14:textId="77777777" w:rsidR="00F664DB" w:rsidRPr="00285D58" w:rsidRDefault="00F664DB" w:rsidP="008D1FFF">
      <w:pPr>
        <w:spacing w:line="276" w:lineRule="auto"/>
        <w:jc w:val="both"/>
        <w:rPr>
          <w:rFonts w:asciiTheme="minorHAnsi" w:eastAsia="Calibri" w:hAnsiTheme="minorHAnsi" w:cstheme="minorHAnsi"/>
        </w:rPr>
      </w:pPr>
    </w:p>
    <w:p w14:paraId="000021E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La norma ISO 19650 – 1 indica que, dado que la información de un proyecto puede estar distribuida en múltiples ubicaciones, el CDE facilita el flujo de trabajo, conectado distintos sistemas informáticos o plataformas.</w:t>
      </w:r>
    </w:p>
    <w:p w14:paraId="000021E1" w14:textId="77777777" w:rsidR="00F664DB" w:rsidRPr="00285D58" w:rsidRDefault="00F664DB" w:rsidP="008D1FFF">
      <w:pPr>
        <w:spacing w:line="276" w:lineRule="auto"/>
        <w:jc w:val="both"/>
        <w:rPr>
          <w:rFonts w:asciiTheme="minorHAnsi" w:eastAsia="Calibri" w:hAnsiTheme="minorHAnsi" w:cstheme="minorHAnsi"/>
        </w:rPr>
      </w:pPr>
    </w:p>
    <w:p w14:paraId="000021E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puede estar conformado por una plataforma o por la suma de diferentes sistemas que permiten COLABORAR, GESTIONAR, REGISTRAR y darle TRAZABILIDAD a la información transferida entre los actores</w:t>
      </w:r>
    </w:p>
    <w:p w14:paraId="000021E3" w14:textId="77777777" w:rsidR="00F664DB" w:rsidRPr="00285D58" w:rsidRDefault="00F664DB" w:rsidP="008D1FFF">
      <w:pPr>
        <w:spacing w:line="276" w:lineRule="auto"/>
        <w:jc w:val="both"/>
        <w:rPr>
          <w:rFonts w:asciiTheme="minorHAnsi" w:eastAsia="Calibri" w:hAnsiTheme="minorHAnsi" w:cstheme="minorHAnsi"/>
        </w:rPr>
      </w:pPr>
    </w:p>
    <w:p w14:paraId="000021E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permitirá gestionar la información durante la gestión de Activos y el desarrollo del proyecto.</w:t>
      </w:r>
    </w:p>
    <w:p w14:paraId="000021E5" w14:textId="77777777" w:rsidR="00F664DB" w:rsidRPr="00285D58" w:rsidRDefault="00F664DB" w:rsidP="008D1FFF">
      <w:pPr>
        <w:spacing w:line="276" w:lineRule="auto"/>
        <w:jc w:val="both"/>
        <w:rPr>
          <w:rFonts w:asciiTheme="minorHAnsi" w:eastAsia="Calibri" w:hAnsiTheme="minorHAnsi" w:cstheme="minorHAnsi"/>
        </w:rPr>
      </w:pPr>
    </w:p>
    <w:p w14:paraId="000021E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CDE permitirá integrar a todos los miembros de los equipos intervinientes en el proyecto:</w:t>
      </w:r>
    </w:p>
    <w:p w14:paraId="000021E7" w14:textId="77777777" w:rsidR="00F664DB" w:rsidRPr="00285D58" w:rsidRDefault="00F664DB" w:rsidP="008D1FFF">
      <w:pPr>
        <w:spacing w:line="276" w:lineRule="auto"/>
        <w:jc w:val="both"/>
        <w:rPr>
          <w:rFonts w:asciiTheme="minorHAnsi" w:eastAsia="Calibri" w:hAnsiTheme="minorHAnsi" w:cstheme="minorHAnsi"/>
        </w:rPr>
      </w:pPr>
    </w:p>
    <w:p w14:paraId="000021E8" w14:textId="77777777" w:rsidR="00F664DB" w:rsidRPr="00285D58" w:rsidRDefault="00F664DB" w:rsidP="008D1FFF">
      <w:pPr>
        <w:spacing w:line="276" w:lineRule="auto"/>
        <w:jc w:val="both"/>
        <w:rPr>
          <w:rFonts w:asciiTheme="minorHAnsi" w:eastAsia="Calibri" w:hAnsiTheme="minorHAnsi" w:cstheme="minorHAnsi"/>
        </w:rPr>
      </w:pPr>
    </w:p>
    <w:p w14:paraId="000021E9" w14:textId="44FDA3F3"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s-PE"/>
        </w:rPr>
        <w:drawing>
          <wp:inline distT="0" distB="0" distL="0" distR="0" wp14:anchorId="5B1260AB" wp14:editId="6B13650C">
            <wp:extent cx="3060000" cy="2997758"/>
            <wp:effectExtent l="0" t="0" r="0" b="0"/>
            <wp:docPr id="213361744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20"/>
                    <a:srcRect l="33612" b="7878"/>
                    <a:stretch>
                      <a:fillRect/>
                    </a:stretch>
                  </pic:blipFill>
                  <pic:spPr>
                    <a:xfrm>
                      <a:off x="0" y="0"/>
                      <a:ext cx="3060000" cy="2997758"/>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1EA" w14:textId="77777777" w:rsidR="00F664DB" w:rsidRPr="00285D58" w:rsidRDefault="00F664DB" w:rsidP="008D1FFF">
      <w:pPr>
        <w:spacing w:line="276" w:lineRule="auto"/>
        <w:jc w:val="both"/>
        <w:rPr>
          <w:rFonts w:asciiTheme="minorHAnsi" w:eastAsia="Calibri" w:hAnsiTheme="minorHAnsi" w:cstheme="minorHAnsi"/>
          <w:b/>
        </w:rPr>
      </w:pPr>
    </w:p>
    <w:p w14:paraId="000021EB" w14:textId="77777777" w:rsidR="00F664DB" w:rsidRPr="00285D58" w:rsidRDefault="00F664DB" w:rsidP="008D1FFF">
      <w:pPr>
        <w:spacing w:line="276" w:lineRule="auto"/>
        <w:jc w:val="both"/>
        <w:rPr>
          <w:rFonts w:asciiTheme="minorHAnsi" w:eastAsia="Calibri" w:hAnsiTheme="minorHAnsi" w:cstheme="minorHAnsi"/>
          <w:b/>
        </w:rPr>
      </w:pPr>
    </w:p>
    <w:p w14:paraId="000021EC"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17.2 COMPONENTES MÍNIMOS DEL ENTORNO DE DATOS COMUNES (CDE)</w:t>
      </w:r>
    </w:p>
    <w:p w14:paraId="000021ED" w14:textId="77777777" w:rsidR="00F664DB" w:rsidRPr="00285D58" w:rsidRDefault="00F664DB" w:rsidP="008D1FFF">
      <w:pPr>
        <w:spacing w:line="276" w:lineRule="auto"/>
        <w:jc w:val="both"/>
        <w:rPr>
          <w:rFonts w:asciiTheme="minorHAnsi" w:eastAsia="Calibri" w:hAnsiTheme="minorHAnsi" w:cstheme="minorHAnsi"/>
          <w:b/>
        </w:rPr>
      </w:pPr>
    </w:p>
    <w:p w14:paraId="000021E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17.2.1 Plataforma de colaboración</w:t>
      </w:r>
    </w:p>
    <w:p w14:paraId="000021E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plataforma, de acuerdo con lo establecido en el numeral 8.0, debe permitir trabajar con información unificada y centralizada, siguiendo la estrategia de consolidación seleccionada (Modelos Federados o Integrados), administrando y respaldando los Modelos BIM de manera segura.</w:t>
      </w:r>
    </w:p>
    <w:p w14:paraId="000021F0" w14:textId="77777777" w:rsidR="00F664DB" w:rsidRPr="00285D58" w:rsidRDefault="00F664DB" w:rsidP="008D1FFF">
      <w:pPr>
        <w:spacing w:line="276" w:lineRule="auto"/>
        <w:jc w:val="both"/>
        <w:rPr>
          <w:rFonts w:asciiTheme="minorHAnsi" w:eastAsia="Calibri" w:hAnsiTheme="minorHAnsi" w:cstheme="minorHAnsi"/>
        </w:rPr>
      </w:pPr>
    </w:p>
    <w:p w14:paraId="000021F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17.2.2 Plataforma de gestión documental </w:t>
      </w:r>
    </w:p>
    <w:p w14:paraId="000021F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De igual manera, esta plataforma debe permitir el control de los procesos de intercambio de documentación y modelos BIM, gestionando los cambios y haciendo el seguimiento del Proyecto. </w:t>
      </w:r>
    </w:p>
    <w:p w14:paraId="000021F3" w14:textId="77777777" w:rsidR="00F664DB" w:rsidRPr="00285D58" w:rsidRDefault="00F664DB" w:rsidP="008D1FFF">
      <w:pPr>
        <w:spacing w:line="276" w:lineRule="auto"/>
        <w:jc w:val="both"/>
        <w:rPr>
          <w:rFonts w:asciiTheme="minorHAnsi" w:eastAsia="Calibri" w:hAnsiTheme="minorHAnsi" w:cstheme="minorHAnsi"/>
        </w:rPr>
      </w:pPr>
    </w:p>
    <w:p w14:paraId="000021F4"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 xml:space="preserve">17.2.3 Plataforma de coordinación de modelos </w:t>
      </w:r>
    </w:p>
    <w:p w14:paraId="000021F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Esta plataforma debe permitir la coordinación de modelos de diferentes disciplinas, se gestionarán revisiones y cambios. Será usada sin restricciones por el CONCESIONARIO, Supervisor y CONCEDENTE.</w:t>
      </w:r>
    </w:p>
    <w:p w14:paraId="000021F6" w14:textId="77777777" w:rsidR="00F664DB" w:rsidRPr="00285D58" w:rsidRDefault="00F664DB" w:rsidP="008D1FFF">
      <w:pPr>
        <w:spacing w:line="276" w:lineRule="auto"/>
        <w:jc w:val="both"/>
        <w:rPr>
          <w:rFonts w:asciiTheme="minorHAnsi" w:eastAsia="Calibri" w:hAnsiTheme="minorHAnsi" w:cstheme="minorHAnsi"/>
        </w:rPr>
      </w:pPr>
    </w:p>
    <w:p w14:paraId="000021F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17.3 FORMATO DE REQUERIMIENTOS DE INFORMACIÓN Y COLABORACIÓN</w:t>
      </w:r>
    </w:p>
    <w:p w14:paraId="000021F8" w14:textId="77777777" w:rsidR="00F664DB" w:rsidRPr="00285D58" w:rsidRDefault="00F664DB" w:rsidP="008D1FFF">
      <w:pPr>
        <w:spacing w:line="276" w:lineRule="auto"/>
        <w:jc w:val="both"/>
        <w:rPr>
          <w:rFonts w:asciiTheme="minorHAnsi" w:eastAsia="Calibri" w:hAnsiTheme="minorHAnsi" w:cstheme="minorHAnsi"/>
        </w:rPr>
      </w:pPr>
    </w:p>
    <w:p w14:paraId="000021F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comentarios, incidencias y revisiones de los Modelos BIM deben realizarse a través de formatos que permitan el registro y trazabilidad de estos.</w:t>
      </w:r>
    </w:p>
    <w:p w14:paraId="000021FD" w14:textId="77777777" w:rsidR="00F664DB" w:rsidRPr="00285D58" w:rsidRDefault="00F664DB" w:rsidP="008D1FFF">
      <w:pPr>
        <w:spacing w:line="276" w:lineRule="auto"/>
        <w:jc w:val="both"/>
        <w:rPr>
          <w:rFonts w:asciiTheme="minorHAnsi" w:eastAsia="Calibri" w:hAnsiTheme="minorHAnsi" w:cstheme="minorHAnsi"/>
        </w:rPr>
      </w:pPr>
    </w:p>
    <w:p w14:paraId="000021FE"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17.4 ESTADOS DEL CONTENEDOR DE INFORMACIÓN</w:t>
      </w:r>
    </w:p>
    <w:p w14:paraId="000021FF" w14:textId="77777777" w:rsidR="00F664DB" w:rsidRPr="00285D58" w:rsidRDefault="00F664DB" w:rsidP="008D1FFF">
      <w:pPr>
        <w:spacing w:line="276" w:lineRule="auto"/>
        <w:jc w:val="both"/>
        <w:rPr>
          <w:rFonts w:asciiTheme="minorHAnsi" w:eastAsia="Calibri" w:hAnsiTheme="minorHAnsi" w:cstheme="minorHAnsi"/>
        </w:rPr>
      </w:pPr>
    </w:p>
    <w:p w14:paraId="00002200"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medida que se desarrolla un contenedor de información, estos contendores o sus contenidos, pueden encontrase en diferentes estados, como parte de un flujo de trabajo, del contenedor de información, dentro del Entorno de Datos Comunes (CDE), tal como se muestra a continuación</w:t>
      </w:r>
    </w:p>
    <w:p w14:paraId="00002201" w14:textId="77777777" w:rsidR="00F664DB" w:rsidRPr="00285D58" w:rsidRDefault="00F664DB" w:rsidP="008D1FFF">
      <w:pPr>
        <w:spacing w:line="276" w:lineRule="auto"/>
        <w:jc w:val="both"/>
        <w:rPr>
          <w:rFonts w:asciiTheme="minorHAnsi" w:eastAsia="Calibri" w:hAnsiTheme="minorHAnsi" w:cstheme="minorHAnsi"/>
        </w:rPr>
      </w:pPr>
    </w:p>
    <w:p w14:paraId="00002202" w14:textId="5187702D"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s-PE"/>
        </w:rPr>
        <w:lastRenderedPageBreak/>
        <w:drawing>
          <wp:inline distT="0" distB="0" distL="0" distR="0" wp14:anchorId="621870E6" wp14:editId="5EB004FD">
            <wp:extent cx="3060000" cy="3073973"/>
            <wp:effectExtent l="0" t="0" r="0" b="0"/>
            <wp:docPr id="2133617445"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21"/>
                    <a:srcRect b="8062"/>
                    <a:stretch>
                      <a:fillRect/>
                    </a:stretch>
                  </pic:blipFill>
                  <pic:spPr>
                    <a:xfrm>
                      <a:off x="0" y="0"/>
                      <a:ext cx="3060000" cy="3073973"/>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03" w14:textId="77777777" w:rsidR="00F664DB" w:rsidRPr="00285D58" w:rsidRDefault="00F664DB" w:rsidP="008D1FFF">
      <w:pPr>
        <w:spacing w:line="276" w:lineRule="auto"/>
        <w:jc w:val="both"/>
        <w:rPr>
          <w:rFonts w:asciiTheme="minorHAnsi" w:eastAsia="Calibri" w:hAnsiTheme="minorHAnsi" w:cstheme="minorHAnsi"/>
          <w:b/>
        </w:rPr>
      </w:pPr>
    </w:p>
    <w:p w14:paraId="00002204"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Trabajo en Proceso: (WIP con las siglas en inglés de Work in Progress): Información que está siendo desarrollada por su creador o equipo de trabajo, no visible ni accesible para nadie más. Dentro de una inversión puede haber varios sitios WIP, por lo general cada involucrado en una inversión tiene su propio sitio WIP.</w:t>
      </w:r>
    </w:p>
    <w:p w14:paraId="00002205"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Compartido: La información se revisa para validar que es adecuada para el uso de otros equipos de trabajo, equipos de ejecución o con el CONCEDENTE. Esta validación la hace CONCESIONARIO.</w:t>
      </w:r>
    </w:p>
    <w:p w14:paraId="00002206"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Publicado: Información autorizada por el CONCEDENTE para su uso en las siguientes etapas que requieran de diseños más detallados, para la construcción o para la gestión de activos. Ejemplo de ello son los entregables contractuales</w:t>
      </w:r>
    </w:p>
    <w:p w14:paraId="00002207" w14:textId="77777777" w:rsidR="00F664DB" w:rsidRPr="00285D58" w:rsidRDefault="006049C1" w:rsidP="00A3732C">
      <w:pPr>
        <w:widowControl/>
        <w:numPr>
          <w:ilvl w:val="0"/>
          <w:numId w:val="180"/>
        </w:numPr>
        <w:pBdr>
          <w:top w:val="nil"/>
          <w:left w:val="nil"/>
          <w:bottom w:val="nil"/>
          <w:right w:val="nil"/>
          <w:between w:val="nil"/>
        </w:pBdr>
        <w:spacing w:line="276" w:lineRule="auto"/>
        <w:jc w:val="both"/>
        <w:rPr>
          <w:rFonts w:asciiTheme="minorHAnsi" w:eastAsia="Calibri" w:hAnsiTheme="minorHAnsi" w:cstheme="minorHAnsi"/>
          <w:b/>
          <w:color w:val="000000"/>
        </w:rPr>
      </w:pPr>
      <w:r w:rsidRPr="00285D58">
        <w:rPr>
          <w:rFonts w:asciiTheme="minorHAnsi" w:eastAsia="Calibri" w:hAnsiTheme="minorHAnsi" w:cstheme="minorHAnsi"/>
          <w:color w:val="000000"/>
        </w:rPr>
        <w:t>Archivado: Información registrada a través de flujos de trabajo, creando automáticamente un archivo de inversión. Registra cada progreso en cada hito de la inversión y debe llevar un registro de todos los intercambios y cambios para proporcionar trazabilidad a la gestión de la información para la inspección y comparación en caso de consulta y/o disputa.</w:t>
      </w:r>
    </w:p>
    <w:p w14:paraId="00002208" w14:textId="77777777" w:rsidR="00F664DB" w:rsidRPr="00285D58" w:rsidRDefault="00F664DB" w:rsidP="008D1FFF">
      <w:pPr>
        <w:spacing w:line="276" w:lineRule="auto"/>
        <w:jc w:val="both"/>
        <w:rPr>
          <w:rFonts w:asciiTheme="minorHAnsi" w:eastAsia="Calibri" w:hAnsiTheme="minorHAnsi" w:cstheme="minorHAnsi"/>
          <w:b/>
        </w:rPr>
      </w:pPr>
    </w:p>
    <w:p w14:paraId="0000220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Derivado de lo anterior la aplicación de equivalentes a estos estados del contenedor de información ocurre en la mayoría de los procesos de producción de información convencional, incluidos los correos electrónicos, aunque este proceso, a menudo, es invisible para el usuario.</w:t>
      </w:r>
    </w:p>
    <w:p w14:paraId="0000220A" w14:textId="77777777" w:rsidR="00F664DB" w:rsidRPr="00285D58" w:rsidRDefault="00F664DB" w:rsidP="008D1FFF">
      <w:pPr>
        <w:spacing w:line="276" w:lineRule="auto"/>
        <w:jc w:val="both"/>
        <w:rPr>
          <w:rFonts w:asciiTheme="minorHAnsi" w:eastAsia="Calibri" w:hAnsiTheme="minorHAnsi" w:cstheme="minorHAnsi"/>
        </w:rPr>
      </w:pPr>
    </w:p>
    <w:p w14:paraId="0000220B"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17.5 ESTRATEGIA DE REUNIONES</w:t>
      </w:r>
    </w:p>
    <w:p w14:paraId="0000220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Al inicio del Proyecto se debe realizar una reunión con todos los actores involucrados para confirmar la disponibilidad de recursos y capacidades con relación a Usos BIM solicitados y consensuar y validar información para el desarrollo del BEP.</w:t>
      </w:r>
    </w:p>
    <w:p w14:paraId="0000220E" w14:textId="77777777" w:rsidR="00F664DB" w:rsidRPr="00285D58" w:rsidRDefault="00F664DB" w:rsidP="008D1FFF">
      <w:pPr>
        <w:spacing w:line="276" w:lineRule="auto"/>
        <w:jc w:val="both"/>
        <w:rPr>
          <w:rFonts w:asciiTheme="minorHAnsi" w:eastAsia="Calibri" w:hAnsiTheme="minorHAnsi" w:cstheme="minorHAnsi"/>
        </w:rPr>
      </w:pPr>
    </w:p>
    <w:p w14:paraId="0000220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Adicionalmente para lograr un proceso colaborativo durante el desarrollo del Proyecto, se deben programar reuniones de control de avance de las actividades que lo requieran. Previo a las reuniones se deben definir un objetivo claro, sus participantes, y la frecuencia y la modalidad de estas.</w:t>
      </w:r>
    </w:p>
    <w:p w14:paraId="00002210" w14:textId="77777777" w:rsidR="00F664DB" w:rsidRPr="00285D58" w:rsidRDefault="00F664DB" w:rsidP="008D1FFF">
      <w:pPr>
        <w:spacing w:line="276" w:lineRule="auto"/>
        <w:jc w:val="both"/>
        <w:rPr>
          <w:rFonts w:asciiTheme="minorHAnsi" w:eastAsia="Calibri" w:hAnsiTheme="minorHAnsi" w:cstheme="minorHAnsi"/>
        </w:rPr>
      </w:pPr>
    </w:p>
    <w:p w14:paraId="00002211" w14:textId="53E75273" w:rsidR="00F664DB" w:rsidRPr="00285D58" w:rsidRDefault="006049C1" w:rsidP="008D1FFF">
      <w:pPr>
        <w:spacing w:line="276" w:lineRule="auto"/>
        <w:jc w:val="center"/>
        <w:rPr>
          <w:rFonts w:asciiTheme="minorHAnsi" w:eastAsia="Calibri" w:hAnsiTheme="minorHAnsi" w:cstheme="minorHAnsi"/>
          <w:b/>
        </w:rPr>
      </w:pPr>
      <w:r w:rsidRPr="00285D58">
        <w:rPr>
          <w:rFonts w:asciiTheme="minorHAnsi" w:eastAsia="Calibri" w:hAnsiTheme="minorHAnsi" w:cstheme="minorHAnsi"/>
          <w:b/>
          <w:noProof/>
          <w:lang w:val="es-PE"/>
        </w:rPr>
        <w:drawing>
          <wp:inline distT="0" distB="0" distL="0" distR="0" wp14:anchorId="21BC4B28" wp14:editId="4F9C10ED">
            <wp:extent cx="5400000" cy="2443269"/>
            <wp:effectExtent l="0" t="0" r="0" b="0"/>
            <wp:docPr id="2133617447"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22"/>
                    <a:srcRect/>
                    <a:stretch>
                      <a:fillRect/>
                    </a:stretch>
                  </pic:blipFill>
                  <pic:spPr>
                    <a:xfrm>
                      <a:off x="0" y="0"/>
                      <a:ext cx="5400000" cy="2443269"/>
                    </a:xfrm>
                    <a:prstGeom prst="rect">
                      <a:avLst/>
                    </a:prstGeom>
                    <a:ln/>
                  </pic:spPr>
                </pic:pic>
              </a:graphicData>
            </a:graphic>
          </wp:inline>
        </w:drawing>
      </w:r>
      <w:r w:rsidRPr="00285D58">
        <w:rPr>
          <w:rFonts w:asciiTheme="minorHAnsi" w:eastAsia="Calibri" w:hAnsiTheme="minorHAnsi" w:cstheme="minorHAnsi"/>
          <w:b/>
        </w:rPr>
        <w:br/>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12" w14:textId="77777777" w:rsidR="00F664DB" w:rsidRPr="00285D58" w:rsidRDefault="00F664DB" w:rsidP="008D1FFF">
      <w:pPr>
        <w:spacing w:line="276" w:lineRule="auto"/>
        <w:jc w:val="both"/>
        <w:rPr>
          <w:rFonts w:asciiTheme="minorHAnsi" w:eastAsia="Calibri" w:hAnsiTheme="minorHAnsi" w:cstheme="minorHAnsi"/>
          <w:b/>
        </w:rPr>
      </w:pPr>
    </w:p>
    <w:p w14:paraId="00002213" w14:textId="77777777" w:rsidR="00F664DB" w:rsidRPr="00285D58" w:rsidRDefault="00F664DB" w:rsidP="008D1FFF">
      <w:pPr>
        <w:spacing w:line="276" w:lineRule="auto"/>
        <w:jc w:val="both"/>
        <w:rPr>
          <w:rFonts w:asciiTheme="minorHAnsi" w:eastAsia="Calibri" w:hAnsiTheme="minorHAnsi" w:cstheme="minorHAnsi"/>
          <w:b/>
        </w:rPr>
      </w:pPr>
    </w:p>
    <w:p w14:paraId="0000221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debe establecer los siguientes requerimientos para convocar reuniones:</w:t>
      </w:r>
    </w:p>
    <w:p w14:paraId="00002215" w14:textId="77777777" w:rsidR="00F664DB" w:rsidRPr="00285D58" w:rsidRDefault="00F664DB" w:rsidP="008D1FFF">
      <w:pPr>
        <w:spacing w:line="276" w:lineRule="auto"/>
        <w:jc w:val="both"/>
        <w:rPr>
          <w:rFonts w:asciiTheme="minorHAnsi" w:eastAsia="Calibri" w:hAnsiTheme="minorHAnsi" w:cstheme="minorHAnsi"/>
        </w:rPr>
      </w:pPr>
    </w:p>
    <w:p w14:paraId="00002216"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Realizar reuniones de acuerdo con lo establecido en el Contrato de Concesión. </w:t>
      </w:r>
    </w:p>
    <w:p w14:paraId="00002217"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reuniones pueden realizarse en las oficinas del CONCEDENTE, del CONCESIONARIO o de manera virtual. </w:t>
      </w:r>
    </w:p>
    <w:p w14:paraId="00002218" w14:textId="77777777" w:rsidR="00F664DB" w:rsidRPr="00285D58" w:rsidRDefault="006049C1" w:rsidP="00A3732C">
      <w:pPr>
        <w:widowControl/>
        <w:numPr>
          <w:ilvl w:val="0"/>
          <w:numId w:val="178"/>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 reunión de inicio de proyecto, así como, las reuniones periódicas de control de avance de actividades deben integrar a los especialistas del CONCESIONARIO con los especialistas del CONCEDENTE y SUPERVISOR.</w:t>
      </w:r>
    </w:p>
    <w:p w14:paraId="00002219" w14:textId="77777777" w:rsidR="00F664DB" w:rsidRPr="00285D58" w:rsidRDefault="00F664DB" w:rsidP="008D1FFF">
      <w:pPr>
        <w:spacing w:line="276" w:lineRule="auto"/>
        <w:jc w:val="both"/>
        <w:rPr>
          <w:rFonts w:asciiTheme="minorHAnsi" w:eastAsia="Calibri" w:hAnsiTheme="minorHAnsi" w:cstheme="minorHAnsi"/>
        </w:rPr>
      </w:pPr>
    </w:p>
    <w:p w14:paraId="0000221A" w14:textId="46365595"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Es responsabilidad del CONCESIONARIO proponer el número y frecuencia de las reuniones en </w:t>
      </w:r>
      <w:r w:rsidR="00D55B7A" w:rsidRPr="00285D58">
        <w:rPr>
          <w:rFonts w:asciiTheme="minorHAnsi" w:eastAsia="Calibri" w:hAnsiTheme="minorHAnsi" w:cstheme="minorHAnsi"/>
        </w:rPr>
        <w:t>su Plan</w:t>
      </w:r>
      <w:r w:rsidRPr="00285D58">
        <w:rPr>
          <w:rFonts w:asciiTheme="minorHAnsi" w:eastAsia="Calibri" w:hAnsiTheme="minorHAnsi" w:cstheme="minorHAnsi"/>
        </w:rPr>
        <w:t>, de acuerdo con las necesidades del Proyecto.</w:t>
      </w:r>
    </w:p>
    <w:p w14:paraId="0000221C"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4" w:name="_heading=h.2x6llg7" w:colFirst="0" w:colLast="0"/>
      <w:bookmarkEnd w:id="214"/>
      <w:r w:rsidRPr="00285D58">
        <w:rPr>
          <w:rFonts w:asciiTheme="minorHAnsi" w:eastAsia="Calibri" w:hAnsiTheme="minorHAnsi" w:cstheme="minorHAnsi"/>
          <w:b/>
        </w:rPr>
        <w:t>NOMENCLATURA Y METADATOS</w:t>
      </w:r>
    </w:p>
    <w:p w14:paraId="0000221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debe proponer la nomenclatura y metadatos para el Proyecto, en base a los estándares nacionales (Guía Nacional BIM) e internacionales (ISO 19650 y “Manual de Nomenclatura de documentos al utilizar BIM”, elaborado por la Building Smart), estandarizando la nomenclatura de los contenedores de información tanto en el Entorno de Datos Cumunes, los modelos BIM, los entregables BIM y la documentación generada.</w:t>
      </w:r>
    </w:p>
    <w:p w14:paraId="0000221E" w14:textId="77777777" w:rsidR="00F664DB" w:rsidRPr="00285D58" w:rsidRDefault="00F664DB" w:rsidP="008D1FFF">
      <w:pPr>
        <w:spacing w:line="276" w:lineRule="auto"/>
        <w:jc w:val="both"/>
        <w:rPr>
          <w:rFonts w:asciiTheme="minorHAnsi" w:eastAsia="Calibri" w:hAnsiTheme="minorHAnsi" w:cstheme="minorHAnsi"/>
        </w:rPr>
      </w:pPr>
    </w:p>
    <w:p w14:paraId="0000221F"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18.1 CONVENIO DE NOMENCLATURA Y METADATOS</w:t>
      </w:r>
    </w:p>
    <w:p w14:paraId="00002220" w14:textId="77777777" w:rsidR="00F664DB" w:rsidRPr="00285D58" w:rsidRDefault="00F664DB" w:rsidP="008D1FFF">
      <w:pPr>
        <w:spacing w:line="276" w:lineRule="auto"/>
        <w:jc w:val="both"/>
        <w:rPr>
          <w:rFonts w:asciiTheme="minorHAnsi" w:eastAsia="Calibri" w:hAnsiTheme="minorHAnsi" w:cstheme="minorHAnsi"/>
          <w:b/>
        </w:rPr>
      </w:pPr>
    </w:p>
    <w:p w14:paraId="00002221"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Se definirá a profundidad el componente: convenio de nomenclatura y metadatos para los contenedores de información dentro del CDE:</w:t>
      </w:r>
    </w:p>
    <w:p w14:paraId="00002222" w14:textId="77777777" w:rsidR="00F664DB" w:rsidRPr="00285D58" w:rsidRDefault="00F664DB" w:rsidP="008D1FFF">
      <w:pPr>
        <w:spacing w:line="276" w:lineRule="auto"/>
        <w:jc w:val="both"/>
        <w:rPr>
          <w:rFonts w:asciiTheme="minorHAnsi" w:eastAsia="Calibri" w:hAnsiTheme="minorHAnsi" w:cstheme="minorHAnsi"/>
        </w:rPr>
      </w:pPr>
    </w:p>
    <w:p w14:paraId="0000222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 código de estado (p.ej. S1, A1, etc.) – Un código de revisión (p.ej. P01.01) – Un código de clasificación (p.ej. PM_40_40_01: Planos 2D).</w:t>
      </w:r>
    </w:p>
    <w:p w14:paraId="00002224" w14:textId="77777777" w:rsidR="00F664DB" w:rsidRPr="00285D58" w:rsidRDefault="00F664DB" w:rsidP="008D1FFF">
      <w:pPr>
        <w:spacing w:line="276" w:lineRule="auto"/>
        <w:jc w:val="both"/>
        <w:rPr>
          <w:rFonts w:asciiTheme="minorHAnsi" w:eastAsia="Calibri" w:hAnsiTheme="minorHAnsi" w:cstheme="minorHAnsi"/>
        </w:rPr>
      </w:pPr>
    </w:p>
    <w:p w14:paraId="0000222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Sin embargo, el alcance de la asignación de metadatos puede expandirse más allá de las recomendaciones y requisitos de este documento. Por ejemplo, para incluir información centrada en Activos.</w:t>
      </w:r>
    </w:p>
    <w:p w14:paraId="00002226" w14:textId="77777777" w:rsidR="00F664DB" w:rsidRPr="00285D58" w:rsidRDefault="00F664DB" w:rsidP="008D1FFF">
      <w:pPr>
        <w:spacing w:line="276" w:lineRule="auto"/>
        <w:jc w:val="both"/>
        <w:rPr>
          <w:rFonts w:asciiTheme="minorHAnsi" w:eastAsia="Calibri" w:hAnsiTheme="minorHAnsi" w:cstheme="minorHAnsi"/>
        </w:rPr>
      </w:pPr>
    </w:p>
    <w:p w14:paraId="0000222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18.2 ESTÁNDAR DE NOMENCLATURA DE CONTENEDORES DE INFORMACIÓN</w:t>
      </w:r>
    </w:p>
    <w:p w14:paraId="00002228" w14:textId="77777777" w:rsidR="00F664DB" w:rsidRPr="00285D58" w:rsidRDefault="00F664DB" w:rsidP="008D1FFF">
      <w:pPr>
        <w:spacing w:line="276" w:lineRule="auto"/>
        <w:jc w:val="both"/>
        <w:rPr>
          <w:rFonts w:asciiTheme="minorHAnsi" w:eastAsia="Calibri" w:hAnsiTheme="minorHAnsi" w:cstheme="minorHAnsi"/>
        </w:rPr>
      </w:pPr>
    </w:p>
    <w:p w14:paraId="0000222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proyectos que se desarrollen bajo la metodología BIM, deben estandarizar una nomenclatura a nivel específico de cada proyecto. Dicha nomenclatura se debe ver reflejada y detallada dentro del Plan de Ejecución BIM (BEP) para conocimiento de todos los involucrados.</w:t>
      </w:r>
    </w:p>
    <w:p w14:paraId="0000222A" w14:textId="77777777" w:rsidR="00F664DB" w:rsidRPr="00285D58" w:rsidRDefault="00F664DB" w:rsidP="008D1FFF">
      <w:pPr>
        <w:spacing w:line="276" w:lineRule="auto"/>
        <w:jc w:val="both"/>
        <w:rPr>
          <w:rFonts w:asciiTheme="minorHAnsi" w:eastAsia="Calibri" w:hAnsiTheme="minorHAnsi" w:cstheme="minorHAnsi"/>
        </w:rPr>
      </w:pPr>
    </w:p>
    <w:p w14:paraId="0000222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En la siguiente ilustración se presenta el estándar de nomenclatura de contenedores de información que se deberá considerar como referencia en el desarrollo de los proyectos:</w:t>
      </w:r>
    </w:p>
    <w:p w14:paraId="0000222C" w14:textId="77777777" w:rsidR="00F664DB" w:rsidRPr="00285D58" w:rsidRDefault="00F664DB" w:rsidP="008D1FFF">
      <w:pPr>
        <w:spacing w:line="276" w:lineRule="auto"/>
        <w:jc w:val="both"/>
        <w:rPr>
          <w:rFonts w:asciiTheme="minorHAnsi" w:eastAsia="Calibri" w:hAnsiTheme="minorHAnsi" w:cstheme="minorHAnsi"/>
        </w:rPr>
      </w:pPr>
    </w:p>
    <w:p w14:paraId="0000222D"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Ejemplo de estándar de nomenclatura de un contenedor de información.</w:t>
      </w:r>
    </w:p>
    <w:p w14:paraId="0000222E" w14:textId="77777777" w:rsidR="00F664DB" w:rsidRPr="00285D58" w:rsidRDefault="00F664DB" w:rsidP="008D1FFF">
      <w:pPr>
        <w:spacing w:line="276" w:lineRule="auto"/>
        <w:jc w:val="both"/>
        <w:rPr>
          <w:rFonts w:asciiTheme="minorHAnsi" w:eastAsia="Calibri" w:hAnsiTheme="minorHAnsi" w:cstheme="minorHAnsi"/>
        </w:rPr>
      </w:pPr>
    </w:p>
    <w:p w14:paraId="00002230" w14:textId="584A8F2E" w:rsidR="00F664DB" w:rsidRPr="00285D58" w:rsidRDefault="006049C1" w:rsidP="008D1FFF">
      <w:pPr>
        <w:spacing w:line="276" w:lineRule="auto"/>
        <w:jc w:val="center"/>
        <w:rPr>
          <w:rFonts w:asciiTheme="minorHAnsi" w:eastAsia="Calibri" w:hAnsiTheme="minorHAnsi" w:cstheme="minorHAnsi"/>
        </w:rPr>
      </w:pPr>
      <w:r w:rsidRPr="00285D58">
        <w:rPr>
          <w:rFonts w:asciiTheme="minorHAnsi" w:eastAsia="Calibri" w:hAnsiTheme="minorHAnsi" w:cstheme="minorHAnsi"/>
          <w:noProof/>
          <w:lang w:val="es-PE"/>
        </w:rPr>
        <w:drawing>
          <wp:inline distT="0" distB="0" distL="0" distR="0" wp14:anchorId="3142344F" wp14:editId="53DD76DE">
            <wp:extent cx="5943600" cy="1492250"/>
            <wp:effectExtent l="0" t="0" r="0" b="0"/>
            <wp:docPr id="2133617446"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23"/>
                    <a:srcRect b="12117"/>
                    <a:stretch>
                      <a:fillRect/>
                    </a:stretch>
                  </pic:blipFill>
                  <pic:spPr>
                    <a:xfrm>
                      <a:off x="0" y="0"/>
                      <a:ext cx="5943600" cy="1492250"/>
                    </a:xfrm>
                    <a:prstGeom prst="rect">
                      <a:avLst/>
                    </a:prstGeom>
                    <a:ln/>
                  </pic:spPr>
                </pic:pic>
              </a:graphicData>
            </a:graphic>
          </wp:inline>
        </w:drawing>
      </w:r>
      <w:r w:rsidRPr="00285D58">
        <w:rPr>
          <w:rFonts w:asciiTheme="minorHAnsi" w:eastAsia="Calibri" w:hAnsiTheme="minorHAnsi" w:cstheme="minorHAnsi"/>
        </w:rPr>
        <w:t>Fuente: Guía Nacional BIM – Plan BIM Perú</w:t>
      </w:r>
      <w:r w:rsidR="00D55B7A" w:rsidRPr="00285D58">
        <w:rPr>
          <w:rFonts w:asciiTheme="minorHAnsi" w:eastAsia="Calibri" w:hAnsiTheme="minorHAnsi" w:cstheme="minorHAnsi"/>
        </w:rPr>
        <w:t>.</w:t>
      </w:r>
    </w:p>
    <w:p w14:paraId="00002231"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5" w:name="_heading=h.1cbvvo0" w:colFirst="0" w:colLast="0"/>
      <w:bookmarkEnd w:id="215"/>
      <w:r w:rsidRPr="00285D58">
        <w:rPr>
          <w:rFonts w:asciiTheme="minorHAnsi" w:eastAsia="Calibri" w:hAnsiTheme="minorHAnsi" w:cstheme="minorHAnsi"/>
          <w:b/>
        </w:rPr>
        <w:t>PLAZOS BIM</w:t>
      </w:r>
    </w:p>
    <w:p w14:paraId="0000223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Una vez iniciado el desarrollo del Proyecto, se procederá a elaborar los Modelos BIM, los cuales serán sometidos a revisión por parte del SUPERVISOR y CONCEDENTE al finalizar cada Entregable.</w:t>
      </w:r>
    </w:p>
    <w:p w14:paraId="00002233" w14:textId="77777777" w:rsidR="00F664DB" w:rsidRPr="00285D58" w:rsidRDefault="00F664DB" w:rsidP="008D1FFF">
      <w:pPr>
        <w:spacing w:line="276" w:lineRule="auto"/>
        <w:jc w:val="both"/>
        <w:rPr>
          <w:rFonts w:asciiTheme="minorHAnsi" w:eastAsia="Calibri" w:hAnsiTheme="minorHAnsi" w:cstheme="minorHAnsi"/>
        </w:rPr>
      </w:pPr>
    </w:p>
    <w:p w14:paraId="0000223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modelos deberán ser compartidos a través del CDE al SUPERVISOR y CONCEDENTE, el CDE es una plataforma de comunicación previamente establecida y aportada por el CONCESIONARIO, para lo cual se establecerán niveles de acceso como revisión, debiendo estar siempre accesible su contenido para el SUPERVISOR y el CONCEDENTE. El CDE es una plataforma basada en el Estándar 19650-1.</w:t>
      </w:r>
    </w:p>
    <w:p w14:paraId="00002235" w14:textId="77777777" w:rsidR="00F664DB" w:rsidRPr="00285D58" w:rsidRDefault="00F664DB" w:rsidP="008D1FFF">
      <w:pPr>
        <w:spacing w:line="276" w:lineRule="auto"/>
        <w:jc w:val="both"/>
        <w:rPr>
          <w:rFonts w:asciiTheme="minorHAnsi" w:eastAsia="Calibri" w:hAnsiTheme="minorHAnsi" w:cstheme="minorHAnsi"/>
        </w:rPr>
      </w:pPr>
    </w:p>
    <w:p w14:paraId="0000223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Durante el proceso de elaboración del EDI se realizará Reuniones ICE o Mesas de Trabajo según corresponda, para verificar la integración de las diferentes especialidades y revisar la inexistencia de interferencias entre ellas, así como para dar Ingeniería de Valor al Proyecto, estando obligado el CONCESIONARIO a realizar estas reuniones con frecuencia quincenal, según lo establecido en el Contrato de Concesión o cuando así se requiera según el avance del Proyecto.</w:t>
      </w:r>
    </w:p>
    <w:p w14:paraId="00002237" w14:textId="77777777" w:rsidR="00F664DB" w:rsidRPr="00285D58" w:rsidRDefault="00F664DB" w:rsidP="008D1FFF">
      <w:pPr>
        <w:spacing w:line="276" w:lineRule="auto"/>
        <w:jc w:val="both"/>
        <w:rPr>
          <w:rFonts w:asciiTheme="minorHAnsi" w:eastAsia="Calibri" w:hAnsiTheme="minorHAnsi" w:cstheme="minorHAnsi"/>
        </w:rPr>
      </w:pPr>
    </w:p>
    <w:p w14:paraId="0000223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Luego de las presentaciones, el SUPERVISOR verificará los análisis realizados al modelo, reportes de interferencias, reportes de cuantificación, esquemas, listados, etc. pudiendo hacer observaciones y recomendaciones. Los plazos para estas actividades deberán estar señalados en el BEP, respetando los plazos establecidos en el Contrato de Concesión y en el contrato de supervisión.</w:t>
      </w:r>
    </w:p>
    <w:p w14:paraId="0000223A"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6" w:name="_heading=h.3wbjebt" w:colFirst="0" w:colLast="0"/>
      <w:bookmarkEnd w:id="216"/>
      <w:r w:rsidRPr="00285D58">
        <w:rPr>
          <w:rFonts w:asciiTheme="minorHAnsi" w:eastAsia="Calibri" w:hAnsiTheme="minorHAnsi" w:cstheme="minorHAnsi"/>
          <w:b/>
        </w:rPr>
        <w:t>FLUJOS BIM RECOMENDADOS</w:t>
      </w:r>
    </w:p>
    <w:p w14:paraId="0000223B"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continuación, se describen los flujos de trabajo, técnicas de modelado, organización de vistas, etc. recomendados. El CONCESIONARIO deberá precisarlas en su Plan de Ejecución BIM (BEP) y respetarlas a lo largo del Proyecto a fin de mantener una estructura y configuración única y uniforme, debiendo brindar todas las facilidades al SUPERVISOR y CONCEDENTE a fin de que verifique su cumplimiento y otorgue su aprobación según corresponda.</w:t>
      </w:r>
    </w:p>
    <w:p w14:paraId="0000223C" w14:textId="77777777" w:rsidR="00F664DB" w:rsidRPr="00285D58" w:rsidRDefault="00F664DB" w:rsidP="008D1FFF">
      <w:pPr>
        <w:spacing w:line="276" w:lineRule="auto"/>
        <w:jc w:val="both"/>
        <w:rPr>
          <w:rFonts w:asciiTheme="minorHAnsi" w:eastAsia="Calibri" w:hAnsiTheme="minorHAnsi" w:cstheme="minorHAnsi"/>
        </w:rPr>
      </w:pPr>
    </w:p>
    <w:p w14:paraId="0000223D"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20.1 CONTROL DE DESARROLLO DEL MODELO</w:t>
      </w:r>
    </w:p>
    <w:p w14:paraId="0000223E" w14:textId="77777777" w:rsidR="00F664DB" w:rsidRPr="00285D58" w:rsidRDefault="00F664DB" w:rsidP="008D1FFF">
      <w:pPr>
        <w:spacing w:line="276" w:lineRule="auto"/>
        <w:jc w:val="both"/>
        <w:rPr>
          <w:rFonts w:asciiTheme="minorHAnsi" w:eastAsia="Calibri" w:hAnsiTheme="minorHAnsi" w:cstheme="minorHAnsi"/>
          <w:b/>
        </w:rPr>
      </w:pPr>
    </w:p>
    <w:p w14:paraId="0000223F"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desarrollo del Control de Avance del Proyecto realizado por el CONCESIONARIO será evaluado de acuerdo con el Nivel de Desarrollo definido en el Plan de Ejecución BIM (BEP), ya que esto permitirá evaluar de forma exacta la cantidad y calidad del Modelo BIM.</w:t>
      </w:r>
    </w:p>
    <w:p w14:paraId="00002240" w14:textId="77777777" w:rsidR="00F664DB" w:rsidRPr="00285D58" w:rsidRDefault="00F664DB" w:rsidP="008D1FFF">
      <w:pPr>
        <w:spacing w:line="276" w:lineRule="auto"/>
        <w:jc w:val="both"/>
        <w:rPr>
          <w:rFonts w:asciiTheme="minorHAnsi" w:eastAsia="Calibri" w:hAnsiTheme="minorHAnsi" w:cstheme="minorHAnsi"/>
        </w:rPr>
      </w:pPr>
    </w:p>
    <w:p w14:paraId="00002241"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20.2 FLUJOS DE TRABAJO BIM</w:t>
      </w:r>
    </w:p>
    <w:p w14:paraId="00002242" w14:textId="77777777" w:rsidR="00F664DB" w:rsidRPr="00285D58" w:rsidRDefault="00F664DB" w:rsidP="008D1FFF">
      <w:pPr>
        <w:spacing w:line="276" w:lineRule="auto"/>
        <w:jc w:val="both"/>
        <w:rPr>
          <w:rFonts w:asciiTheme="minorHAnsi" w:eastAsia="Calibri" w:hAnsiTheme="minorHAnsi" w:cstheme="minorHAnsi"/>
        </w:rPr>
      </w:pPr>
    </w:p>
    <w:p w14:paraId="00002243"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Los siguientes son los Flujos de Trabajo BIM sugeridos para el inicio del desarrollo del Proyecto, sin embargo, no son los únicos que el CONCESIONARIO debería de desarrollar. Puede plantearse otras formas de realizar lo solicitado, pero deben definirse en el Plan de Ejecución BIM (BEP).</w:t>
      </w:r>
    </w:p>
    <w:p w14:paraId="00002244" w14:textId="77777777" w:rsidR="00F664DB" w:rsidRPr="00285D58" w:rsidRDefault="00F664DB" w:rsidP="008D1FFF">
      <w:pPr>
        <w:spacing w:line="276" w:lineRule="auto"/>
        <w:jc w:val="both"/>
        <w:rPr>
          <w:rFonts w:asciiTheme="minorHAnsi" w:eastAsia="Calibri" w:hAnsiTheme="minorHAnsi" w:cstheme="minorHAnsi"/>
        </w:rPr>
      </w:pPr>
    </w:p>
    <w:p w14:paraId="00002245"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Se desarrollará el Plan de Ejecución BIM (BEP), luego será revisado por el SUPERVISOR, se realizará Reuniones ICE donde el Coordinador BIM expondrá el contenido del BEP y se aprobará por el CONCEDENTE previa opinión favorable del SUPERVISOR. </w:t>
      </w:r>
    </w:p>
    <w:p w14:paraId="00002246" w14:textId="3F63AB68"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Arquitectura desarrolla un planteamiento de diseño basado en la Programación Espacial / Requerimiento de Áreas del Proyecto y que incluirá ciertos elementos estructurales (placas, columnas, losas, etc). </w:t>
      </w:r>
    </w:p>
    <w:p w14:paraId="00002247"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Una vez el diseño haya alcanzado un grado de madurez, este será compartido con la Especialidad de Estructuras. </w:t>
      </w:r>
    </w:p>
    <w:p w14:paraId="00002248"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Estructuras desarrollará, a partir de la versión del Modelo entregado por la Especialidad de Arquitectura, su planteamiento Estructural. El </w:t>
      </w:r>
      <w:r w:rsidRPr="00285D58">
        <w:rPr>
          <w:rFonts w:asciiTheme="minorHAnsi" w:eastAsia="Calibri" w:hAnsiTheme="minorHAnsi" w:cstheme="minorHAnsi"/>
          <w:color w:val="000000"/>
        </w:rPr>
        <w:lastRenderedPageBreak/>
        <w:t xml:space="preserve">Modelo estructural recogerá los elementos estructurales planteados por la Especialidad de Arquitectura y los redimensionará y/o adicionará a estos más elementos estructurales (vigas, cimientos, etc.) si fuera necesario. </w:t>
      </w:r>
    </w:p>
    <w:p w14:paraId="00002249"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Una vez que el diseño ha alcanzado un grado de madurez, este será compartido de regreso con la Especialidad de Arquitectura. </w:t>
      </w:r>
    </w:p>
    <w:p w14:paraId="0000224A"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 Especialidad de Arquitectura vinculará el Modelo Estructural y eliminará todas aquellas instancias estructurales originalmente planteadas. </w:t>
      </w:r>
    </w:p>
    <w:p w14:paraId="0000224B"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Ambas Especialidades, Arquitectura y Estructuras, se coordinarán para confirmar sus planteamientos de diseño. </w:t>
      </w:r>
    </w:p>
    <w:p w14:paraId="0000224C"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Los modelos de las Especialidades de Arquitectura y Estructuras serán compartidos con las Especialidades de Instalaciones y Equipamiento para que estas inicien su diseño. </w:t>
      </w:r>
    </w:p>
    <w:p w14:paraId="0000224D"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Especialidades de Instalaciones y Equipamiento iniciarán su diseño mediante el desarrollo de los Equipos, Montantes y Redes Principales. </w:t>
      </w:r>
    </w:p>
    <w:p w14:paraId="0000224E"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Todas las Especialidades participarán en una Reunión ICE, verificarán que los Equipos, Montantes y Redes Principales no interfieren con el diseño planteado por las Especialidades de Arquitectura y Estructuras.</w:t>
      </w:r>
    </w:p>
    <w:p w14:paraId="0000224F"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Las Especialidades de Instalaciones y Equipamiento seguirán su proceso de diseño mediante el desarrollo de las Redes Secundarias. </w:t>
      </w:r>
    </w:p>
    <w:p w14:paraId="00002250" w14:textId="77777777" w:rsidR="00F664DB" w:rsidRPr="00285D58" w:rsidRDefault="006049C1" w:rsidP="00A3732C">
      <w:pPr>
        <w:widowControl/>
        <w:numPr>
          <w:ilvl w:val="0"/>
          <w:numId w:val="153"/>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Las Reuniones ICE se desarrollarán con frecuencia quincenal para revisar los avances del Proyecto. Se recomienda que estas reuniones sean virtuales y se utilicen las plataformas del Entorno de Datos Comunes (CDE) para la visualización de los modelos y la documentación.</w:t>
      </w:r>
    </w:p>
    <w:p w14:paraId="00002251" w14:textId="77777777" w:rsidR="00F664DB" w:rsidRPr="00285D58" w:rsidRDefault="00F664DB" w:rsidP="008D1FFF">
      <w:pPr>
        <w:spacing w:line="276" w:lineRule="auto"/>
        <w:jc w:val="both"/>
        <w:rPr>
          <w:rFonts w:asciiTheme="minorHAnsi" w:eastAsia="Calibri" w:hAnsiTheme="minorHAnsi" w:cstheme="minorHAnsi"/>
        </w:rPr>
      </w:pPr>
    </w:p>
    <w:p w14:paraId="00002252"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20.3 ORGANIZACIÓN DE VISTAS</w:t>
      </w:r>
    </w:p>
    <w:p w14:paraId="00002253" w14:textId="77777777" w:rsidR="00F664DB" w:rsidRPr="00285D58" w:rsidRDefault="00F664DB" w:rsidP="008D1FFF">
      <w:pPr>
        <w:spacing w:line="276" w:lineRule="auto"/>
        <w:jc w:val="both"/>
        <w:rPr>
          <w:rFonts w:asciiTheme="minorHAnsi" w:eastAsia="Calibri" w:hAnsiTheme="minorHAnsi" w:cstheme="minorHAnsi"/>
        </w:rPr>
      </w:pPr>
    </w:p>
    <w:p w14:paraId="0000225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organizar toda la información de Vistas (2D y 3D) contenida en el Modelo mediante una codificación y estandarización de nombres que permita la identificación de las vistas de manera rápida y ordenada, separando las vistas que son de trabajo y las vistas que son las usadas para las entregas. Se recomienda que las vistas sean nombradas de manera alfanumérica para que el orden de estas se genere de manera automática.</w:t>
      </w:r>
    </w:p>
    <w:p w14:paraId="00002255" w14:textId="77777777" w:rsidR="00F664DB" w:rsidRPr="00285D58" w:rsidRDefault="00F664DB" w:rsidP="008D1FFF">
      <w:pPr>
        <w:spacing w:line="276" w:lineRule="auto"/>
        <w:jc w:val="both"/>
        <w:rPr>
          <w:rFonts w:asciiTheme="minorHAnsi" w:eastAsia="Calibri" w:hAnsiTheme="minorHAnsi" w:cstheme="minorHAnsi"/>
        </w:rPr>
      </w:pPr>
    </w:p>
    <w:p w14:paraId="00002256"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20.4 TÉCNICAS DE MODELADO</w:t>
      </w:r>
    </w:p>
    <w:p w14:paraId="00002257" w14:textId="77777777" w:rsidR="00F664DB" w:rsidRPr="00285D58" w:rsidRDefault="00F664DB" w:rsidP="008D1FFF">
      <w:pPr>
        <w:spacing w:line="276" w:lineRule="auto"/>
        <w:jc w:val="both"/>
        <w:rPr>
          <w:rFonts w:asciiTheme="minorHAnsi" w:eastAsia="Calibri" w:hAnsiTheme="minorHAnsi" w:cstheme="minorHAnsi"/>
        </w:rPr>
      </w:pPr>
    </w:p>
    <w:p w14:paraId="00002258"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es responsable de generar los Modelos BIM de las diferentes especialidades que forman este Proyecto. Esto es crucial para el correcto metrado de los mismos y futuras entregas de construcción. El CONCESIONARIO deberá presentar las técnicas de modelado en el Plan de Ejecución BIM (BEP), las cuales serán revisadas por el SUPERVISOR y CONCEDENTE.</w:t>
      </w:r>
    </w:p>
    <w:p w14:paraId="00002259" w14:textId="77777777" w:rsidR="00F664DB" w:rsidRPr="00285D58" w:rsidRDefault="00F664DB" w:rsidP="008D1FFF">
      <w:pPr>
        <w:spacing w:line="276" w:lineRule="auto"/>
        <w:jc w:val="both"/>
        <w:rPr>
          <w:rFonts w:asciiTheme="minorHAnsi" w:eastAsia="Calibri" w:hAnsiTheme="minorHAnsi" w:cstheme="minorHAnsi"/>
        </w:rPr>
      </w:pPr>
    </w:p>
    <w:p w14:paraId="0000225A"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20.5 COORDENADAS Y UBICACIÓN GEOGRÁFICA</w:t>
      </w:r>
    </w:p>
    <w:p w14:paraId="0000225B" w14:textId="77777777" w:rsidR="00F664DB" w:rsidRPr="00285D58" w:rsidRDefault="00F664DB" w:rsidP="008D1FFF">
      <w:pPr>
        <w:spacing w:line="276" w:lineRule="auto"/>
        <w:jc w:val="both"/>
        <w:rPr>
          <w:rFonts w:asciiTheme="minorHAnsi" w:eastAsia="Calibri" w:hAnsiTheme="minorHAnsi" w:cstheme="minorHAnsi"/>
        </w:rPr>
      </w:pPr>
    </w:p>
    <w:p w14:paraId="0000225C"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En el caso que se vinculen modelos en un único proyecto, se deberá utilizar coordenadas </w:t>
      </w:r>
      <w:r w:rsidRPr="00285D58">
        <w:rPr>
          <w:rFonts w:asciiTheme="minorHAnsi" w:eastAsia="Calibri" w:hAnsiTheme="minorHAnsi" w:cstheme="minorHAnsi"/>
        </w:rPr>
        <w:lastRenderedPageBreak/>
        <w:t>compartidas para establecer la posición de los archivos relacionados entre sí. Las coordenadas compartidas deben provenir de los BM del levantamiento topográfico.</w:t>
      </w:r>
    </w:p>
    <w:p w14:paraId="0000225D" w14:textId="77777777" w:rsidR="00F664DB" w:rsidRPr="00285D58" w:rsidRDefault="00F664DB" w:rsidP="008D1FFF">
      <w:pPr>
        <w:spacing w:line="276" w:lineRule="auto"/>
        <w:jc w:val="both"/>
        <w:rPr>
          <w:rFonts w:asciiTheme="minorHAnsi" w:eastAsia="Calibri" w:hAnsiTheme="minorHAnsi" w:cstheme="minorHAnsi"/>
        </w:rPr>
      </w:pPr>
    </w:p>
    <w:p w14:paraId="0000225E"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modelo deberá precisar la ubicación geográfica y también las estaciones meteorológicas en caso se realice modelo de análisis energético.</w:t>
      </w:r>
    </w:p>
    <w:p w14:paraId="0000225F" w14:textId="77777777" w:rsidR="00F664DB" w:rsidRPr="00285D58" w:rsidRDefault="00F664DB" w:rsidP="008D1FFF">
      <w:pPr>
        <w:spacing w:line="276" w:lineRule="auto"/>
        <w:jc w:val="both"/>
        <w:rPr>
          <w:rFonts w:asciiTheme="minorHAnsi" w:eastAsia="Calibri" w:hAnsiTheme="minorHAnsi" w:cstheme="minorHAnsi"/>
        </w:rPr>
      </w:pPr>
    </w:p>
    <w:p w14:paraId="0000226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20.6 INTERFERENCIAS</w:t>
      </w:r>
    </w:p>
    <w:p w14:paraId="00002261" w14:textId="77777777" w:rsidR="00F664DB" w:rsidRPr="00285D58" w:rsidRDefault="00F664DB" w:rsidP="008D1FFF">
      <w:pPr>
        <w:spacing w:line="276" w:lineRule="auto"/>
        <w:jc w:val="both"/>
        <w:rPr>
          <w:rFonts w:asciiTheme="minorHAnsi" w:eastAsia="Calibri" w:hAnsiTheme="minorHAnsi" w:cstheme="minorHAnsi"/>
        </w:rPr>
      </w:pPr>
    </w:p>
    <w:p w14:paraId="0000226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Es responsabilidad del CONCESIONARIO generar Reportes de Interferencias bajo el esquema de colores de las herramientas de coordinación del Entorno Común de Datos, para facilitar la identificación de los diferentes sistemas y/o elementos del Modelo para la Generación de Reportes de Interferencias en la plataforma que considere necesario. El CONCESIONARIO deberá proponer el esquema de colores es referencial en el BEP y deberá ser validada por el SUPERVISOR y CONCEDENTE.</w:t>
      </w:r>
    </w:p>
    <w:p w14:paraId="00002264" w14:textId="77777777" w:rsidR="00F664DB" w:rsidRPr="00285D58" w:rsidRDefault="006049C1" w:rsidP="008D1FFF">
      <w:pPr>
        <w:keepNext/>
        <w:keepLines/>
        <w:spacing w:before="360" w:after="80" w:line="276" w:lineRule="auto"/>
        <w:ind w:left="1560" w:hanging="360"/>
        <w:jc w:val="both"/>
        <w:rPr>
          <w:rFonts w:asciiTheme="minorHAnsi" w:eastAsia="Calibri" w:hAnsiTheme="minorHAnsi" w:cstheme="minorHAnsi"/>
          <w:b/>
        </w:rPr>
      </w:pPr>
      <w:bookmarkStart w:id="217" w:name="_heading=h.2bgtojm" w:colFirst="0" w:colLast="0"/>
      <w:bookmarkEnd w:id="217"/>
      <w:r w:rsidRPr="00285D58">
        <w:rPr>
          <w:rFonts w:asciiTheme="minorHAnsi" w:eastAsia="Calibri" w:hAnsiTheme="minorHAnsi" w:cstheme="minorHAnsi"/>
          <w:b/>
        </w:rPr>
        <w:t>CONTROL DE CALIDAD</w:t>
      </w:r>
    </w:p>
    <w:p w14:paraId="00002265"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Líder BIM del CONCESIONARIO y del SUPERVISOR deberán realizar Controles de Calidad de los diferentes Modelos que forman parte de este Proyecto para verificar su integridad, conforme se desarrolla el Proceso de Diseño.</w:t>
      </w:r>
    </w:p>
    <w:p w14:paraId="00002266" w14:textId="77777777" w:rsidR="00F664DB" w:rsidRPr="00285D58" w:rsidRDefault="00F664DB" w:rsidP="008D1FFF">
      <w:pPr>
        <w:spacing w:line="276" w:lineRule="auto"/>
        <w:jc w:val="both"/>
        <w:rPr>
          <w:rFonts w:asciiTheme="minorHAnsi" w:eastAsia="Calibri" w:hAnsiTheme="minorHAnsi" w:cstheme="minorHAnsi"/>
        </w:rPr>
      </w:pPr>
    </w:p>
    <w:p w14:paraId="00002267"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21.1 REPORTE DE AUDITORIA BIM</w:t>
      </w:r>
    </w:p>
    <w:p w14:paraId="00002268" w14:textId="77777777" w:rsidR="00F664DB" w:rsidRPr="00285D58" w:rsidRDefault="00F664DB" w:rsidP="008D1FFF">
      <w:pPr>
        <w:spacing w:line="276" w:lineRule="auto"/>
        <w:jc w:val="both"/>
        <w:rPr>
          <w:rFonts w:asciiTheme="minorHAnsi" w:eastAsia="Calibri" w:hAnsiTheme="minorHAnsi" w:cstheme="minorHAnsi"/>
        </w:rPr>
      </w:pPr>
    </w:p>
    <w:p w14:paraId="00002269"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Coordinador BIM generará Reportes de Auditoria BIM, que incluirán lo siguiente:</w:t>
      </w:r>
    </w:p>
    <w:p w14:paraId="0000226A" w14:textId="77777777" w:rsidR="00F664DB" w:rsidRPr="00285D58" w:rsidRDefault="00F664DB" w:rsidP="008D1FFF">
      <w:pPr>
        <w:spacing w:line="276" w:lineRule="auto"/>
        <w:jc w:val="both"/>
        <w:rPr>
          <w:rFonts w:asciiTheme="minorHAnsi" w:eastAsia="Calibri" w:hAnsiTheme="minorHAnsi" w:cstheme="minorHAnsi"/>
        </w:rPr>
      </w:pPr>
    </w:p>
    <w:p w14:paraId="0000226B"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Inspección visual</w:t>
      </w:r>
    </w:p>
    <w:p w14:paraId="0000226C"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Integridad del Modelo</w:t>
      </w:r>
    </w:p>
    <w:p w14:paraId="0000226D"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Duplicado de Elementos</w:t>
      </w:r>
    </w:p>
    <w:p w14:paraId="0000226E" w14:textId="77777777" w:rsidR="00F664DB" w:rsidRPr="00285D58" w:rsidRDefault="006049C1" w:rsidP="00A3732C">
      <w:pPr>
        <w:widowControl/>
        <w:numPr>
          <w:ilvl w:val="0"/>
          <w:numId w:val="175"/>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Estándares BIM</w:t>
      </w:r>
    </w:p>
    <w:p w14:paraId="0000226F" w14:textId="77777777" w:rsidR="00F664DB" w:rsidRPr="00285D58" w:rsidRDefault="00F664DB" w:rsidP="008D1FFF">
      <w:pPr>
        <w:spacing w:line="276" w:lineRule="auto"/>
        <w:jc w:val="both"/>
        <w:rPr>
          <w:rFonts w:asciiTheme="minorHAnsi" w:eastAsia="Calibri" w:hAnsiTheme="minorHAnsi" w:cstheme="minorHAnsi"/>
        </w:rPr>
      </w:pPr>
    </w:p>
    <w:p w14:paraId="00002270" w14:textId="77777777" w:rsidR="00F664DB" w:rsidRPr="00285D58" w:rsidRDefault="006049C1" w:rsidP="008D1FFF">
      <w:pPr>
        <w:spacing w:line="276" w:lineRule="auto"/>
        <w:jc w:val="both"/>
        <w:rPr>
          <w:rFonts w:asciiTheme="minorHAnsi" w:eastAsia="Calibri" w:hAnsiTheme="minorHAnsi" w:cstheme="minorHAnsi"/>
          <w:b/>
        </w:rPr>
      </w:pPr>
      <w:r w:rsidRPr="00285D58">
        <w:rPr>
          <w:rFonts w:asciiTheme="minorHAnsi" w:eastAsia="Calibri" w:hAnsiTheme="minorHAnsi" w:cstheme="minorHAnsi"/>
          <w:b/>
        </w:rPr>
        <w:t>21.2 REPORTES DE INTERFERENCIAS</w:t>
      </w:r>
    </w:p>
    <w:p w14:paraId="00002271" w14:textId="77777777" w:rsidR="00F664DB" w:rsidRPr="00285D58" w:rsidRDefault="00F664DB" w:rsidP="008D1FFF">
      <w:pPr>
        <w:spacing w:line="276" w:lineRule="auto"/>
        <w:jc w:val="both"/>
        <w:rPr>
          <w:rFonts w:asciiTheme="minorHAnsi" w:eastAsia="Calibri" w:hAnsiTheme="minorHAnsi" w:cstheme="minorHAnsi"/>
        </w:rPr>
      </w:pPr>
    </w:p>
    <w:p w14:paraId="00002272"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A lo largo del proceso de elaboración del Estudio Definitivo de Ingeniería se generarán Reportes de Interferencias, los cuales serán la base de las Reuniones de Ingeniería Concurrente Integrada (ICE) para la revisión y análisis correspondiente por parte de los especialistas involucrados a fin de tener conocimiento de cómo se están identificando y levantando las Interferencias por parte del CONCESIONARIO, a fin de brindar soporte técnico, de ser el caso, para la rápida absolución de interferencias críticas.</w:t>
      </w:r>
    </w:p>
    <w:p w14:paraId="00002273" w14:textId="77777777" w:rsidR="00F664DB" w:rsidRPr="00285D58" w:rsidRDefault="00F664DB" w:rsidP="008D1FFF">
      <w:pPr>
        <w:spacing w:line="276" w:lineRule="auto"/>
        <w:jc w:val="both"/>
        <w:rPr>
          <w:rFonts w:asciiTheme="minorHAnsi" w:eastAsia="Calibri" w:hAnsiTheme="minorHAnsi" w:cstheme="minorHAnsi"/>
        </w:rPr>
      </w:pPr>
    </w:p>
    <w:p w14:paraId="00002274"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No se trata de un Entregable; sin embargo, durante las Reuniones ICE, el CONCESIONARIO presentará los Reportes que muestren el levantamiento de las interferencias en un formato definido por las partes, siendo que, al concluir el Estudio Definitivo de Ingeniería, éste deberá estar libre de </w:t>
      </w:r>
      <w:r w:rsidRPr="00285D58">
        <w:rPr>
          <w:rFonts w:asciiTheme="minorHAnsi" w:eastAsia="Calibri" w:hAnsiTheme="minorHAnsi" w:cstheme="minorHAnsi"/>
        </w:rPr>
        <w:lastRenderedPageBreak/>
        <w:t>interferencias.</w:t>
      </w:r>
    </w:p>
    <w:p w14:paraId="00002275" w14:textId="77777777" w:rsidR="00F664DB" w:rsidRPr="00285D58" w:rsidRDefault="00F664DB" w:rsidP="008D1FFF">
      <w:pPr>
        <w:spacing w:line="276" w:lineRule="auto"/>
        <w:jc w:val="both"/>
        <w:rPr>
          <w:rFonts w:asciiTheme="minorHAnsi" w:eastAsia="Calibri" w:hAnsiTheme="minorHAnsi" w:cstheme="minorHAnsi"/>
        </w:rPr>
      </w:pPr>
    </w:p>
    <w:p w14:paraId="00002276"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reporte deberá estar acompañado del modelo federado del que se extrae el reporte.</w:t>
      </w:r>
    </w:p>
    <w:p w14:paraId="00002277" w14:textId="77777777" w:rsidR="00F664DB"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puede hacer sus revisiones en la plataforma que considere necesario. El CONCEDENTE y SUPERVISOR utilizarán el CDE u otra plataforma de vinculación directa con el modelo BIM para realizar las revisiones del modelo y otros datos en tiempo real y en los momentos que consideren necesario.</w:t>
      </w:r>
    </w:p>
    <w:p w14:paraId="00002278" w14:textId="77777777" w:rsidR="00F664DB" w:rsidRPr="00285D58" w:rsidRDefault="00F664DB" w:rsidP="008D1FFF">
      <w:pPr>
        <w:spacing w:line="276" w:lineRule="auto"/>
        <w:jc w:val="both"/>
        <w:rPr>
          <w:rFonts w:asciiTheme="minorHAnsi" w:eastAsia="Calibri" w:hAnsiTheme="minorHAnsi" w:cstheme="minorHAnsi"/>
        </w:rPr>
      </w:pPr>
    </w:p>
    <w:p w14:paraId="392E0F05" w14:textId="60FB7F43" w:rsidR="003D1507" w:rsidRPr="00285D58" w:rsidRDefault="006049C1" w:rsidP="008D1FFF">
      <w:pPr>
        <w:spacing w:line="276" w:lineRule="auto"/>
        <w:jc w:val="both"/>
        <w:rPr>
          <w:rFonts w:asciiTheme="minorHAnsi" w:eastAsia="Calibri" w:hAnsiTheme="minorHAnsi" w:cstheme="minorHAnsi"/>
        </w:rPr>
      </w:pPr>
      <w:r w:rsidRPr="00285D58">
        <w:rPr>
          <w:rFonts w:asciiTheme="minorHAnsi" w:eastAsia="Calibri" w:hAnsiTheme="minorHAnsi" w:cstheme="minorHAnsi"/>
        </w:rPr>
        <w:t>El CONCESIONARIO no puede limitar las revisiones del SUPERVISOR y CONCEDENTE.</w:t>
      </w:r>
    </w:p>
    <w:p w14:paraId="2B4E284C" w14:textId="77777777" w:rsidR="003D1507" w:rsidRPr="00285D58" w:rsidRDefault="003D1507"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3E40BFF5" w14:textId="2582327E" w:rsidR="009F2B65" w:rsidRPr="00285D58" w:rsidRDefault="009F2B65" w:rsidP="008D1FFF">
      <w:pPr>
        <w:pStyle w:val="Ttulo1"/>
        <w:spacing w:before="1" w:line="276" w:lineRule="auto"/>
        <w:jc w:val="both"/>
        <w:rPr>
          <w:rFonts w:asciiTheme="minorHAnsi" w:eastAsia="Calibri" w:hAnsiTheme="minorHAnsi" w:cstheme="minorHAnsi"/>
          <w:b/>
          <w:color w:val="1F4E79"/>
          <w:sz w:val="24"/>
          <w:szCs w:val="24"/>
          <w:u w:val="single"/>
        </w:rPr>
      </w:pPr>
      <w:bookmarkStart w:id="218" w:name="_heading=h.4i7ojhp" w:colFirst="0" w:colLast="0"/>
      <w:bookmarkStart w:id="219" w:name="_Toc193979287"/>
      <w:bookmarkEnd w:id="218"/>
      <w:r w:rsidRPr="00285D58">
        <w:rPr>
          <w:rFonts w:asciiTheme="minorHAnsi" w:eastAsia="Calibri" w:hAnsiTheme="minorHAnsi" w:cstheme="minorHAnsi"/>
          <w:b/>
          <w:color w:val="1F4E79"/>
          <w:sz w:val="24"/>
          <w:szCs w:val="24"/>
          <w:u w:val="single"/>
        </w:rPr>
        <w:lastRenderedPageBreak/>
        <w:t>ANEXO 09: NIVELES DE SERVICIO</w:t>
      </w:r>
      <w:bookmarkEnd w:id="219"/>
    </w:p>
    <w:p w14:paraId="5510E06F" w14:textId="77777777" w:rsidR="009F2B65" w:rsidRPr="00285D58" w:rsidRDefault="009F2B65" w:rsidP="008D1FFF">
      <w:pPr>
        <w:spacing w:line="276" w:lineRule="auto"/>
        <w:jc w:val="both"/>
        <w:rPr>
          <w:rFonts w:asciiTheme="minorHAnsi" w:hAnsiTheme="minorHAnsi" w:cstheme="minorHAnsi"/>
          <w:b/>
          <w:bCs/>
          <w:lang w:val="es-PE"/>
        </w:rPr>
      </w:pPr>
    </w:p>
    <w:p w14:paraId="037EF8A4"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INTRODUCCIÓN </w:t>
      </w:r>
    </w:p>
    <w:p w14:paraId="391557C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objetivo de este Anexo es establecer los Niveles de Servicio mínimos, junto con los Indicadores y procedimientos para el control de la prestación de los Servicios Obligatorios a cargo del CONCESIONARIO, a partir de la Puesta en Marcha y durante el Plazo de la Concesión. Todo ello con la finalidad de garantizar la calidad, seguridad, regularidad, capacidad y confort de los servicios ofrecidos.</w:t>
      </w:r>
    </w:p>
    <w:p w14:paraId="02D59A4E" w14:textId="77777777" w:rsidR="009F2B65" w:rsidRPr="00285D58" w:rsidRDefault="009F2B65" w:rsidP="008D1FFF">
      <w:pPr>
        <w:spacing w:line="276" w:lineRule="auto"/>
        <w:jc w:val="both"/>
        <w:rPr>
          <w:rFonts w:asciiTheme="minorHAnsi" w:hAnsiTheme="minorHAnsi" w:cstheme="minorHAnsi"/>
          <w:lang w:val="es-PE"/>
        </w:rPr>
      </w:pPr>
    </w:p>
    <w:p w14:paraId="578D657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incumplimiento de los Niveles de Servicio y de los Indicadores establecidos en el presente Anexo, conllevará a la aplicación de deducciones al Pago por Disponibilidad (PPD), sin perjuicio de otras consecuencias derivadas del Contrato. </w:t>
      </w:r>
    </w:p>
    <w:p w14:paraId="667AA335" w14:textId="77777777" w:rsidR="009F2B65" w:rsidRPr="00285D58" w:rsidRDefault="009F2B65" w:rsidP="008D1FFF">
      <w:pPr>
        <w:spacing w:line="276" w:lineRule="auto"/>
        <w:jc w:val="both"/>
        <w:rPr>
          <w:rFonts w:asciiTheme="minorHAnsi" w:hAnsiTheme="minorHAnsi" w:cstheme="minorHAnsi"/>
          <w:b/>
          <w:bCs/>
          <w:lang w:val="es-PE"/>
        </w:rPr>
      </w:pPr>
    </w:p>
    <w:p w14:paraId="09D40757"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SERVICIOS OBLIGATORIOS A CARGO DEL CONCESIONARIO </w:t>
      </w:r>
    </w:p>
    <w:p w14:paraId="262A5B57"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Durante la Operación del Proyecto el CONCESIONARIO deberá prestar los siguientes Servicios Obligatorios: </w:t>
      </w:r>
    </w:p>
    <w:p w14:paraId="41FEDE10" w14:textId="77777777" w:rsidR="009F2B65" w:rsidRPr="00285D58" w:rsidRDefault="009F2B65" w:rsidP="008D1FFF">
      <w:pPr>
        <w:spacing w:line="276" w:lineRule="auto"/>
        <w:jc w:val="both"/>
        <w:rPr>
          <w:rFonts w:asciiTheme="minorHAnsi" w:hAnsiTheme="minorHAnsi" w:cstheme="minorHAnsi"/>
          <w:b/>
          <w:bCs/>
          <w:lang w:val="es-PE"/>
        </w:rPr>
      </w:pPr>
    </w:p>
    <w:p w14:paraId="6999F443" w14:textId="3C81B913"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Conservación y Mantenimiento: </w:t>
      </w:r>
      <w:r w:rsidRPr="00285D58">
        <w:rPr>
          <w:rFonts w:asciiTheme="minorHAnsi" w:hAnsiTheme="minorHAnsi" w:cstheme="minorHAnsi"/>
          <w:lang w:val="es-PE"/>
        </w:rPr>
        <w:t>Comprende las labores y actividades de Conservación y Mantenimiento de las Obras (Estaciones Centrales, Estaciones del Teleférico</w:t>
      </w:r>
      <w:r w:rsidR="003E4A98" w:rsidRPr="00285D58">
        <w:rPr>
          <w:rFonts w:asciiTheme="minorHAnsi" w:hAnsiTheme="minorHAnsi" w:cstheme="minorHAnsi"/>
          <w:lang w:val="es-PE"/>
        </w:rPr>
        <w:t xml:space="preserve">, </w:t>
      </w:r>
      <w:r w:rsidRPr="00285D58">
        <w:rPr>
          <w:rFonts w:asciiTheme="minorHAnsi" w:hAnsiTheme="minorHAnsi" w:cstheme="minorHAnsi"/>
          <w:lang w:val="es-PE"/>
        </w:rPr>
        <w:t>Vías Turísticas</w:t>
      </w:r>
      <w:r w:rsidR="003E4A98" w:rsidRPr="00285D58">
        <w:rPr>
          <w:rFonts w:asciiTheme="minorHAnsi" w:hAnsiTheme="minorHAnsi" w:cstheme="minorHAnsi"/>
          <w:lang w:val="es-PE"/>
        </w:rPr>
        <w:t xml:space="preserve"> y Caminos Peatonales</w:t>
      </w:r>
      <w:r w:rsidRPr="00285D58">
        <w:rPr>
          <w:rFonts w:asciiTheme="minorHAnsi" w:hAnsiTheme="minorHAnsi" w:cstheme="minorHAnsi"/>
          <w:lang w:val="es-PE"/>
        </w:rPr>
        <w:t xml:space="preserve">), del Equipamiento Electromecánico (Cables, Cabinas, Pinzas, etc.) y de los Buses con los siguientes métodos: </w:t>
      </w:r>
    </w:p>
    <w:p w14:paraId="523C901F"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Mantenimiento Preventivo (actividades rutinarias o periódicas) </w:t>
      </w:r>
    </w:p>
    <w:p w14:paraId="7871D0AC"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Mantenimiento Correctivo</w:t>
      </w:r>
    </w:p>
    <w:p w14:paraId="415F4767"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Reposición de Insumos y Componentes </w:t>
      </w:r>
    </w:p>
    <w:p w14:paraId="7F430A10" w14:textId="77777777" w:rsidR="009F2B65" w:rsidRPr="00285D58" w:rsidRDefault="009F2B65" w:rsidP="00A3732C">
      <w:pPr>
        <w:widowControl/>
        <w:numPr>
          <w:ilvl w:val="0"/>
          <w:numId w:val="236"/>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Reposición de Bienes y Mobiliario </w:t>
      </w:r>
    </w:p>
    <w:p w14:paraId="49E60B3D" w14:textId="77777777" w:rsidR="009F2B65" w:rsidRPr="00285D58" w:rsidRDefault="009F2B65" w:rsidP="008D1FFF">
      <w:pPr>
        <w:spacing w:line="276" w:lineRule="auto"/>
        <w:jc w:val="both"/>
        <w:rPr>
          <w:rFonts w:asciiTheme="minorHAnsi" w:hAnsiTheme="minorHAnsi" w:cstheme="minorHAnsi"/>
          <w:lang w:val="es-PE"/>
        </w:rPr>
      </w:pPr>
    </w:p>
    <w:p w14:paraId="1949EDB7"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Aseo y Limpieza: </w:t>
      </w:r>
      <w:r w:rsidRPr="00285D58">
        <w:rPr>
          <w:rFonts w:asciiTheme="minorHAnsi" w:hAnsiTheme="minorHAnsi" w:cstheme="minorHAnsi"/>
          <w:lang w:val="es-PE"/>
        </w:rPr>
        <w:t xml:space="preserve">Comprende los siguientes servicios: </w:t>
      </w:r>
    </w:p>
    <w:p w14:paraId="4431550E"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en las Estaciones Centrales y Estaciones de los Teleféricos </w:t>
      </w:r>
    </w:p>
    <w:p w14:paraId="3398D02E"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del Equipamiento Electromecánico de los Teleféricos </w:t>
      </w:r>
    </w:p>
    <w:p w14:paraId="0877433D"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Aseo y Limpieza de Buses </w:t>
      </w:r>
    </w:p>
    <w:p w14:paraId="625B3C6C"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Gestión de Residuos Sólidos generados dentro de las Estaciones, Cabinas y Buses </w:t>
      </w:r>
    </w:p>
    <w:p w14:paraId="6129DD17" w14:textId="77777777" w:rsidR="009F2B65" w:rsidRPr="00285D58" w:rsidRDefault="009F2B65" w:rsidP="00A3732C">
      <w:pPr>
        <w:widowControl/>
        <w:numPr>
          <w:ilvl w:val="0"/>
          <w:numId w:val="248"/>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Control de Plagas </w:t>
      </w:r>
    </w:p>
    <w:p w14:paraId="1E139DBD" w14:textId="77777777" w:rsidR="009F2B65" w:rsidRPr="00285D58" w:rsidRDefault="009F2B65" w:rsidP="008D1FFF">
      <w:pPr>
        <w:spacing w:line="276" w:lineRule="auto"/>
        <w:jc w:val="both"/>
        <w:rPr>
          <w:rFonts w:asciiTheme="minorHAnsi" w:hAnsiTheme="minorHAnsi" w:cstheme="minorHAnsi"/>
          <w:lang w:val="es-PE"/>
        </w:rPr>
      </w:pPr>
    </w:p>
    <w:p w14:paraId="71972217"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lang w:val="es-PE"/>
        </w:rPr>
      </w:pPr>
      <w:r w:rsidRPr="00285D58">
        <w:rPr>
          <w:rFonts w:asciiTheme="minorHAnsi" w:hAnsiTheme="minorHAnsi" w:cstheme="minorHAnsi"/>
          <w:b/>
          <w:bCs/>
          <w:lang w:val="es-PE"/>
        </w:rPr>
        <w:t xml:space="preserve">Servicio de Seguridad y Vigilancia: </w:t>
      </w:r>
    </w:p>
    <w:p w14:paraId="4E03C2AB"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dentro de las Estaciones </w:t>
      </w:r>
    </w:p>
    <w:p w14:paraId="014FECC5"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rutinaria </w:t>
      </w:r>
    </w:p>
    <w:p w14:paraId="723B0274"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Vigilancia correctiva o Atención de Emergencias </w:t>
      </w:r>
    </w:p>
    <w:p w14:paraId="5CDA0185" w14:textId="77777777" w:rsidR="009F2B65" w:rsidRPr="00285D58" w:rsidRDefault="009F2B65" w:rsidP="00A3732C">
      <w:pPr>
        <w:widowControl/>
        <w:numPr>
          <w:ilvl w:val="0"/>
          <w:numId w:val="249"/>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Implementación de cámaras de videovigilancia </w:t>
      </w:r>
    </w:p>
    <w:p w14:paraId="3279278E" w14:textId="77777777" w:rsidR="009F2B65" w:rsidRPr="00285D58" w:rsidRDefault="009F2B65" w:rsidP="008D1FFF">
      <w:pPr>
        <w:spacing w:line="276" w:lineRule="auto"/>
        <w:jc w:val="both"/>
        <w:rPr>
          <w:rFonts w:asciiTheme="minorHAnsi" w:hAnsiTheme="minorHAnsi" w:cstheme="minorHAnsi"/>
          <w:lang w:val="es-PE"/>
        </w:rPr>
      </w:pPr>
    </w:p>
    <w:p w14:paraId="6CEF3D10" w14:textId="77777777"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b/>
          <w:bCs/>
          <w:lang w:val="es-PE"/>
        </w:rPr>
      </w:pPr>
      <w:r w:rsidRPr="00285D58">
        <w:rPr>
          <w:rFonts w:asciiTheme="minorHAnsi" w:hAnsiTheme="minorHAnsi" w:cstheme="minorHAnsi"/>
          <w:b/>
          <w:bCs/>
          <w:lang w:val="es-PE"/>
        </w:rPr>
        <w:t xml:space="preserve">Servicio de Transporte por Teleférico y Buses: </w:t>
      </w:r>
    </w:p>
    <w:p w14:paraId="31067DC8"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lastRenderedPageBreak/>
        <w:t xml:space="preserve">Servicio de Transporte por Teleférico </w:t>
      </w:r>
    </w:p>
    <w:p w14:paraId="61143BF1"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Servicio de Transporte Terrestre en Bus (entre las estaciones centrales y estaciones de salida)</w:t>
      </w:r>
    </w:p>
    <w:p w14:paraId="604C8808"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y Control de Accesos de Usuarios </w:t>
      </w:r>
    </w:p>
    <w:p w14:paraId="730B81EE" w14:textId="77777777"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de embarque y desembarque de Usuarios en Estaciones (gestión de colas y aglomeraciones). </w:t>
      </w:r>
    </w:p>
    <w:p w14:paraId="39A2B6C8" w14:textId="123ABECC" w:rsidR="00237826" w:rsidRPr="00285D58" w:rsidRDefault="00237826"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Accesibilidad para personas con discapacidad y personas adultas mayores</w:t>
      </w:r>
    </w:p>
    <w:p w14:paraId="1B847E4D" w14:textId="5636FFC5" w:rsidR="009F2B65" w:rsidRPr="00285D58" w:rsidRDefault="009F2B65"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Servicio de Información y Atención al Usuario </w:t>
      </w:r>
      <w:r w:rsidR="00237826" w:rsidRPr="00285D58">
        <w:rPr>
          <w:rFonts w:asciiTheme="minorHAnsi" w:hAnsiTheme="minorHAnsi" w:cstheme="minorHAnsi"/>
          <w:lang w:val="es-PE"/>
        </w:rPr>
        <w:t>en castellano, quechua e inglés</w:t>
      </w:r>
    </w:p>
    <w:p w14:paraId="16FF1DD5" w14:textId="356D3E05" w:rsidR="00237826" w:rsidRPr="00285D58" w:rsidRDefault="00237826" w:rsidP="00A3732C">
      <w:pPr>
        <w:widowControl/>
        <w:numPr>
          <w:ilvl w:val="0"/>
          <w:numId w:val="250"/>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Servicio de Orientación (señalética) en castellano, quechua e inglés.</w:t>
      </w:r>
    </w:p>
    <w:p w14:paraId="44EE06BF" w14:textId="77777777" w:rsidR="009F2B65" w:rsidRPr="00285D58" w:rsidRDefault="009F2B65" w:rsidP="008D1FFF">
      <w:pPr>
        <w:spacing w:line="276" w:lineRule="auto"/>
        <w:jc w:val="both"/>
        <w:rPr>
          <w:rFonts w:asciiTheme="minorHAnsi" w:hAnsiTheme="minorHAnsi" w:cstheme="minorHAnsi"/>
          <w:lang w:val="es-PE"/>
        </w:rPr>
      </w:pPr>
    </w:p>
    <w:p w14:paraId="7A859EC1" w14:textId="35B51E91" w:rsidR="009F2B65" w:rsidRPr="00285D58" w:rsidRDefault="009F2B65" w:rsidP="00A3732C">
      <w:pPr>
        <w:pStyle w:val="Prrafodelista"/>
        <w:widowControl/>
        <w:numPr>
          <w:ilvl w:val="0"/>
          <w:numId w:val="247"/>
        </w:numPr>
        <w:spacing w:line="276" w:lineRule="auto"/>
        <w:ind w:left="284" w:hanging="283"/>
        <w:jc w:val="both"/>
        <w:rPr>
          <w:rFonts w:asciiTheme="minorHAnsi" w:hAnsiTheme="minorHAnsi" w:cstheme="minorHAnsi"/>
          <w:b/>
          <w:bCs/>
          <w:lang w:val="es-PE"/>
        </w:rPr>
      </w:pPr>
      <w:r w:rsidRPr="00285D58">
        <w:rPr>
          <w:rFonts w:asciiTheme="minorHAnsi" w:hAnsiTheme="minorHAnsi" w:cstheme="minorHAnsi"/>
          <w:b/>
          <w:bCs/>
          <w:lang w:val="es-PE"/>
        </w:rPr>
        <w:t>Servicio de la Administración de los Servicios</w:t>
      </w:r>
      <w:r w:rsidR="003878C5">
        <w:rPr>
          <w:rFonts w:asciiTheme="minorHAnsi" w:hAnsiTheme="minorHAnsi" w:cstheme="minorHAnsi"/>
          <w:b/>
          <w:bCs/>
          <w:lang w:val="es-PE"/>
        </w:rPr>
        <w:t xml:space="preserve"> Obligatorios</w:t>
      </w:r>
      <w:r w:rsidRPr="00285D58">
        <w:rPr>
          <w:rFonts w:asciiTheme="minorHAnsi" w:hAnsiTheme="minorHAnsi" w:cstheme="minorHAnsi"/>
          <w:b/>
          <w:bCs/>
          <w:lang w:val="es-PE"/>
        </w:rPr>
        <w:t xml:space="preserve">: </w:t>
      </w:r>
    </w:p>
    <w:p w14:paraId="73285C5A"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Elaboración de Informes Mensuales de Actividades </w:t>
      </w:r>
    </w:p>
    <w:p w14:paraId="6E6BEDD7"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Evaluación periódica de los Niveles de Servicio e Indicadores </w:t>
      </w:r>
    </w:p>
    <w:p w14:paraId="3D9048C4"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Registro y documentación de Actividades de Operación </w:t>
      </w:r>
    </w:p>
    <w:p w14:paraId="63446430"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Cumplimiento de los Instrumentos de Gestión Ambiental </w:t>
      </w:r>
    </w:p>
    <w:p w14:paraId="51C46F3C" w14:textId="77777777" w:rsidR="009F2B65" w:rsidRPr="00285D58" w:rsidRDefault="009F2B65" w:rsidP="00A3732C">
      <w:pPr>
        <w:widowControl/>
        <w:numPr>
          <w:ilvl w:val="0"/>
          <w:numId w:val="251"/>
        </w:numPr>
        <w:spacing w:line="276" w:lineRule="auto"/>
        <w:ind w:left="851" w:hanging="283"/>
        <w:jc w:val="both"/>
        <w:rPr>
          <w:rFonts w:asciiTheme="minorHAnsi" w:hAnsiTheme="minorHAnsi" w:cstheme="minorHAnsi"/>
          <w:lang w:val="es-PE"/>
        </w:rPr>
      </w:pPr>
      <w:r w:rsidRPr="00285D58">
        <w:rPr>
          <w:rFonts w:asciiTheme="minorHAnsi" w:hAnsiTheme="minorHAnsi" w:cstheme="minorHAnsi"/>
          <w:lang w:val="es-PE"/>
        </w:rPr>
        <w:t xml:space="preserve">Gestión documentaria </w:t>
      </w:r>
    </w:p>
    <w:p w14:paraId="77EC3CEA" w14:textId="77777777" w:rsidR="009F2B65" w:rsidRPr="00285D58" w:rsidRDefault="009F2B65" w:rsidP="008D1FFF">
      <w:pPr>
        <w:spacing w:line="276" w:lineRule="auto"/>
        <w:jc w:val="both"/>
        <w:rPr>
          <w:rFonts w:asciiTheme="minorHAnsi" w:hAnsiTheme="minorHAnsi" w:cstheme="minorHAnsi"/>
          <w:lang w:val="es-PE"/>
        </w:rPr>
      </w:pPr>
    </w:p>
    <w:p w14:paraId="3CE9E155"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DEFINICIONES </w:t>
      </w:r>
    </w:p>
    <w:p w14:paraId="73764B53" w14:textId="77777777" w:rsidR="009F2B65" w:rsidRPr="00285D58" w:rsidRDefault="009F2B65" w:rsidP="008D1FFF">
      <w:pPr>
        <w:spacing w:line="276" w:lineRule="auto"/>
        <w:jc w:val="both"/>
        <w:rPr>
          <w:rFonts w:asciiTheme="minorHAnsi" w:hAnsiTheme="minorHAnsi" w:cstheme="minorHAnsi"/>
          <w:b/>
          <w:bCs/>
          <w:lang w:val="es-PE"/>
        </w:rPr>
      </w:pPr>
    </w:p>
    <w:p w14:paraId="1C349A0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Anomalía o Incidente: </w:t>
      </w:r>
      <w:r w:rsidRPr="00285D58">
        <w:rPr>
          <w:rFonts w:asciiTheme="minorHAnsi" w:hAnsiTheme="minorHAnsi" w:cstheme="minorHAnsi"/>
          <w:lang w:val="es-PE"/>
        </w:rPr>
        <w:t xml:space="preserve">Toda parada o interrupción imprevista en los teleféricos o buses, ya sea de forma automática o manual. </w:t>
      </w:r>
    </w:p>
    <w:p w14:paraId="2904CCBD" w14:textId="77777777" w:rsidR="009F2B65" w:rsidRPr="00285D58" w:rsidRDefault="009F2B65" w:rsidP="008D1FFF">
      <w:pPr>
        <w:pStyle w:val="Prrafodelista"/>
        <w:spacing w:line="276" w:lineRule="auto"/>
        <w:jc w:val="both"/>
        <w:rPr>
          <w:rFonts w:asciiTheme="minorHAnsi" w:hAnsiTheme="minorHAnsi" w:cstheme="minorHAnsi"/>
          <w:lang w:val="es-PE"/>
        </w:rPr>
      </w:pPr>
    </w:p>
    <w:p w14:paraId="382F473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 consideran Anomalías o Incidentes aquellas interrupciones causadas por fuerza mayor o eventos fortuitos ajenos a la responsabilidad del Concesionario, como condiciones climáticas adversas, cortes en el suministro eléctrico por parte de la compañía proveedora, incidentes con pasajeros, entre otros. </w:t>
      </w:r>
    </w:p>
    <w:p w14:paraId="08CC4A60" w14:textId="77777777" w:rsidR="009F2B65" w:rsidRPr="00285D58" w:rsidRDefault="009F2B65" w:rsidP="008D1FFF">
      <w:pPr>
        <w:spacing w:line="276" w:lineRule="auto"/>
        <w:jc w:val="both"/>
        <w:rPr>
          <w:rFonts w:asciiTheme="minorHAnsi" w:hAnsiTheme="minorHAnsi" w:cstheme="minorHAnsi"/>
          <w:b/>
          <w:bCs/>
          <w:lang w:val="es-PE"/>
        </w:rPr>
      </w:pPr>
    </w:p>
    <w:p w14:paraId="204DF13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Conservación: </w:t>
      </w:r>
      <w:r w:rsidRPr="00285D58">
        <w:rPr>
          <w:rFonts w:asciiTheme="minorHAnsi" w:hAnsiTheme="minorHAnsi" w:cstheme="minorHAnsi"/>
          <w:lang w:val="es-PE"/>
        </w:rPr>
        <w:t xml:space="preserve">Conjunto de operaciones destinadas a conservar el estado especificado de las edificaciones, obras, instalaciones y equipamiento electromecánico, así como el de sus estructuras, subestructuras, elementos o subcomponentes. </w:t>
      </w:r>
    </w:p>
    <w:p w14:paraId="692C52A7" w14:textId="77777777" w:rsidR="009F2B65" w:rsidRPr="00285D58" w:rsidRDefault="009F2B65" w:rsidP="008D1FFF">
      <w:pPr>
        <w:spacing w:line="276" w:lineRule="auto"/>
        <w:jc w:val="both"/>
        <w:rPr>
          <w:rFonts w:asciiTheme="minorHAnsi" w:hAnsiTheme="minorHAnsi" w:cstheme="minorHAnsi"/>
          <w:b/>
          <w:bCs/>
          <w:lang w:val="es-PE"/>
        </w:rPr>
      </w:pPr>
    </w:p>
    <w:p w14:paraId="646BB1E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Indicadores de Niveles de Servicio: </w:t>
      </w:r>
      <w:r w:rsidRPr="00285D58">
        <w:rPr>
          <w:rFonts w:asciiTheme="minorHAnsi" w:hAnsiTheme="minorHAnsi" w:cstheme="minorHAnsi"/>
          <w:lang w:val="es-PE"/>
        </w:rPr>
        <w:t xml:space="preserve">Es el puntaje que resulta del promedio ponderado de la calificación de los Niveles de Servicio realizada por el Supervisor. </w:t>
      </w:r>
    </w:p>
    <w:p w14:paraId="1295A219" w14:textId="77777777" w:rsidR="009F2B65" w:rsidRPr="00285D58" w:rsidRDefault="009F2B65" w:rsidP="008D1FFF">
      <w:pPr>
        <w:spacing w:line="276" w:lineRule="auto"/>
        <w:jc w:val="both"/>
        <w:rPr>
          <w:rFonts w:asciiTheme="minorHAnsi" w:hAnsiTheme="minorHAnsi" w:cstheme="minorHAnsi"/>
          <w:b/>
          <w:bCs/>
          <w:lang w:val="es-PE"/>
        </w:rPr>
      </w:pPr>
    </w:p>
    <w:p w14:paraId="11785A1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Informe Especial: </w:t>
      </w:r>
      <w:r w:rsidRPr="00285D58">
        <w:rPr>
          <w:rFonts w:asciiTheme="minorHAnsi" w:hAnsiTheme="minorHAnsi" w:cstheme="minorHAnsi"/>
          <w:lang w:val="es-PE"/>
        </w:rPr>
        <w:t xml:space="preserve">Documento solicitado por el Supervisor y elaborado por el CONCESIONARIO durante la Operación, donde se detalle, aclare o explique cualquier situación o aspecto relacionado a la prestación de los Servicios Obligatorios del Contrato de Concesión. </w:t>
      </w:r>
    </w:p>
    <w:p w14:paraId="51262436" w14:textId="77777777" w:rsidR="009F2B65" w:rsidRPr="00285D58" w:rsidRDefault="009F2B65" w:rsidP="008D1FFF">
      <w:pPr>
        <w:spacing w:line="276" w:lineRule="auto"/>
        <w:jc w:val="both"/>
        <w:rPr>
          <w:rFonts w:asciiTheme="minorHAnsi" w:hAnsiTheme="minorHAnsi" w:cstheme="minorHAnsi"/>
          <w:b/>
          <w:bCs/>
          <w:lang w:val="es-PE"/>
        </w:rPr>
      </w:pPr>
    </w:p>
    <w:p w14:paraId="3F481A5D"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Informe Mensual de Actividades: </w:t>
      </w:r>
      <w:r w:rsidRPr="00285D58">
        <w:rPr>
          <w:rFonts w:asciiTheme="minorHAnsi" w:hAnsiTheme="minorHAnsi" w:cstheme="minorHAnsi"/>
          <w:lang w:val="es-PE"/>
        </w:rPr>
        <w:t xml:space="preserve">Documento elaborado por el CONCESIONARIO, que contendrá el listado y descripción de las actividades ejecutadas durante el mes para el cumplimiento de la prestación de los Servicios Obligatorios de acuerdo a lo estipulado en los planes anuales. Además, del cálculo mensual de los Indicadores de los Niveles de Servicio de acuerdo a lo establecido en el </w:t>
      </w:r>
      <w:r w:rsidRPr="00285D58">
        <w:rPr>
          <w:rFonts w:asciiTheme="minorHAnsi" w:hAnsiTheme="minorHAnsi" w:cstheme="minorHAnsi"/>
          <w:lang w:val="es-PE"/>
        </w:rPr>
        <w:lastRenderedPageBreak/>
        <w:t xml:space="preserve">Apéndice I del presente anexo. </w:t>
      </w:r>
    </w:p>
    <w:p w14:paraId="4C282718" w14:textId="77777777" w:rsidR="009F2B65" w:rsidRPr="00285D58" w:rsidRDefault="009F2B65" w:rsidP="008D1FFF">
      <w:pPr>
        <w:spacing w:line="276" w:lineRule="auto"/>
        <w:jc w:val="both"/>
        <w:rPr>
          <w:rFonts w:asciiTheme="minorHAnsi" w:hAnsiTheme="minorHAnsi" w:cstheme="minorHAnsi"/>
          <w:b/>
          <w:bCs/>
          <w:lang w:val="es-PE"/>
        </w:rPr>
      </w:pPr>
    </w:p>
    <w:p w14:paraId="3B709E3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Mantenimiento: </w:t>
      </w:r>
      <w:r w:rsidRPr="00285D58">
        <w:rPr>
          <w:rFonts w:asciiTheme="minorHAnsi" w:hAnsiTheme="minorHAnsi" w:cstheme="minorHAnsi"/>
          <w:lang w:val="es-PE"/>
        </w:rPr>
        <w:t xml:space="preserve">Conjunto de operaciones necesarias para mantener o restablecer, según corresponde, el estado especificado de las edificaciones, obras, instalaciones y equipamiento electromecánico, así como el de sus estructuras, subestructuras, elementos o subcomponentes, y la constatación y evaluación de su estado efectivo. </w:t>
      </w:r>
    </w:p>
    <w:p w14:paraId="6A732774" w14:textId="77777777" w:rsidR="009F2B65" w:rsidRPr="00285D58" w:rsidRDefault="009F2B65" w:rsidP="008D1FFF">
      <w:pPr>
        <w:spacing w:line="276" w:lineRule="auto"/>
        <w:jc w:val="both"/>
        <w:rPr>
          <w:rFonts w:asciiTheme="minorHAnsi" w:hAnsiTheme="minorHAnsi" w:cstheme="minorHAnsi"/>
          <w:b/>
          <w:bCs/>
          <w:lang w:val="es-PE"/>
        </w:rPr>
      </w:pPr>
    </w:p>
    <w:p w14:paraId="5EBD8E2A"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Mantenimiento correctivo: </w:t>
      </w:r>
      <w:r w:rsidRPr="00285D58">
        <w:rPr>
          <w:rFonts w:asciiTheme="minorHAnsi" w:hAnsiTheme="minorHAnsi" w:cstheme="minorHAnsi"/>
          <w:lang w:val="es-PE"/>
        </w:rPr>
        <w:t xml:space="preserve">Conjunto de operaciones necesarias para restablecer o restaurar el estado especifico de un componente luego de la ocurrencia Anomalías o Incidentes. Puede implicar la reparación o sustitución de componentes dañados, y que no hayan sido previstas. </w:t>
      </w:r>
    </w:p>
    <w:p w14:paraId="2903D938" w14:textId="77777777" w:rsidR="009F2B65" w:rsidRPr="00BB5F42" w:rsidRDefault="009F2B65" w:rsidP="008D1FFF">
      <w:pPr>
        <w:spacing w:line="276" w:lineRule="auto"/>
        <w:jc w:val="both"/>
        <w:rPr>
          <w:rFonts w:asciiTheme="minorHAnsi" w:hAnsiTheme="minorHAnsi" w:cstheme="minorHAnsi"/>
          <w:b/>
          <w:bCs/>
          <w:lang w:val="es-PE"/>
        </w:rPr>
      </w:pPr>
    </w:p>
    <w:p w14:paraId="13B10BC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Mantenimiento preventivo: </w:t>
      </w:r>
      <w:r w:rsidRPr="00285D58">
        <w:rPr>
          <w:rFonts w:asciiTheme="minorHAnsi" w:hAnsiTheme="minorHAnsi" w:cstheme="minorHAnsi"/>
          <w:lang w:val="es-PE"/>
        </w:rPr>
        <w:t xml:space="preserve">Conjunto de operaciones que se realizan de manera anticipada y planificada con el objetivo de mantener en buen estado y/o el correcto funcionamiento de un componente a fin de evitar la ocurrencia de Anomalías o Incidentes, o cualquier otra falla potencial. </w:t>
      </w:r>
    </w:p>
    <w:p w14:paraId="0A1D308E" w14:textId="77777777" w:rsidR="009F2B65" w:rsidRPr="00285D58" w:rsidRDefault="009F2B65" w:rsidP="008D1FFF">
      <w:pPr>
        <w:spacing w:line="276" w:lineRule="auto"/>
        <w:jc w:val="both"/>
        <w:rPr>
          <w:rFonts w:asciiTheme="minorHAnsi" w:hAnsiTheme="minorHAnsi" w:cstheme="minorHAnsi"/>
          <w:b/>
          <w:bCs/>
          <w:lang w:val="es-PE"/>
        </w:rPr>
      </w:pPr>
    </w:p>
    <w:p w14:paraId="1CDC5C9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Niveles de Servicio: </w:t>
      </w:r>
      <w:r w:rsidRPr="00285D58">
        <w:rPr>
          <w:rFonts w:asciiTheme="minorHAnsi" w:hAnsiTheme="minorHAnsi" w:cstheme="minorHAnsi"/>
          <w:lang w:val="es-PE"/>
        </w:rPr>
        <w:t xml:space="preserve">Parámetros y estándares mínimos de calidad de los Servicios Obligatorios, medidos mediante sus correspondientes indicadores, que el CONCESIONARIO debe lograr y mantener en los rangos o márgenes estipulados en el presente anexo, durante la Operación, de acuerdo con lo establecido en el presente anexo. </w:t>
      </w:r>
    </w:p>
    <w:p w14:paraId="4CD94F72" w14:textId="77777777" w:rsidR="009F2B65" w:rsidRPr="00285D58" w:rsidRDefault="009F2B65" w:rsidP="008D1FFF">
      <w:pPr>
        <w:spacing w:line="276" w:lineRule="auto"/>
        <w:jc w:val="both"/>
        <w:rPr>
          <w:rFonts w:asciiTheme="minorHAnsi" w:hAnsiTheme="minorHAnsi" w:cstheme="minorHAnsi"/>
          <w:lang w:val="es-PE"/>
        </w:rPr>
      </w:pPr>
    </w:p>
    <w:p w14:paraId="47C9978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Conservación y Mantenimiento: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Conservación y Mantenimiento de las Obras y Equipamiento, así como también la definición de cada uno de los indicadores, sus rangos permisibles y el cumplimiento de los Niveles de Servicio para el periodo de un año. </w:t>
      </w:r>
    </w:p>
    <w:p w14:paraId="1BC75BC8" w14:textId="77777777" w:rsidR="009F2B65" w:rsidRPr="00285D58" w:rsidRDefault="009F2B65" w:rsidP="008D1FFF">
      <w:pPr>
        <w:spacing w:line="276" w:lineRule="auto"/>
        <w:jc w:val="both"/>
        <w:rPr>
          <w:rFonts w:asciiTheme="minorHAnsi" w:hAnsiTheme="minorHAnsi" w:cstheme="minorHAnsi"/>
          <w:b/>
          <w:bCs/>
          <w:lang w:val="es-PE"/>
        </w:rPr>
      </w:pPr>
    </w:p>
    <w:p w14:paraId="4A18C88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Aseo y Limpieza: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Aseo y Limpieza de las Obras y Equipamiento, así como también la definición de cada uno de los indicadores, sus rangos permisibles y el cumplimiento de los Niveles de Servicio para el periodo de un año. </w:t>
      </w:r>
    </w:p>
    <w:p w14:paraId="33D261E0" w14:textId="77777777" w:rsidR="009F2B65" w:rsidRPr="00285D58" w:rsidRDefault="009F2B65" w:rsidP="008D1FFF">
      <w:pPr>
        <w:spacing w:line="276" w:lineRule="auto"/>
        <w:jc w:val="both"/>
        <w:rPr>
          <w:rFonts w:asciiTheme="minorHAnsi" w:hAnsiTheme="minorHAnsi" w:cstheme="minorHAnsi"/>
          <w:b/>
          <w:bCs/>
          <w:lang w:val="es-PE"/>
        </w:rPr>
      </w:pPr>
    </w:p>
    <w:p w14:paraId="29019F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Operación: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de Transporte Teleférico, así como también la definición de cada uno de los indicadores, sus rangos permisibles y el cumplimiento de los Niveles de Servicio para el periodo de un año. </w:t>
      </w:r>
    </w:p>
    <w:p w14:paraId="3E3D878F" w14:textId="77777777" w:rsidR="009F2B65" w:rsidRPr="00285D58" w:rsidRDefault="009F2B65" w:rsidP="008D1FFF">
      <w:pPr>
        <w:spacing w:line="276" w:lineRule="auto"/>
        <w:jc w:val="both"/>
        <w:rPr>
          <w:rFonts w:asciiTheme="minorHAnsi" w:hAnsiTheme="minorHAnsi" w:cstheme="minorHAnsi"/>
          <w:b/>
          <w:bCs/>
          <w:lang w:val="es-PE"/>
        </w:rPr>
      </w:pPr>
    </w:p>
    <w:p w14:paraId="59865A8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Plan Anual de Seguridad y Vigilancia: </w:t>
      </w:r>
      <w:r w:rsidRPr="00285D58">
        <w:rPr>
          <w:rFonts w:asciiTheme="minorHAnsi" w:hAnsiTheme="minorHAnsi" w:cstheme="minorHAnsi"/>
          <w:lang w:val="es-PE"/>
        </w:rPr>
        <w:t xml:space="preserve">Documento de gestión elaborado por el CONCESIONARIO, que contendrá las estrategias, políticas, actividades, frecuencias de ejecución y recursos necesario para la Prestación del Servicio Seguridad y Vigilancia, así como también la definición de cada uno de los indicadores, sus rangos permisibles y el cumplimiento de los Niveles de Servicio para el periodo </w:t>
      </w:r>
      <w:r w:rsidRPr="00285D58">
        <w:rPr>
          <w:rFonts w:asciiTheme="minorHAnsi" w:hAnsiTheme="minorHAnsi" w:cstheme="minorHAnsi"/>
          <w:lang w:val="es-PE"/>
        </w:rPr>
        <w:lastRenderedPageBreak/>
        <w:t xml:space="preserve">de un año. </w:t>
      </w:r>
    </w:p>
    <w:p w14:paraId="124AF3BD" w14:textId="77777777" w:rsidR="009F2B65" w:rsidRPr="00285D58" w:rsidRDefault="009F2B65" w:rsidP="008D1FFF">
      <w:pPr>
        <w:spacing w:line="276" w:lineRule="auto"/>
        <w:jc w:val="both"/>
        <w:rPr>
          <w:rFonts w:asciiTheme="minorHAnsi" w:hAnsiTheme="minorHAnsi" w:cstheme="minorHAnsi"/>
          <w:lang w:val="es-PE"/>
        </w:rPr>
      </w:pPr>
    </w:p>
    <w:p w14:paraId="60754A3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Plan de Contingencias:  </w:t>
      </w:r>
      <w:r w:rsidRPr="00285D58">
        <w:rPr>
          <w:rFonts w:asciiTheme="minorHAnsi" w:hAnsiTheme="minorHAnsi" w:cstheme="minorHAnsi"/>
          <w:lang w:val="es-PE"/>
        </w:rPr>
        <w:t>Documento de gestión que define los objetivos, estrategias y programas que orientan las actividades a realizar por el CONCESIONARIO para la prevención, la reducción de riesgos, la atención de emergencias y la rehabilitación en casos de desastres permitiendo disminuir o minimizar los daños, víctimas y pérdidas que podrían ocurrir a consecuencia de fenómenos naturales o tecnológicos, potencialmente dañinos</w:t>
      </w:r>
      <w:r w:rsidRPr="00285D58">
        <w:rPr>
          <w:rStyle w:val="Refdenotaalpie"/>
          <w:rFonts w:asciiTheme="minorHAnsi" w:hAnsiTheme="minorHAnsi" w:cstheme="minorHAnsi"/>
          <w:lang w:val="es-PE"/>
        </w:rPr>
        <w:footnoteReference w:id="9"/>
      </w:r>
      <w:r w:rsidRPr="00285D58">
        <w:rPr>
          <w:rFonts w:asciiTheme="minorHAnsi" w:hAnsiTheme="minorHAnsi" w:cstheme="minorHAnsi"/>
          <w:lang w:val="es-PE"/>
        </w:rPr>
        <w:t>.</w:t>
      </w:r>
    </w:p>
    <w:p w14:paraId="0EACEE6F" w14:textId="77777777" w:rsidR="009F2B65" w:rsidRPr="00285D58" w:rsidRDefault="009F2B65" w:rsidP="008D1FFF">
      <w:pPr>
        <w:spacing w:line="276" w:lineRule="auto"/>
        <w:jc w:val="both"/>
        <w:rPr>
          <w:rFonts w:asciiTheme="minorHAnsi" w:hAnsiTheme="minorHAnsi" w:cstheme="minorHAnsi"/>
          <w:b/>
          <w:bCs/>
          <w:lang w:val="es-PE"/>
        </w:rPr>
      </w:pPr>
    </w:p>
    <w:p w14:paraId="1B43D29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Registro de Explotación: </w:t>
      </w:r>
      <w:r w:rsidRPr="00285D58">
        <w:rPr>
          <w:rFonts w:asciiTheme="minorHAnsi" w:hAnsiTheme="minorHAnsi" w:cstheme="minorHAnsi"/>
          <w:lang w:val="es-PE"/>
        </w:rPr>
        <w:t xml:space="preserve">Instrumento de control a cargo del CONCESIONARIO, en el que se registrará diariamente, la información relativa a la operación y mantenimiento de los teleféricos. </w:t>
      </w:r>
    </w:p>
    <w:p w14:paraId="13F3DD61" w14:textId="77777777" w:rsidR="009F2B65" w:rsidRPr="00285D58" w:rsidRDefault="009F2B65" w:rsidP="008D1FFF">
      <w:pPr>
        <w:spacing w:line="276" w:lineRule="auto"/>
        <w:jc w:val="both"/>
        <w:rPr>
          <w:rFonts w:asciiTheme="minorHAnsi" w:hAnsiTheme="minorHAnsi" w:cstheme="minorHAnsi"/>
          <w:b/>
          <w:bCs/>
          <w:lang w:val="es-PE"/>
        </w:rPr>
      </w:pPr>
    </w:p>
    <w:p w14:paraId="0D808DE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Reglamento de Explotación: </w:t>
      </w:r>
      <w:r w:rsidRPr="00285D58">
        <w:rPr>
          <w:rFonts w:asciiTheme="minorHAnsi" w:hAnsiTheme="minorHAnsi" w:cstheme="minorHAnsi"/>
          <w:lang w:val="es-PE"/>
        </w:rPr>
        <w:t xml:space="preserve">Documento establecido por el operador, en este caso el CONCESIONARIO, encargado de la operación, que define las disposiciones que el personal deberá implementar para garantizar la seguridad y la regularidad de la operación. </w:t>
      </w:r>
    </w:p>
    <w:p w14:paraId="17CFE10F" w14:textId="77777777" w:rsidR="009F2B65" w:rsidRPr="00285D58" w:rsidRDefault="009F2B65" w:rsidP="008D1FFF">
      <w:pPr>
        <w:spacing w:line="276" w:lineRule="auto"/>
        <w:jc w:val="both"/>
        <w:rPr>
          <w:rFonts w:asciiTheme="minorHAnsi" w:hAnsiTheme="minorHAnsi" w:cstheme="minorHAnsi"/>
          <w:b/>
          <w:bCs/>
          <w:lang w:val="es-PE"/>
        </w:rPr>
      </w:pPr>
    </w:p>
    <w:p w14:paraId="1CF9BAA4"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b/>
          <w:bCs/>
          <w:lang w:val="es-PE"/>
        </w:rPr>
        <w:t xml:space="preserve">Reparación: </w:t>
      </w:r>
      <w:r w:rsidRPr="00285D58">
        <w:rPr>
          <w:rFonts w:asciiTheme="minorHAnsi" w:hAnsiTheme="minorHAnsi" w:cstheme="minorHAnsi"/>
          <w:lang w:val="es-PE"/>
        </w:rPr>
        <w:t>operaciones destinadas a restablecer el estado óptimo especificado de las edificaciones, obras, instalaciones y equipamiento electromecánico, así como el de sus estructuras, subestructuras, elementos o subcomponentes.</w:t>
      </w:r>
    </w:p>
    <w:p w14:paraId="3379F647" w14:textId="77777777" w:rsidR="009F2B65" w:rsidRPr="00285D58" w:rsidRDefault="009F2B65" w:rsidP="008D1FFF">
      <w:pPr>
        <w:spacing w:line="276" w:lineRule="auto"/>
        <w:jc w:val="both"/>
        <w:rPr>
          <w:rFonts w:asciiTheme="minorHAnsi" w:hAnsiTheme="minorHAnsi" w:cstheme="minorHAnsi"/>
          <w:b/>
          <w:bCs/>
          <w:lang w:val="es-PE"/>
        </w:rPr>
      </w:pPr>
    </w:p>
    <w:p w14:paraId="68E9CD52"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1: SERVICIO DE CONSERVACIÓN Y MANTENIMIENTO </w:t>
      </w:r>
    </w:p>
    <w:p w14:paraId="6C76A039" w14:textId="77777777" w:rsidR="009F2B65" w:rsidRPr="00285D58" w:rsidRDefault="009F2B65" w:rsidP="008D1FFF">
      <w:pPr>
        <w:spacing w:line="276" w:lineRule="auto"/>
        <w:jc w:val="both"/>
        <w:rPr>
          <w:rFonts w:asciiTheme="minorHAnsi" w:hAnsiTheme="minorHAnsi" w:cstheme="minorHAnsi"/>
          <w:b/>
          <w:bCs/>
          <w:lang w:val="es-PE"/>
        </w:rPr>
      </w:pPr>
    </w:p>
    <w:p w14:paraId="1DED97F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1.1. PRINCIPIOS GENERALES </w:t>
      </w:r>
    </w:p>
    <w:p w14:paraId="3EEB3F3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Todos los Bienes de la Concesión serán construidos, fabricados, instalados, probados y/o sometidos a labores de Conservación y Mantenimiento para proteger la vida humana y garantizar la seguridad de las personas y el óptimo funcionamiento de los mismos. </w:t>
      </w:r>
    </w:p>
    <w:p w14:paraId="61E3DC38" w14:textId="77777777" w:rsidR="009F2B65" w:rsidRPr="00285D58" w:rsidRDefault="009F2B65" w:rsidP="008D1FFF">
      <w:pPr>
        <w:spacing w:line="276" w:lineRule="auto"/>
        <w:jc w:val="both"/>
        <w:rPr>
          <w:rFonts w:asciiTheme="minorHAnsi" w:hAnsiTheme="minorHAnsi" w:cstheme="minorHAnsi"/>
          <w:lang w:val="es-PE"/>
        </w:rPr>
      </w:pPr>
    </w:p>
    <w:p w14:paraId="7D842AA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labores de Conservación y Mantenimiento deberán realizarse en forma oportuna, respetando los estándares internacionales de seguridad y calidad. </w:t>
      </w:r>
    </w:p>
    <w:p w14:paraId="52645DF8" w14:textId="77777777" w:rsidR="009F2B65" w:rsidRPr="00285D58" w:rsidRDefault="009F2B65" w:rsidP="008D1FFF">
      <w:pPr>
        <w:spacing w:line="276" w:lineRule="auto"/>
        <w:jc w:val="both"/>
        <w:rPr>
          <w:rFonts w:asciiTheme="minorHAnsi" w:hAnsiTheme="minorHAnsi" w:cstheme="minorHAnsi"/>
          <w:lang w:val="es-PE"/>
        </w:rPr>
      </w:pPr>
    </w:p>
    <w:p w14:paraId="6F75DA1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Por regla general, la Conservación deberá mantener en todo momento la funcionalidad o el propósito original para los cuales fueron ejecutadas tanto las Obras como el Equipamiento Electromecánico de los Teleféricos. </w:t>
      </w:r>
    </w:p>
    <w:p w14:paraId="173DA7BD" w14:textId="77777777" w:rsidR="009F2B65" w:rsidRPr="00285D58" w:rsidRDefault="009F2B65" w:rsidP="008D1FFF">
      <w:pPr>
        <w:spacing w:line="276" w:lineRule="auto"/>
        <w:jc w:val="both"/>
        <w:rPr>
          <w:rFonts w:asciiTheme="minorHAnsi" w:hAnsiTheme="minorHAnsi" w:cstheme="minorHAnsi"/>
          <w:lang w:val="es-PE"/>
        </w:rPr>
      </w:pPr>
    </w:p>
    <w:p w14:paraId="3358B46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serán aceptables políticas o prácticas de Conservación y Mantenimiento que produzcan defectos que comprometan la funcionalidad, durabilidad, utilidad o estética tanto de las Obras como del Equipamiento Electromecánico de los Teleféricos. </w:t>
      </w:r>
    </w:p>
    <w:p w14:paraId="6D0ED7B2" w14:textId="77777777" w:rsidR="009F2B65" w:rsidRPr="00285D58" w:rsidRDefault="009F2B65" w:rsidP="008D1FFF">
      <w:pPr>
        <w:spacing w:line="276" w:lineRule="auto"/>
        <w:jc w:val="both"/>
        <w:rPr>
          <w:rFonts w:asciiTheme="minorHAnsi" w:hAnsiTheme="minorHAnsi" w:cstheme="minorHAnsi"/>
          <w:b/>
          <w:bCs/>
          <w:lang w:val="es-PE"/>
        </w:rPr>
      </w:pPr>
    </w:p>
    <w:p w14:paraId="6D75AB8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1.2. NIVELES DE SERVICIO DE CONSERVACIÓN </w:t>
      </w:r>
    </w:p>
    <w:p w14:paraId="5642D248" w14:textId="77777777" w:rsidR="009F2B65" w:rsidRPr="00285D58" w:rsidRDefault="009F2B65" w:rsidP="008D1FFF">
      <w:pPr>
        <w:spacing w:line="276" w:lineRule="auto"/>
        <w:jc w:val="both"/>
        <w:rPr>
          <w:rFonts w:asciiTheme="minorHAnsi" w:hAnsiTheme="minorHAnsi" w:cstheme="minorHAnsi"/>
          <w:lang w:val="es-PE"/>
        </w:rPr>
      </w:pPr>
    </w:p>
    <w:p w14:paraId="5C89E57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estado de los Bienes de la Concesión se expresará a través de parámetros de condición, que harán </w:t>
      </w:r>
      <w:r w:rsidRPr="00285D58">
        <w:rPr>
          <w:rFonts w:asciiTheme="minorHAnsi" w:hAnsiTheme="minorHAnsi" w:cstheme="minorHAnsi"/>
          <w:lang w:val="es-PE"/>
        </w:rPr>
        <w:lastRenderedPageBreak/>
        <w:t xml:space="preserve">referencia a diversos aspectos de Conservación de los sistemas que componen los Bienes de la Concesión. Los límites de los parámetros de condición que deberán cumplirse se denominan “Niveles de Servicio de Conservación y Mantenimiento”, los cuales se establecerán en cumplimiento de los estándares internacionales de mantenimiento propuestos por el CONCESIONARIO. </w:t>
      </w:r>
    </w:p>
    <w:p w14:paraId="3134700E" w14:textId="77777777" w:rsidR="009F2B65" w:rsidRPr="00285D58" w:rsidRDefault="009F2B65" w:rsidP="008D1FFF">
      <w:pPr>
        <w:spacing w:line="276" w:lineRule="auto"/>
        <w:jc w:val="both"/>
        <w:rPr>
          <w:rFonts w:asciiTheme="minorHAnsi" w:hAnsiTheme="minorHAnsi" w:cstheme="minorHAnsi"/>
          <w:lang w:val="es-PE"/>
        </w:rPr>
      </w:pPr>
    </w:p>
    <w:p w14:paraId="43BB858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Conservación y Mantenimiento en el cual se detallen las labores de conservación y mantenimiento proyectadas para las instalaciones, equipos, infraestructuras y otros Bienes de la Concesión, sobre la base de las recomendaciones y estándares internacionales y los manuales proporcionados por los fabricantes especializados. </w:t>
      </w:r>
    </w:p>
    <w:p w14:paraId="0BFF6278" w14:textId="77777777" w:rsidR="009F2B65" w:rsidRPr="00285D58" w:rsidRDefault="009F2B65" w:rsidP="008D1FFF">
      <w:pPr>
        <w:spacing w:line="276" w:lineRule="auto"/>
        <w:jc w:val="both"/>
        <w:rPr>
          <w:rFonts w:asciiTheme="minorHAnsi" w:hAnsiTheme="minorHAnsi" w:cstheme="minorHAnsi"/>
          <w:lang w:val="es-PE"/>
        </w:rPr>
      </w:pPr>
    </w:p>
    <w:p w14:paraId="5F714CD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Es obligación del CONCESIONARIO programar y ejecutar oportunamente las tareas de Conservación y Mantenimiento, durante todo el Plazo de la Concesión, de manera que los Niveles de Servicio de Conservación y Mantenimiento sean iguales o estén siempre por encima de los umbrales mínimos establecidos en este Anexo.</w:t>
      </w:r>
    </w:p>
    <w:p w14:paraId="189CC2BF" w14:textId="77777777" w:rsidR="009F2B65" w:rsidRPr="00285D58" w:rsidRDefault="009F2B65" w:rsidP="008D1FFF">
      <w:pPr>
        <w:spacing w:line="276" w:lineRule="auto"/>
        <w:jc w:val="both"/>
        <w:rPr>
          <w:rFonts w:asciiTheme="minorHAnsi" w:hAnsiTheme="minorHAnsi" w:cstheme="minorHAnsi"/>
          <w:lang w:val="es-PE"/>
        </w:rPr>
      </w:pPr>
    </w:p>
    <w:p w14:paraId="50E7E48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monitorear los parámetros de condición y detectar aquellos cuya medida eventualmente se encuentre por debajo de los limites admisibles y adoptar las medidas necesarias para su corrección oportuna, para estar siempre dentro de los Niveles de Servicio de Conservación definidos en este Anexo. </w:t>
      </w:r>
    </w:p>
    <w:p w14:paraId="6B376316" w14:textId="77777777" w:rsidR="009F2B65" w:rsidRPr="00285D58" w:rsidRDefault="009F2B65" w:rsidP="008D1FFF">
      <w:pPr>
        <w:spacing w:line="276" w:lineRule="auto"/>
        <w:jc w:val="both"/>
        <w:rPr>
          <w:rFonts w:asciiTheme="minorHAnsi" w:hAnsiTheme="minorHAnsi" w:cstheme="minorHAnsi"/>
          <w:lang w:val="es-PE"/>
        </w:rPr>
      </w:pPr>
    </w:p>
    <w:p w14:paraId="46E144D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dispondrá en todo momento de la estructura, organización y recursos (físicos, técnicos y administrativos) que le permitan programar y ejecutar a lo largo del Plazo de la Concesión las tareas de Conservación necesarias para que la medida de los parámetros de condición se mantenga dentro de los Niveles de Servicio de Conservación definidos en este Anexo. </w:t>
      </w:r>
    </w:p>
    <w:p w14:paraId="4B1AE411" w14:textId="77777777" w:rsidR="009F2B65" w:rsidRPr="00285D58" w:rsidRDefault="009F2B65" w:rsidP="008D1FFF">
      <w:pPr>
        <w:spacing w:line="276" w:lineRule="auto"/>
        <w:jc w:val="both"/>
        <w:rPr>
          <w:rFonts w:asciiTheme="minorHAnsi" w:hAnsiTheme="minorHAnsi" w:cstheme="minorHAnsi"/>
          <w:lang w:val="es-PE"/>
        </w:rPr>
      </w:pPr>
    </w:p>
    <w:p w14:paraId="61AC329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realizar el control de calidad de los trabajos realizados desde el inicio de la Operación y obtener a más tardar en el segundo año contado a partir de la Fecha de Aceptación de las Obras, la certificación de cumplimiento de la norma ISO 9001 para las actividades de mantenimiento, expedida por una entidad debidamente autorizada para tal efecto. </w:t>
      </w:r>
    </w:p>
    <w:p w14:paraId="261DE9EE" w14:textId="77777777" w:rsidR="009F2B65" w:rsidRPr="00285D58" w:rsidRDefault="009F2B65" w:rsidP="008D1FFF">
      <w:pPr>
        <w:spacing w:line="276" w:lineRule="auto"/>
        <w:jc w:val="both"/>
        <w:rPr>
          <w:rFonts w:asciiTheme="minorHAnsi" w:hAnsiTheme="minorHAnsi" w:cstheme="minorHAnsi"/>
          <w:lang w:val="es-PE"/>
        </w:rPr>
      </w:pPr>
    </w:p>
    <w:p w14:paraId="64A41AD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mantener actualizado el historial de mantenimiento de los Bienes de la Concesión que se contemplen en el Plan Anual de Conservación y Mantenimiento, dentro de los tres (3) Días de realizado dicho mantenimiento. </w:t>
      </w:r>
    </w:p>
    <w:p w14:paraId="06A6799C" w14:textId="77777777" w:rsidR="009F2B65" w:rsidRPr="00285D58" w:rsidRDefault="009F2B65" w:rsidP="008D1FFF">
      <w:pPr>
        <w:spacing w:line="276" w:lineRule="auto"/>
        <w:jc w:val="both"/>
        <w:rPr>
          <w:rFonts w:asciiTheme="minorHAnsi" w:hAnsiTheme="minorHAnsi" w:cstheme="minorHAnsi"/>
          <w:lang w:val="es-PE"/>
        </w:rPr>
      </w:pPr>
    </w:p>
    <w:p w14:paraId="3B93FE6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Supervisor inspeccionará, supervisará y controlará el cumplimiento de todas las obligaciones del CONCESIONARIO de manera continua e inopinadamente, con el fin de detectar oportunamente las desviaciones y exigir que se corrijan las deficiencias encontradas. </w:t>
      </w:r>
    </w:p>
    <w:p w14:paraId="3794BAF9" w14:textId="77777777" w:rsidR="009F2B65" w:rsidRPr="00285D58" w:rsidRDefault="009F2B65" w:rsidP="008D1FFF">
      <w:pPr>
        <w:spacing w:line="276" w:lineRule="auto"/>
        <w:jc w:val="both"/>
        <w:rPr>
          <w:rFonts w:asciiTheme="minorHAnsi" w:hAnsiTheme="minorHAnsi" w:cstheme="minorHAnsi"/>
          <w:lang w:val="es-PE"/>
        </w:rPr>
      </w:pPr>
    </w:p>
    <w:p w14:paraId="5FD5A35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1.3. PROCEDIMIENTOS GENERALES </w:t>
      </w:r>
    </w:p>
    <w:p w14:paraId="21E84C59" w14:textId="77777777" w:rsidR="009F2B65" w:rsidRPr="00285D58" w:rsidRDefault="009F2B65" w:rsidP="008D1FFF">
      <w:pPr>
        <w:spacing w:line="276" w:lineRule="auto"/>
        <w:jc w:val="both"/>
        <w:rPr>
          <w:rFonts w:asciiTheme="minorHAnsi" w:hAnsiTheme="minorHAnsi" w:cstheme="minorHAnsi"/>
          <w:lang w:val="es-PE"/>
        </w:rPr>
      </w:pPr>
    </w:p>
    <w:p w14:paraId="67C5C2F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Plan Anual de Conservación y Mantenimiento </w:t>
      </w:r>
    </w:p>
    <w:p w14:paraId="28D4F591" w14:textId="77777777" w:rsidR="009F2B65" w:rsidRPr="00285D58" w:rsidRDefault="009F2B65" w:rsidP="008D1FFF">
      <w:pPr>
        <w:spacing w:line="276" w:lineRule="auto"/>
        <w:jc w:val="both"/>
        <w:rPr>
          <w:rFonts w:asciiTheme="minorHAnsi" w:hAnsiTheme="minorHAnsi" w:cstheme="minorHAnsi"/>
          <w:lang w:val="es-PE"/>
        </w:rPr>
      </w:pPr>
    </w:p>
    <w:p w14:paraId="0CDD76DF" w14:textId="308E4561" w:rsidR="009F2B65" w:rsidRPr="00285D58" w:rsidRDefault="009F2B65" w:rsidP="008D1FFF">
      <w:pPr>
        <w:spacing w:line="276" w:lineRule="auto"/>
        <w:jc w:val="both"/>
        <w:rPr>
          <w:rFonts w:asciiTheme="minorHAnsi" w:hAnsiTheme="minorHAnsi" w:cstheme="minorHAnsi"/>
          <w:lang w:val="es-PE"/>
        </w:rPr>
      </w:pPr>
      <w:bookmarkStart w:id="220" w:name="_Hlk178536971"/>
      <w:bookmarkStart w:id="221" w:name="_Hlk178092636"/>
      <w:r w:rsidRPr="00285D58">
        <w:rPr>
          <w:rFonts w:asciiTheme="minorHAnsi" w:hAnsiTheme="minorHAnsi" w:cstheme="minorHAnsi"/>
          <w:lang w:val="es-PE"/>
        </w:rPr>
        <w:lastRenderedPageBreak/>
        <w:t xml:space="preserve">El CONCESIONARIO deberá presentar el Plan Anual de Conservación y Mantenimiento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27260F85" w14:textId="77777777" w:rsidR="009F2B65" w:rsidRPr="00285D58" w:rsidRDefault="009F2B65" w:rsidP="008D1FFF">
      <w:pPr>
        <w:spacing w:line="276" w:lineRule="auto"/>
        <w:jc w:val="both"/>
        <w:rPr>
          <w:rFonts w:asciiTheme="minorHAnsi" w:hAnsiTheme="minorHAnsi" w:cstheme="minorHAnsi"/>
          <w:lang w:val="es-PE"/>
        </w:rPr>
      </w:pPr>
    </w:p>
    <w:p w14:paraId="03EB65A0" w14:textId="241B65D3"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Conservación y Mantenimiento será presentado al </w:t>
      </w:r>
      <w:r w:rsidR="00DE2EE6" w:rsidRPr="00285D58">
        <w:rPr>
          <w:rFonts w:asciiTheme="minorHAnsi" w:hAnsiTheme="minorHAnsi" w:cstheme="minorHAnsi"/>
          <w:lang w:val="es-PE"/>
        </w:rPr>
        <w:t>Supervisor</w:t>
      </w:r>
      <w:r w:rsidRPr="00285D58">
        <w:rPr>
          <w:rFonts w:asciiTheme="minorHAnsi" w:hAnsiTheme="minorHAnsi" w:cstheme="minorHAnsi"/>
          <w:lang w:val="es-PE"/>
        </w:rPr>
        <w:t xml:space="preserve">, con copia al </w:t>
      </w:r>
      <w:r w:rsidR="00DE2EE6"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DE2EE6" w:rsidRPr="00285D58">
        <w:rPr>
          <w:rFonts w:asciiTheme="minorHAnsi" w:hAnsiTheme="minorHAnsi" w:cstheme="minorHAnsi"/>
          <w:lang w:val="es-PE"/>
        </w:rPr>
        <w:t xml:space="preserve">previos a la suscripción del Acta </w:t>
      </w:r>
      <w:r w:rsidR="00D55B7A" w:rsidRPr="00285D58">
        <w:rPr>
          <w:rFonts w:asciiTheme="minorHAnsi" w:hAnsiTheme="minorHAnsi" w:cstheme="minorHAnsi"/>
          <w:lang w:val="es-PE"/>
        </w:rPr>
        <w:t>de Inicio</w:t>
      </w:r>
      <w:r w:rsidRPr="00285D58">
        <w:rPr>
          <w:rFonts w:asciiTheme="minorHAnsi" w:hAnsiTheme="minorHAnsi" w:cstheme="minorHAnsi"/>
          <w:lang w:val="es-PE"/>
        </w:rPr>
        <w:t xml:space="preserve"> de la Operación. </w:t>
      </w:r>
    </w:p>
    <w:p w14:paraId="78A64B57" w14:textId="77777777" w:rsidR="009F2B65" w:rsidRPr="00285D58" w:rsidRDefault="009F2B65" w:rsidP="008D1FFF">
      <w:pPr>
        <w:spacing w:line="276" w:lineRule="auto"/>
        <w:jc w:val="both"/>
        <w:rPr>
          <w:rFonts w:asciiTheme="minorHAnsi" w:hAnsiTheme="minorHAnsi" w:cstheme="minorHAnsi"/>
          <w:lang w:val="es-PE"/>
        </w:rPr>
      </w:pPr>
    </w:p>
    <w:p w14:paraId="1EA54CDB" w14:textId="7E5ABED4"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de setiembre </w:t>
      </w:r>
      <w:r w:rsidRPr="00285D58">
        <w:rPr>
          <w:rFonts w:asciiTheme="minorHAnsi" w:hAnsiTheme="minorHAnsi" w:cstheme="minorHAnsi"/>
          <w:lang w:val="es-PE"/>
        </w:rPr>
        <w:t xml:space="preserve">del año anterior a su </w:t>
      </w:r>
      <w:r w:rsidR="00DE2EE6" w:rsidRPr="00285D58">
        <w:rPr>
          <w:rFonts w:asciiTheme="minorHAnsi" w:hAnsiTheme="minorHAnsi" w:cstheme="minorHAnsi"/>
          <w:lang w:val="es-PE"/>
        </w:rPr>
        <w:t>entrada en vigencia</w:t>
      </w:r>
      <w:r w:rsidRPr="00285D58">
        <w:rPr>
          <w:rFonts w:asciiTheme="minorHAnsi" w:hAnsiTheme="minorHAnsi" w:cstheme="minorHAnsi"/>
          <w:lang w:val="es-PE"/>
        </w:rPr>
        <w:t xml:space="preserve"> y </w:t>
      </w:r>
      <w:r w:rsidR="00D55B7A" w:rsidRPr="00285D58">
        <w:rPr>
          <w:rFonts w:asciiTheme="minorHAnsi" w:hAnsiTheme="minorHAnsi" w:cstheme="minorHAnsi"/>
          <w:lang w:val="es-PE"/>
        </w:rPr>
        <w:t>regirán desde</w:t>
      </w:r>
      <w:r w:rsidRPr="00285D58">
        <w:rPr>
          <w:rFonts w:asciiTheme="minorHAnsi" w:hAnsiTheme="minorHAnsi" w:cstheme="minorHAnsi"/>
          <w:lang w:val="es-PE"/>
        </w:rPr>
        <w:t xml:space="preserve"> enero hasta diciembre del año </w:t>
      </w:r>
      <w:r w:rsidR="00DE2EE6" w:rsidRPr="00285D58">
        <w:rPr>
          <w:rFonts w:asciiTheme="minorHAnsi" w:hAnsiTheme="minorHAnsi" w:cstheme="minorHAnsi"/>
          <w:lang w:val="es-PE"/>
        </w:rPr>
        <w:t xml:space="preserve">respectivo. </w:t>
      </w:r>
      <w:bookmarkStart w:id="222" w:name="_Hlk177030519"/>
      <w:r w:rsidRPr="00285D58">
        <w:rPr>
          <w:rFonts w:asciiTheme="minorHAnsi" w:hAnsiTheme="minorHAnsi" w:cstheme="minorHAnsi"/>
          <w:lang w:val="es-PE"/>
        </w:rPr>
        <w:t xml:space="preserve"> </w:t>
      </w:r>
    </w:p>
    <w:p w14:paraId="468237F6"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p>
    <w:bookmarkEnd w:id="222"/>
    <w:p w14:paraId="0CA9C05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Anual de Conservación y Mantenimiento estará debidamente justificado en sus aspectos técnicos, indicando el análisis del estado actual, los estándares internacionales de mantenimiento considerados y las políticas aplicadas para la toma de decisiones. </w:t>
      </w:r>
    </w:p>
    <w:p w14:paraId="6745B47B" w14:textId="77777777" w:rsidR="009F2B65" w:rsidRPr="00285D58" w:rsidRDefault="009F2B65" w:rsidP="008D1FFF">
      <w:pPr>
        <w:spacing w:line="276" w:lineRule="auto"/>
        <w:jc w:val="both"/>
        <w:rPr>
          <w:rFonts w:asciiTheme="minorHAnsi" w:hAnsiTheme="minorHAnsi" w:cstheme="minorHAnsi"/>
          <w:lang w:val="es-PE"/>
        </w:rPr>
      </w:pPr>
    </w:p>
    <w:bookmarkEnd w:id="220"/>
    <w:p w14:paraId="7829C6D2"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75BD54F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Conservación y Mantenimiento realizados durante el mes anterior, y de corresponder, deberá indicar las variaciones que hubiera efectuado respecto de lo establecido en el Plan Anual de Conservación y Mantenimiento con la debida justificación. </w:t>
      </w:r>
    </w:p>
    <w:p w14:paraId="7B711FC7" w14:textId="77777777" w:rsidR="009F2B65" w:rsidRPr="00285D58" w:rsidRDefault="009F2B65" w:rsidP="008D1FFF">
      <w:pPr>
        <w:spacing w:line="276" w:lineRule="auto"/>
        <w:jc w:val="both"/>
        <w:rPr>
          <w:rFonts w:asciiTheme="minorHAnsi" w:hAnsiTheme="minorHAnsi" w:cstheme="minorHAnsi"/>
          <w:lang w:val="es-PE"/>
        </w:rPr>
      </w:pPr>
    </w:p>
    <w:p w14:paraId="3DDD215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relación de los trabajos realizados formará parte del Informe Mensual de Actividades, descrito en la Sección 5 del presente Anexo.</w:t>
      </w:r>
    </w:p>
    <w:p w14:paraId="6756C902" w14:textId="77777777" w:rsidR="009F2B65" w:rsidRPr="00285D58" w:rsidRDefault="009F2B65" w:rsidP="008D1FFF">
      <w:pPr>
        <w:spacing w:line="276" w:lineRule="auto"/>
        <w:jc w:val="both"/>
        <w:rPr>
          <w:rFonts w:asciiTheme="minorHAnsi" w:hAnsiTheme="minorHAnsi" w:cstheme="minorHAnsi"/>
          <w:lang w:val="es-PE"/>
        </w:rPr>
      </w:pPr>
    </w:p>
    <w:bookmarkEnd w:id="221"/>
    <w:p w14:paraId="076A30E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Etapa de Ejecución de Obras </w:t>
      </w:r>
    </w:p>
    <w:p w14:paraId="76112CF5"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Durante la Etapa de Ejecución de Obras no se evaluará los Niveles de Servicio de Conservación estipulados en el presente Anexo.</w:t>
      </w:r>
    </w:p>
    <w:p w14:paraId="0BF69BD5" w14:textId="77777777" w:rsidR="009F2B65" w:rsidRPr="00285D58" w:rsidRDefault="009F2B65" w:rsidP="008D1FFF">
      <w:pPr>
        <w:spacing w:line="276" w:lineRule="auto"/>
        <w:jc w:val="both"/>
        <w:rPr>
          <w:rFonts w:asciiTheme="minorHAnsi" w:hAnsiTheme="minorHAnsi" w:cstheme="minorHAnsi"/>
          <w:lang w:val="es-PE"/>
        </w:rPr>
      </w:pPr>
    </w:p>
    <w:p w14:paraId="0EC4F25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Una vez finalizada la Etapa de Ejecución de obras, el CONCESIONARIO deberá realizar todas aquellas tareas de Conservación necesarias para recuperar y mantener los Niveles de Servicio de Conservación de las Obras definido en este Anexo, durante el Plazo de la Concesión. </w:t>
      </w:r>
    </w:p>
    <w:p w14:paraId="34923479" w14:textId="77777777" w:rsidR="009F2B65" w:rsidRPr="00285D58" w:rsidRDefault="009F2B65" w:rsidP="008D1FFF">
      <w:pPr>
        <w:spacing w:line="276" w:lineRule="auto"/>
        <w:jc w:val="both"/>
        <w:rPr>
          <w:rFonts w:asciiTheme="minorHAnsi" w:hAnsiTheme="minorHAnsi" w:cstheme="minorHAnsi"/>
          <w:lang w:val="es-PE"/>
        </w:rPr>
      </w:pPr>
    </w:p>
    <w:p w14:paraId="67F3CE43"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2: SERVICIO DE ASEO Y LIMPIEZA </w:t>
      </w:r>
    </w:p>
    <w:p w14:paraId="0F3CC50C" w14:textId="77777777" w:rsidR="009F2B65" w:rsidRPr="00285D58" w:rsidRDefault="009F2B65" w:rsidP="008D1FFF">
      <w:pPr>
        <w:spacing w:line="276" w:lineRule="auto"/>
        <w:jc w:val="both"/>
        <w:rPr>
          <w:rFonts w:asciiTheme="minorHAnsi" w:hAnsiTheme="minorHAnsi" w:cstheme="minorHAnsi"/>
          <w:lang w:val="es-PE"/>
        </w:rPr>
      </w:pPr>
    </w:p>
    <w:p w14:paraId="296015A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2.1. PRINCIPIOS GENERALES </w:t>
      </w:r>
    </w:p>
    <w:p w14:paraId="662AAB2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prestar el Servicio de Aseo y Limpieza dentro y fuera de las estaciones, cabinas y buses. Asimismo, estará a cargo de la Gestión de los Residuos Sólidos generados dentro de las estaciones, cabinas y buses. </w:t>
      </w:r>
    </w:p>
    <w:p w14:paraId="0DF43BE7" w14:textId="77777777" w:rsidR="009F2B65" w:rsidRPr="00285D58" w:rsidRDefault="009F2B65" w:rsidP="008D1FFF">
      <w:pPr>
        <w:spacing w:line="276" w:lineRule="auto"/>
        <w:jc w:val="both"/>
        <w:rPr>
          <w:rFonts w:asciiTheme="minorHAnsi" w:hAnsiTheme="minorHAnsi" w:cstheme="minorHAnsi"/>
          <w:lang w:val="es-PE"/>
        </w:rPr>
      </w:pPr>
    </w:p>
    <w:p w14:paraId="6DAACCC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actividades de Aseo y Limpieza y la Gestión de Residuos Sólidos, deberán realizarse de forma oportuna, respetando los estándares internacionales y las normativas nacionales vigentes. </w:t>
      </w:r>
    </w:p>
    <w:p w14:paraId="4C7DFF06" w14:textId="77777777" w:rsidR="009F2B65" w:rsidRPr="00285D58" w:rsidRDefault="009F2B65" w:rsidP="008D1FFF">
      <w:pPr>
        <w:spacing w:line="276" w:lineRule="auto"/>
        <w:jc w:val="both"/>
        <w:rPr>
          <w:rFonts w:asciiTheme="minorHAnsi" w:hAnsiTheme="minorHAnsi" w:cstheme="minorHAnsi"/>
          <w:lang w:val="es-PE"/>
        </w:rPr>
      </w:pPr>
    </w:p>
    <w:p w14:paraId="18AD6D3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No serán aceptables políticas o prácticas que produzcan impactos negativos en el medio ambiente. </w:t>
      </w:r>
    </w:p>
    <w:p w14:paraId="504376E6" w14:textId="77777777" w:rsidR="009F2B65" w:rsidRPr="00285D58" w:rsidRDefault="009F2B65" w:rsidP="008D1FFF">
      <w:pPr>
        <w:spacing w:line="276" w:lineRule="auto"/>
        <w:jc w:val="both"/>
        <w:rPr>
          <w:rFonts w:asciiTheme="minorHAnsi" w:hAnsiTheme="minorHAnsi" w:cstheme="minorHAnsi"/>
          <w:lang w:val="es-PE"/>
        </w:rPr>
      </w:pPr>
    </w:p>
    <w:p w14:paraId="47353DE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2.2. NIVELES DE SERVICIO DE ASEO Y LIMPIEZA </w:t>
      </w:r>
    </w:p>
    <w:p w14:paraId="6095AE4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Aseo y Limpieza de los Bienes de la Concesión se expresará a través del cumplimiento de los Niveles de Servicio establecidos en este anexo y de los Indicadores establecidos en el Apéndice I del presente anexo. </w:t>
      </w:r>
    </w:p>
    <w:p w14:paraId="694B92F6"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p>
    <w:p w14:paraId="1351D7E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considerar la provisión y reposición de todos los insumos necesarios para el correcto funcionamiento de los servicios higiénicos, tales como jabones, papel higiénico, alcohol, toallas para manos, etc. </w:t>
      </w:r>
    </w:p>
    <w:p w14:paraId="45D4D8BD" w14:textId="77777777" w:rsidR="009F2B65" w:rsidRPr="00285D58" w:rsidRDefault="009F2B65" w:rsidP="008D1FFF">
      <w:pPr>
        <w:spacing w:line="276" w:lineRule="auto"/>
        <w:jc w:val="both"/>
        <w:rPr>
          <w:rFonts w:asciiTheme="minorHAnsi" w:hAnsiTheme="minorHAnsi" w:cstheme="minorHAnsi"/>
          <w:lang w:val="es-PE"/>
        </w:rPr>
      </w:pPr>
    </w:p>
    <w:p w14:paraId="118BB55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Para cada día de funcionamiento y durante toda la Operación, el CONCESIONARIO deberá iniciar el servicio con cabinas y buses limpios desodorizadas, desinfectadas y desinsectadas. Se entiende por cabina o bus limpio aquellos cuya superficie interna y externa, exteriores, asientos, respaldares, vidrios, pisos, techo, se encuentren libres de polvo, suciedad y manchas de cualquier tipo y origen. </w:t>
      </w:r>
    </w:p>
    <w:p w14:paraId="37B95713" w14:textId="77777777" w:rsidR="009F2B65" w:rsidRPr="00285D58" w:rsidRDefault="009F2B65" w:rsidP="008D1FFF">
      <w:pPr>
        <w:spacing w:line="276" w:lineRule="auto"/>
        <w:jc w:val="both"/>
        <w:rPr>
          <w:rFonts w:asciiTheme="minorHAnsi" w:hAnsiTheme="minorHAnsi" w:cstheme="minorHAnsi"/>
          <w:lang w:val="es-PE"/>
        </w:rPr>
      </w:pPr>
    </w:p>
    <w:p w14:paraId="5C4E46C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efectuar como mínimo una (1) vez por semana la limpieza profunda y completa de cada cabina y bus, incluyendo su lavado, tanto exterior como interiormente. </w:t>
      </w:r>
    </w:p>
    <w:p w14:paraId="41FDEFB9" w14:textId="77777777" w:rsidR="009F2B65" w:rsidRPr="00285D58" w:rsidRDefault="009F2B65" w:rsidP="008D1FFF">
      <w:pPr>
        <w:spacing w:line="276" w:lineRule="auto"/>
        <w:jc w:val="both"/>
        <w:rPr>
          <w:rFonts w:asciiTheme="minorHAnsi" w:hAnsiTheme="minorHAnsi" w:cstheme="minorHAnsi"/>
          <w:lang w:val="es-PE"/>
        </w:rPr>
      </w:pPr>
    </w:p>
    <w:p w14:paraId="45E2653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hacerse cargo del retiro de basura y residuos generados dentro de las Estaciones, cabinas y buses. Para ello deberá establecer la metodología adecuada en coordinación con las entidades o prestadores de servicios público a cargo de la deposición final de los residuos sólidos, en cumplimiento de la normativa nacional vigente y los estándares internacionales. En caso lo requiera, podrá tercerizar el servicio, lo cual no lo exonerará del cumplimiento de lo establecido en este anexo. </w:t>
      </w:r>
    </w:p>
    <w:p w14:paraId="19520D75" w14:textId="77777777" w:rsidR="009F2B65" w:rsidRPr="00285D58" w:rsidRDefault="009F2B65" w:rsidP="008D1FFF">
      <w:pPr>
        <w:spacing w:line="276" w:lineRule="auto"/>
        <w:jc w:val="both"/>
        <w:rPr>
          <w:rFonts w:asciiTheme="minorHAnsi" w:hAnsiTheme="minorHAnsi" w:cstheme="minorHAnsi"/>
          <w:lang w:val="es-PE"/>
        </w:rPr>
      </w:pPr>
    </w:p>
    <w:p w14:paraId="7BDAFB7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Es obligación del CONCESIONARIO programar y ejecutar oportunamente y en la frecuencia necesaria las tareas de aseo y limpieza, durante todo el Plazo de la Concesión, de tal manera que se cumplan los Niveles de Servicio e Indicadores definidos en este Anexo. </w:t>
      </w:r>
    </w:p>
    <w:p w14:paraId="1AEF279B" w14:textId="77777777" w:rsidR="009F2B65" w:rsidRPr="00285D58" w:rsidRDefault="009F2B65" w:rsidP="008D1FFF">
      <w:pPr>
        <w:spacing w:line="276" w:lineRule="auto"/>
        <w:jc w:val="both"/>
        <w:rPr>
          <w:rFonts w:asciiTheme="minorHAnsi" w:hAnsiTheme="minorHAnsi" w:cstheme="minorHAnsi"/>
          <w:lang w:val="es-PE"/>
        </w:rPr>
      </w:pPr>
    </w:p>
    <w:p w14:paraId="63CF318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Aseo y Limpieza que comprenda todas las actividades de aseo y limpieza requeridas para cada uno de los ambientes internos y externos de las Estaciones, Equipamiento Electromecánico de los Teleféricos y buses. Así como también, la frecuencia, insumos y recursos necesarios para su ejecución; así como el programa y la metodología para la gestión de residuos sólidos, en cumplimiento de los estándares internacionales, la normativa vigente y los criterios mínimos para el aseo y limpieza detallados en el Apéndice 2 del presente Anexo. </w:t>
      </w:r>
    </w:p>
    <w:p w14:paraId="1EAB3E04" w14:textId="77777777" w:rsidR="009F2B65" w:rsidRPr="00285D58" w:rsidRDefault="009F2B65" w:rsidP="008D1FFF">
      <w:pPr>
        <w:spacing w:line="276" w:lineRule="auto"/>
        <w:jc w:val="both"/>
        <w:rPr>
          <w:rFonts w:asciiTheme="minorHAnsi" w:hAnsiTheme="minorHAnsi" w:cstheme="minorHAnsi"/>
          <w:lang w:val="es-PE"/>
        </w:rPr>
      </w:pPr>
    </w:p>
    <w:p w14:paraId="2A76E79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lastRenderedPageBreak/>
        <w:t xml:space="preserve">El CONCESIONARIO dispondrá en todo momento de la estructura, organización y recursos (físicos y administrativos) que le permitan programar y ejecutar a lo largo del Plazo de la Concesión las tareas de Aseo y Limpieza necesarias para mantener los Niveles de Servicio e Indicadores de Aseo y Limpieza definidos en este Anexo. </w:t>
      </w:r>
    </w:p>
    <w:p w14:paraId="2EA02271" w14:textId="77777777" w:rsidR="009F2B65" w:rsidRPr="00285D58" w:rsidRDefault="009F2B65" w:rsidP="008D1FFF">
      <w:pPr>
        <w:spacing w:line="276" w:lineRule="auto"/>
        <w:jc w:val="both"/>
        <w:rPr>
          <w:rFonts w:asciiTheme="minorHAnsi" w:hAnsiTheme="minorHAnsi" w:cstheme="minorHAnsi"/>
          <w:lang w:val="es-PE"/>
        </w:rPr>
      </w:pPr>
    </w:p>
    <w:p w14:paraId="5056099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documentar, registrar y mantener actualizado el historial de todas las actividades de aseo y limpieza ejecutadas en el día. </w:t>
      </w:r>
    </w:p>
    <w:p w14:paraId="0FB9C237" w14:textId="77777777" w:rsidR="009F2B65" w:rsidRPr="00285D58" w:rsidRDefault="009F2B65" w:rsidP="008D1FFF">
      <w:pPr>
        <w:spacing w:line="276" w:lineRule="auto"/>
        <w:jc w:val="both"/>
        <w:rPr>
          <w:rFonts w:asciiTheme="minorHAnsi" w:hAnsiTheme="minorHAnsi" w:cstheme="minorHAnsi"/>
          <w:lang w:val="es-PE"/>
        </w:rPr>
      </w:pPr>
    </w:p>
    <w:p w14:paraId="645C76D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2.3. PROCEDIMIENTOS GENERALES</w:t>
      </w:r>
    </w:p>
    <w:p w14:paraId="4A482585" w14:textId="77777777" w:rsidR="009F2B65" w:rsidRPr="00285D58" w:rsidRDefault="009F2B65" w:rsidP="008D1FFF">
      <w:pPr>
        <w:spacing w:line="276" w:lineRule="auto"/>
        <w:jc w:val="both"/>
        <w:rPr>
          <w:rFonts w:asciiTheme="minorHAnsi" w:hAnsiTheme="minorHAnsi" w:cstheme="minorHAnsi"/>
          <w:lang w:val="es-PE"/>
        </w:rPr>
      </w:pPr>
    </w:p>
    <w:p w14:paraId="4CD42C1E" w14:textId="77777777" w:rsidR="009F2B65" w:rsidRPr="00285D58" w:rsidRDefault="009F2B65" w:rsidP="008D1FFF">
      <w:pPr>
        <w:spacing w:line="276" w:lineRule="auto"/>
        <w:jc w:val="both"/>
        <w:rPr>
          <w:rFonts w:asciiTheme="minorHAnsi" w:hAnsiTheme="minorHAnsi" w:cstheme="minorHAnsi"/>
          <w:color w:val="C45911"/>
          <w:lang w:val="es-PE"/>
        </w:rPr>
      </w:pPr>
      <w:r w:rsidRPr="00285D58">
        <w:rPr>
          <w:rFonts w:asciiTheme="minorHAnsi" w:hAnsiTheme="minorHAnsi" w:cstheme="minorHAnsi"/>
          <w:b/>
          <w:bCs/>
          <w:lang w:val="es-PE"/>
        </w:rPr>
        <w:t>Plan Anual de Aseo y Limpieza</w:t>
      </w:r>
    </w:p>
    <w:p w14:paraId="02AD5BB6" w14:textId="77777777" w:rsidR="009F2B65" w:rsidRPr="00285D58" w:rsidRDefault="009F2B65" w:rsidP="008D1FFF">
      <w:pPr>
        <w:spacing w:line="276" w:lineRule="auto"/>
        <w:jc w:val="both"/>
        <w:rPr>
          <w:rFonts w:asciiTheme="minorHAnsi" w:hAnsiTheme="minorHAnsi" w:cstheme="minorHAnsi"/>
          <w:lang w:val="es-PE"/>
        </w:rPr>
      </w:pPr>
    </w:p>
    <w:p w14:paraId="4FA3FC4E" w14:textId="5B6B1E5F"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Aseo y Limpieza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6113161A" w14:textId="77777777" w:rsidR="009F2B65" w:rsidRPr="00285D58" w:rsidRDefault="009F2B65" w:rsidP="008D1FFF">
      <w:pPr>
        <w:spacing w:line="276" w:lineRule="auto"/>
        <w:jc w:val="both"/>
        <w:rPr>
          <w:rFonts w:asciiTheme="minorHAnsi" w:hAnsiTheme="minorHAnsi" w:cstheme="minorHAnsi"/>
          <w:lang w:val="es-PE"/>
        </w:rPr>
      </w:pPr>
    </w:p>
    <w:p w14:paraId="431B7EB6" w14:textId="3747DC70"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primer Plan Anual de Aseo y Limpieza será entregado al Supervisor</w:t>
      </w:r>
      <w:r w:rsidR="00DE2EE6" w:rsidRPr="00285D58">
        <w:rPr>
          <w:rFonts w:asciiTheme="minorHAnsi" w:hAnsiTheme="minorHAnsi" w:cstheme="minorHAnsi"/>
          <w:lang w:val="es-PE"/>
        </w:rPr>
        <w:t>,</w:t>
      </w:r>
      <w:r w:rsidRPr="00285D58">
        <w:rPr>
          <w:rFonts w:asciiTheme="minorHAnsi" w:hAnsiTheme="minorHAnsi" w:cstheme="minorHAnsi"/>
          <w:lang w:val="es-PE"/>
        </w:rPr>
        <w:t xml:space="preserve"> con copia al CONCEDENTE</w:t>
      </w:r>
      <w:r w:rsidR="00DE2EE6" w:rsidRPr="00285D58">
        <w:rPr>
          <w:rFonts w:asciiTheme="minorHAnsi" w:hAnsiTheme="minorHAnsi" w:cstheme="minorHAnsi"/>
          <w:lang w:val="es-PE"/>
        </w:rPr>
        <w:t>,</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alendario</w:t>
      </w:r>
      <w:r w:rsidR="00DE2EE6" w:rsidRPr="00285D58">
        <w:rPr>
          <w:rFonts w:asciiTheme="minorHAnsi" w:hAnsiTheme="minorHAnsi" w:cstheme="minorHAnsi"/>
          <w:lang w:val="es-PE"/>
        </w:rPr>
        <w:t xml:space="preserve"> previos a la suscripción del </w:t>
      </w:r>
      <w:r w:rsidR="00D55B7A" w:rsidRPr="00285D58">
        <w:rPr>
          <w:rFonts w:asciiTheme="minorHAnsi" w:hAnsiTheme="minorHAnsi" w:cstheme="minorHAnsi"/>
          <w:lang w:val="es-PE"/>
        </w:rPr>
        <w:t>Acta de</w:t>
      </w:r>
      <w:r w:rsidRPr="00285D58">
        <w:rPr>
          <w:rFonts w:asciiTheme="minorHAnsi" w:hAnsiTheme="minorHAnsi" w:cstheme="minorHAnsi"/>
          <w:lang w:val="es-PE"/>
        </w:rPr>
        <w:t xml:space="preserve"> Inicio de</w:t>
      </w:r>
      <w:r w:rsidR="00DE2EE6" w:rsidRPr="00285D58">
        <w:rPr>
          <w:rFonts w:asciiTheme="minorHAnsi" w:hAnsiTheme="minorHAnsi" w:cstheme="minorHAnsi"/>
          <w:lang w:val="es-PE"/>
        </w:rPr>
        <w:t xml:space="preserve"> la</w:t>
      </w:r>
      <w:r w:rsidRPr="00285D58">
        <w:rPr>
          <w:rFonts w:asciiTheme="minorHAnsi" w:hAnsiTheme="minorHAnsi" w:cstheme="minorHAnsi"/>
          <w:lang w:val="es-PE"/>
        </w:rPr>
        <w:t xml:space="preserve"> Operación.</w:t>
      </w:r>
    </w:p>
    <w:p w14:paraId="10D8DB52" w14:textId="77777777" w:rsidR="009F2B65" w:rsidRPr="00285D58" w:rsidRDefault="009F2B65" w:rsidP="008D1FFF">
      <w:pPr>
        <w:spacing w:line="276" w:lineRule="auto"/>
        <w:jc w:val="both"/>
        <w:rPr>
          <w:rFonts w:asciiTheme="minorHAnsi" w:hAnsiTheme="minorHAnsi" w:cstheme="minorHAnsi"/>
          <w:lang w:val="es-PE"/>
        </w:rPr>
      </w:pPr>
    </w:p>
    <w:p w14:paraId="6A628C0A" w14:textId="6EBA399B"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w:t>
      </w:r>
      <w:r w:rsidR="00D55B7A" w:rsidRPr="00285D58">
        <w:rPr>
          <w:rFonts w:asciiTheme="minorHAnsi" w:hAnsiTheme="minorHAnsi" w:cstheme="minorHAnsi"/>
          <w:lang w:val="es-PE"/>
        </w:rPr>
        <w:t>de setiembre</w:t>
      </w:r>
      <w:r w:rsidRPr="00285D58">
        <w:rPr>
          <w:rFonts w:asciiTheme="minorHAnsi" w:hAnsiTheme="minorHAnsi" w:cstheme="minorHAnsi"/>
          <w:lang w:val="es-PE"/>
        </w:rPr>
        <w:t xml:space="preserve"> del año anterior a su </w:t>
      </w:r>
      <w:r w:rsidR="00DE2EE6" w:rsidRPr="00285D58">
        <w:rPr>
          <w:rFonts w:asciiTheme="minorHAnsi" w:hAnsiTheme="minorHAnsi" w:cstheme="minorHAnsi"/>
          <w:lang w:val="es-PE"/>
        </w:rPr>
        <w:t xml:space="preserve">entrada en vigencia y </w:t>
      </w:r>
      <w:r w:rsidR="00D55B7A" w:rsidRPr="00285D58">
        <w:rPr>
          <w:rFonts w:asciiTheme="minorHAnsi" w:hAnsiTheme="minorHAnsi" w:cstheme="minorHAnsi"/>
          <w:lang w:val="es-PE"/>
        </w:rPr>
        <w:t>regirán desde</w:t>
      </w:r>
      <w:r w:rsidRPr="00285D58">
        <w:rPr>
          <w:rFonts w:asciiTheme="minorHAnsi" w:hAnsiTheme="minorHAnsi" w:cstheme="minorHAnsi"/>
          <w:lang w:val="es-PE"/>
        </w:rPr>
        <w:t xml:space="preserve"> enero hasta diciembre del año </w:t>
      </w:r>
      <w:r w:rsidR="00DE2EE6" w:rsidRPr="00285D58">
        <w:rPr>
          <w:rFonts w:asciiTheme="minorHAnsi" w:hAnsiTheme="minorHAnsi" w:cstheme="minorHAnsi"/>
          <w:lang w:val="es-PE"/>
        </w:rPr>
        <w:t>respectivo.</w:t>
      </w:r>
      <w:r w:rsidRPr="00285D58">
        <w:rPr>
          <w:rFonts w:asciiTheme="minorHAnsi" w:hAnsiTheme="minorHAnsi" w:cstheme="minorHAnsi"/>
          <w:lang w:val="es-PE"/>
        </w:rPr>
        <w:t>.</w:t>
      </w:r>
    </w:p>
    <w:p w14:paraId="61A33EC3" w14:textId="77777777" w:rsidR="009F2B65" w:rsidRPr="00285D58" w:rsidRDefault="009F2B65" w:rsidP="008D1FFF">
      <w:pPr>
        <w:spacing w:line="276" w:lineRule="auto"/>
        <w:jc w:val="both"/>
        <w:rPr>
          <w:rFonts w:asciiTheme="minorHAnsi" w:hAnsiTheme="minorHAnsi" w:cstheme="minorHAnsi"/>
          <w:lang w:val="es-PE"/>
        </w:rPr>
      </w:pPr>
    </w:p>
    <w:p w14:paraId="4EABA49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cumplir con el cronograma de actividades propuesto en el Plan Anual de Aseo y Limpieza. Este podrá modificar la programación de las actividades, siempre y cuando se encuentre debidamente justificado, para lo cual deberá actualizar el plan anual vigente y presentarlo al CONCEDENTE, quince (15) Días Calendario antes de que entre en vigencia. </w:t>
      </w:r>
    </w:p>
    <w:p w14:paraId="29D62852" w14:textId="77777777" w:rsidR="009F2B65" w:rsidRPr="00285D58" w:rsidRDefault="009F2B65" w:rsidP="008D1FFF">
      <w:pPr>
        <w:spacing w:line="276" w:lineRule="auto"/>
        <w:jc w:val="both"/>
        <w:rPr>
          <w:rFonts w:asciiTheme="minorHAnsi" w:hAnsiTheme="minorHAnsi" w:cstheme="minorHAnsi"/>
          <w:lang w:val="es-PE"/>
        </w:rPr>
      </w:pPr>
    </w:p>
    <w:p w14:paraId="17D5A81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Se deberá tener en cuenta que los recursos a emplear en la limpieza de estaciones, cabinas y buses estarán en relación a la modalidad habitual de comportamiento de los Usuario. El comportamiento incorrecto de los Usuarios no será eximente de la responsabilidad del CONCESIONARIO en el cumplimiento de esta obligación, salvo en casos que, a juicio del Supervisor, resulten excepcionales. </w:t>
      </w:r>
    </w:p>
    <w:p w14:paraId="7A9EF73C" w14:textId="77777777" w:rsidR="009F2B65" w:rsidRPr="00285D58" w:rsidRDefault="009F2B65" w:rsidP="008D1FFF">
      <w:pPr>
        <w:spacing w:line="276" w:lineRule="auto"/>
        <w:jc w:val="both"/>
        <w:rPr>
          <w:rFonts w:asciiTheme="minorHAnsi" w:hAnsiTheme="minorHAnsi" w:cstheme="minorHAnsi"/>
          <w:lang w:val="es-PE"/>
        </w:rPr>
      </w:pPr>
    </w:p>
    <w:p w14:paraId="3F7FBA6C" w14:textId="77777777" w:rsidR="009F2B65" w:rsidRPr="00285D58" w:rsidRDefault="009F2B65" w:rsidP="008D1FFF">
      <w:pPr>
        <w:spacing w:line="276" w:lineRule="auto"/>
        <w:jc w:val="both"/>
        <w:rPr>
          <w:rFonts w:asciiTheme="minorHAnsi" w:hAnsiTheme="minorHAnsi" w:cstheme="minorHAnsi"/>
          <w:b/>
          <w:bCs/>
          <w:lang w:val="es-PE"/>
        </w:rPr>
      </w:pPr>
      <w:bookmarkStart w:id="223" w:name="_Hlk178537817"/>
      <w:r w:rsidRPr="00285D58">
        <w:rPr>
          <w:rFonts w:asciiTheme="minorHAnsi" w:hAnsiTheme="minorHAnsi" w:cstheme="minorHAnsi"/>
          <w:b/>
          <w:bCs/>
          <w:lang w:val="es-PE"/>
        </w:rPr>
        <w:t>Informe Mensual de Actividades</w:t>
      </w:r>
    </w:p>
    <w:p w14:paraId="221FA45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Aseo y Limpieza realizados durante el mes anterior, y de corresponder, deberá indicar las variaciones que hubiera efectuado respecto de lo establecido en el Plan Anual de Aseo y Limpieza con la debida justificación. </w:t>
      </w:r>
    </w:p>
    <w:p w14:paraId="32F1698A" w14:textId="77777777" w:rsidR="009F2B65" w:rsidRPr="00285D58" w:rsidRDefault="009F2B65" w:rsidP="008D1FFF">
      <w:pPr>
        <w:spacing w:line="276" w:lineRule="auto"/>
        <w:jc w:val="both"/>
        <w:rPr>
          <w:rFonts w:asciiTheme="minorHAnsi" w:hAnsiTheme="minorHAnsi" w:cstheme="minorHAnsi"/>
          <w:lang w:val="es-PE"/>
        </w:rPr>
      </w:pPr>
    </w:p>
    <w:p w14:paraId="726AA03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 relación de los trabajos realizados formará parte del Informe Mensual de Actividades, descrito </w:t>
      </w:r>
      <w:r w:rsidRPr="00285D58">
        <w:rPr>
          <w:rFonts w:asciiTheme="minorHAnsi" w:hAnsiTheme="minorHAnsi" w:cstheme="minorHAnsi"/>
          <w:lang w:val="es-PE"/>
        </w:rPr>
        <w:lastRenderedPageBreak/>
        <w:t>en la Sección 5 del presente Anexo.</w:t>
      </w:r>
    </w:p>
    <w:bookmarkEnd w:id="223"/>
    <w:p w14:paraId="7F91F41C" w14:textId="77777777" w:rsidR="009F2B65" w:rsidRPr="00285D58" w:rsidRDefault="009F2B65" w:rsidP="008D1FFF">
      <w:pPr>
        <w:spacing w:line="276" w:lineRule="auto"/>
        <w:jc w:val="both"/>
        <w:rPr>
          <w:rFonts w:asciiTheme="minorHAnsi" w:hAnsiTheme="minorHAnsi" w:cstheme="minorHAnsi"/>
          <w:lang w:val="es-PE"/>
        </w:rPr>
      </w:pPr>
    </w:p>
    <w:p w14:paraId="1D4EDFF8" w14:textId="77777777" w:rsidR="009F2B65" w:rsidRPr="00285D58" w:rsidRDefault="009F2B65" w:rsidP="008D1FFF">
      <w:pPr>
        <w:spacing w:line="276" w:lineRule="auto"/>
        <w:jc w:val="both"/>
        <w:rPr>
          <w:rFonts w:asciiTheme="minorHAnsi" w:hAnsiTheme="minorHAnsi" w:cstheme="minorHAnsi"/>
          <w:lang w:val="es-PE"/>
        </w:rPr>
      </w:pPr>
    </w:p>
    <w:p w14:paraId="75F2E211"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SECCIÓN 3: SERVICIO DE TRANSPORTE POR TELEFÉRICO Y BUSES</w:t>
      </w:r>
    </w:p>
    <w:p w14:paraId="01D79021" w14:textId="77777777" w:rsidR="009F2B65" w:rsidRPr="00285D58" w:rsidRDefault="009F2B65" w:rsidP="008D1FFF">
      <w:pPr>
        <w:spacing w:line="276" w:lineRule="auto"/>
        <w:jc w:val="both"/>
        <w:rPr>
          <w:rFonts w:asciiTheme="minorHAnsi" w:hAnsiTheme="minorHAnsi" w:cstheme="minorHAnsi"/>
          <w:lang w:val="es-PE"/>
        </w:rPr>
      </w:pPr>
    </w:p>
    <w:p w14:paraId="45C0EF7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3.1. PRINCIPIOS GENERALES </w:t>
      </w:r>
    </w:p>
    <w:p w14:paraId="15AFB24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 prestación del Servicio deberá llevarse a cabo protegiendo la vida humana y garantizando la seguridad de las personas. </w:t>
      </w:r>
    </w:p>
    <w:p w14:paraId="1056221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 prestación del Servicio deberá realizarse respetando los estándares internacionales de operación, seguridad y calidad de instalaciones de transporte por cable. </w:t>
      </w:r>
    </w:p>
    <w:p w14:paraId="536567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cumplir todas las disposiciones relacionadas con la prestación del servicio que se establecen en los reglamentos y Leyes Aplicables. En caso una disposición contenida en los reglamentos o Leyes Aplicables tenga una obligación referida a seguridad más exigente que alguna de las previstas a continuación, prevalecerá lo establecido en los reglamentos o Leyes Aplicables. </w:t>
      </w:r>
    </w:p>
    <w:p w14:paraId="742D44C3" w14:textId="77777777" w:rsidR="009F2B65" w:rsidRPr="00285D58" w:rsidRDefault="009F2B65" w:rsidP="008D1FFF">
      <w:pPr>
        <w:spacing w:line="276" w:lineRule="auto"/>
        <w:jc w:val="both"/>
        <w:rPr>
          <w:rFonts w:asciiTheme="minorHAnsi" w:hAnsiTheme="minorHAnsi" w:cstheme="minorHAnsi"/>
          <w:lang w:val="es-PE"/>
        </w:rPr>
      </w:pPr>
    </w:p>
    <w:p w14:paraId="07B3DDE9"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3.2. NIVELES DE PRESTACIÓN DEL SERVICIO </w:t>
      </w:r>
    </w:p>
    <w:p w14:paraId="1A54EAD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límites de los parámetros mínimos que deberán cumplirse durante la etapa de prestación del Servicio se denominan “Niveles de Prestación del Servicio”, los cuales se establecen en cumplimiento de los estándares internacionales de operación, seguridad y calidad propuestos por el CONCESIONARIO. </w:t>
      </w:r>
    </w:p>
    <w:p w14:paraId="46C31B78" w14:textId="77777777" w:rsidR="009F2B65" w:rsidRPr="00285D58" w:rsidRDefault="009F2B65" w:rsidP="008D1FFF">
      <w:pPr>
        <w:spacing w:line="276" w:lineRule="auto"/>
        <w:jc w:val="both"/>
        <w:rPr>
          <w:rFonts w:asciiTheme="minorHAnsi" w:hAnsiTheme="minorHAnsi" w:cstheme="minorHAnsi"/>
          <w:lang w:val="es-PE"/>
        </w:rPr>
      </w:pPr>
    </w:p>
    <w:p w14:paraId="460195B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estándares internacionales de operación, seguridad y calidad propuestos deberán ser entregados al CONCEDENTE y al Supervisor para su aprobación, a más tardar treinta (30) Días Calendario antes de la entrega del Plan Anual de Operación. </w:t>
      </w:r>
    </w:p>
    <w:p w14:paraId="45DAA158" w14:textId="77777777" w:rsidR="009F2B65" w:rsidRPr="00285D58" w:rsidRDefault="009F2B65" w:rsidP="008D1FFF">
      <w:pPr>
        <w:spacing w:line="276" w:lineRule="auto"/>
        <w:jc w:val="both"/>
        <w:rPr>
          <w:rFonts w:asciiTheme="minorHAnsi" w:hAnsiTheme="minorHAnsi" w:cstheme="minorHAnsi"/>
          <w:lang w:val="es-PE"/>
        </w:rPr>
      </w:pPr>
    </w:p>
    <w:p w14:paraId="6F6C887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Es obligación del CONCESIONARIO programar y ejecutar oportunamente las tareas vinculadas a la prestación del Servicio, durante todo el Plazo de la Concesión, de tal manera que los Niveles de Prestación del Servicio sean iguales o estén siempre por encima de los umbrales mínimos establecidos por los Niveles de Prestación del Servicio. </w:t>
      </w:r>
    </w:p>
    <w:p w14:paraId="31BBC207" w14:textId="77777777" w:rsidR="009F2B65" w:rsidRPr="00285D58" w:rsidRDefault="009F2B65" w:rsidP="008D1FFF">
      <w:pPr>
        <w:spacing w:line="276" w:lineRule="auto"/>
        <w:jc w:val="both"/>
        <w:rPr>
          <w:rFonts w:asciiTheme="minorHAnsi" w:hAnsiTheme="minorHAnsi" w:cstheme="minorHAnsi"/>
          <w:lang w:val="es-PE"/>
        </w:rPr>
      </w:pPr>
    </w:p>
    <w:p w14:paraId="0B0F52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elaborar un Plan Anual de Operación que comprenda todas las actividades requeridas para la correcta ejecución del Servicio, cumpliendo con estándares de operación, seguridad y calidad reconocidos internacionalmente. Dichas actividades, deberán plasmarse en un cronograma donde se indique la frecuencia diaria, semanal, mensual, anual, etc. Según corresponda. </w:t>
      </w:r>
    </w:p>
    <w:p w14:paraId="65C97A1A" w14:textId="77777777" w:rsidR="009F2B65" w:rsidRPr="00285D58" w:rsidRDefault="009F2B65" w:rsidP="008D1FFF">
      <w:pPr>
        <w:spacing w:line="276" w:lineRule="auto"/>
        <w:jc w:val="both"/>
        <w:rPr>
          <w:rFonts w:asciiTheme="minorHAnsi" w:hAnsiTheme="minorHAnsi" w:cstheme="minorHAnsi"/>
          <w:lang w:val="es-PE"/>
        </w:rPr>
      </w:pPr>
    </w:p>
    <w:p w14:paraId="7D5E28C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dispondrá en todo momento de la estructura, organización y recursos (físico, técnicos y administrativos) que le permitan programar y ejecutar a lo largo del Plazo de la Concesión las tareas relacionadas con la prestación del Servicio. </w:t>
      </w:r>
    </w:p>
    <w:p w14:paraId="20508696" w14:textId="77777777" w:rsidR="009F2B65" w:rsidRPr="00285D58" w:rsidRDefault="009F2B65" w:rsidP="008D1FFF">
      <w:pPr>
        <w:spacing w:line="276" w:lineRule="auto"/>
        <w:jc w:val="both"/>
        <w:rPr>
          <w:rFonts w:asciiTheme="minorHAnsi" w:hAnsiTheme="minorHAnsi" w:cstheme="minorHAnsi"/>
          <w:lang w:val="es-PE"/>
        </w:rPr>
      </w:pPr>
    </w:p>
    <w:p w14:paraId="4C47E5D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realizar el control de calidad del Servicio ofrecido desde el Inicio de </w:t>
      </w:r>
      <w:r w:rsidRPr="00285D58">
        <w:rPr>
          <w:rFonts w:asciiTheme="minorHAnsi" w:hAnsiTheme="minorHAnsi" w:cstheme="minorHAnsi"/>
          <w:lang w:val="es-PE"/>
        </w:rPr>
        <w:lastRenderedPageBreak/>
        <w:t xml:space="preserve">Operación y obtener a más tardar en el segundo año contado a partir de la fecha de Inicio de Operación, la certificación de cumplimiento de la norma ISO 9001 para las actividades de operación, expedida por una entidad debidamente autorizada para el efecto. </w:t>
      </w:r>
    </w:p>
    <w:p w14:paraId="7D49F9B1" w14:textId="77777777" w:rsidR="009F2B65" w:rsidRPr="00285D58" w:rsidRDefault="009F2B65" w:rsidP="008D1FFF">
      <w:pPr>
        <w:spacing w:line="276" w:lineRule="auto"/>
        <w:jc w:val="both"/>
        <w:rPr>
          <w:rFonts w:asciiTheme="minorHAnsi" w:hAnsiTheme="minorHAnsi" w:cstheme="minorHAnsi"/>
          <w:lang w:val="es-PE"/>
        </w:rPr>
      </w:pPr>
    </w:p>
    <w:p w14:paraId="19FCF42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contar con un Registro de Explotación donde se registre la siguiente información: </w:t>
      </w:r>
    </w:p>
    <w:p w14:paraId="182FA249"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Nombre del personal de explotación presente. </w:t>
      </w:r>
    </w:p>
    <w:p w14:paraId="767198BE"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Horario de apertura y cierre en la atención al público. </w:t>
      </w:r>
    </w:p>
    <w:p w14:paraId="7EFDA323"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Lectura de los contadores horarios o de trayectos. </w:t>
      </w:r>
    </w:p>
    <w:p w14:paraId="63686821"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Lectura del número de pasajeros por viaje. </w:t>
      </w:r>
    </w:p>
    <w:p w14:paraId="376FA1EA"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Resultado de los controles en explotación y efectos. </w:t>
      </w:r>
    </w:p>
    <w:p w14:paraId="50A36560"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Incidentes, accidentes e intervenciones de toda naturaleza, precisando sus causas y efectos. </w:t>
      </w:r>
    </w:p>
    <w:p w14:paraId="2774E5C6"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Velocidades de funcionamiento </w:t>
      </w:r>
    </w:p>
    <w:p w14:paraId="4A9FA4DC"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Condiciones atmosféricas en el momento de la apertura al público y cualquier cambio que afecte las condiciones de explotación. </w:t>
      </w:r>
    </w:p>
    <w:p w14:paraId="6984742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Otra información que considere necesaria el CONCESIONARIO o el Supervisor. </w:t>
      </w:r>
    </w:p>
    <w:p w14:paraId="1968A2AF" w14:textId="77777777" w:rsidR="009F2B65" w:rsidRPr="00285D58" w:rsidRDefault="009F2B65" w:rsidP="008D1FFF">
      <w:pPr>
        <w:spacing w:line="276" w:lineRule="auto"/>
        <w:jc w:val="both"/>
        <w:rPr>
          <w:rFonts w:asciiTheme="minorHAnsi" w:hAnsiTheme="minorHAnsi" w:cstheme="minorHAnsi"/>
          <w:lang w:val="es-PE"/>
        </w:rPr>
      </w:pPr>
    </w:p>
    <w:p w14:paraId="5E35D4F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Registro de Explotación deberá ser automatizado vía software y registrado en el SIDIG. Tanto el CONCEDENTE como el Supervisor podrán solicitar en cualquier momento el Registro de Explotación.  </w:t>
      </w:r>
    </w:p>
    <w:p w14:paraId="5238B757" w14:textId="77777777" w:rsidR="009F2B65" w:rsidRPr="00285D58" w:rsidRDefault="009F2B65" w:rsidP="008D1FFF">
      <w:pPr>
        <w:spacing w:line="276" w:lineRule="auto"/>
        <w:jc w:val="both"/>
        <w:rPr>
          <w:rFonts w:asciiTheme="minorHAnsi" w:hAnsiTheme="minorHAnsi" w:cstheme="minorHAnsi"/>
          <w:lang w:val="es-PE"/>
        </w:rPr>
      </w:pPr>
    </w:p>
    <w:p w14:paraId="64DE5EBE"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lang w:val="es-PE"/>
        </w:rPr>
        <w:t>El CONCESIONARIO deberá contar con una Oficina de Información y Atención al Usuario en las Estaciones Centrales para atender los reclamos y sugerencias de los Usuarios, incluyendo los libros de reclamaciones exigidos por la normativa aplicable. La oficina de Información y Atención al Usuario deberá clasificar y analizar cada reclamo, pedido o sugerencia y luego, si el caso lo amerita, en un plazo no mayor de siete (7) Días Calendario emitirá la absolución de los mismos.</w:t>
      </w:r>
    </w:p>
    <w:p w14:paraId="41E58C92" w14:textId="77777777" w:rsidR="009F2B65" w:rsidRPr="00285D58" w:rsidRDefault="009F2B65" w:rsidP="008D1FFF">
      <w:pPr>
        <w:spacing w:line="276" w:lineRule="auto"/>
        <w:jc w:val="both"/>
        <w:rPr>
          <w:rFonts w:asciiTheme="minorHAnsi" w:hAnsiTheme="minorHAnsi" w:cstheme="minorHAnsi"/>
          <w:lang w:val="es-PE"/>
        </w:rPr>
      </w:pPr>
    </w:p>
    <w:p w14:paraId="1E4E85F2"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Supervisor inspeccionará, supervisará y controlará el cumplimiento de todas las obligaciones del CONCESIONARIO de manera continua e inopinadamente, con el fin de detectar oportunamente las desviaciones y exigir que se corrijan las deficiencias encontradas. </w:t>
      </w:r>
    </w:p>
    <w:p w14:paraId="457564A3" w14:textId="77777777" w:rsidR="009F2B65" w:rsidRPr="00285D58" w:rsidRDefault="009F2B65" w:rsidP="008D1FFF">
      <w:pPr>
        <w:spacing w:line="276" w:lineRule="auto"/>
        <w:jc w:val="both"/>
        <w:rPr>
          <w:rFonts w:asciiTheme="minorHAnsi" w:hAnsiTheme="minorHAnsi" w:cstheme="minorHAnsi"/>
          <w:b/>
          <w:bCs/>
          <w:lang w:val="es-PE"/>
        </w:rPr>
      </w:pPr>
    </w:p>
    <w:p w14:paraId="43A2A53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Parámetros Mínimos de los Niveles de Prestación del Servicio </w:t>
      </w:r>
    </w:p>
    <w:p w14:paraId="51AA282B" w14:textId="77777777" w:rsidR="009F2B65" w:rsidRPr="00285D58" w:rsidRDefault="009F2B65" w:rsidP="008D1FFF">
      <w:pPr>
        <w:spacing w:line="276" w:lineRule="auto"/>
        <w:jc w:val="both"/>
        <w:rPr>
          <w:rFonts w:asciiTheme="minorHAnsi" w:hAnsiTheme="minorHAnsi" w:cstheme="minorHAnsi"/>
          <w:b/>
          <w:bCs/>
          <w:lang w:val="es-PE"/>
        </w:rPr>
      </w:pPr>
    </w:p>
    <w:p w14:paraId="07D3E20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Horarios y condiciones de operación </w:t>
      </w:r>
    </w:p>
    <w:p w14:paraId="6691CE7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ofrecer el Servicio de Transporte por Teleférico y Bus a partir del Inicio de la Operación, respetando los horarios de apertura y cierre de las instalaciones, bajo las siguientes condiciones: </w:t>
      </w:r>
    </w:p>
    <w:p w14:paraId="02A9F151" w14:textId="77777777" w:rsidR="009F2B65" w:rsidRPr="00285D58" w:rsidRDefault="009F2B65" w:rsidP="008D1FFF">
      <w:pPr>
        <w:spacing w:line="276" w:lineRule="auto"/>
        <w:jc w:val="both"/>
        <w:rPr>
          <w:rFonts w:asciiTheme="minorHAnsi" w:hAnsiTheme="minorHAnsi" w:cstheme="minorHAnsi"/>
          <w:lang w:val="es-PE"/>
        </w:rPr>
      </w:pPr>
    </w:p>
    <w:p w14:paraId="4C9B543E" w14:textId="77777777" w:rsidR="009F2B65" w:rsidRPr="00285D58" w:rsidRDefault="009F2B65" w:rsidP="00A3732C">
      <w:pPr>
        <w:widowControl/>
        <w:numPr>
          <w:ilvl w:val="0"/>
          <w:numId w:val="240"/>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Periodo de alta demanda: </w:t>
      </w:r>
    </w:p>
    <w:p w14:paraId="7DFBA19E" w14:textId="77777777" w:rsidR="009F2B65" w:rsidRPr="00285D58" w:rsidRDefault="009F2B65" w:rsidP="008D1FFF">
      <w:pPr>
        <w:spacing w:line="276" w:lineRule="auto"/>
        <w:jc w:val="both"/>
        <w:rPr>
          <w:rFonts w:asciiTheme="minorHAnsi" w:hAnsiTheme="minorHAnsi" w:cstheme="minorHAnsi"/>
          <w:lang w:val="es-PE"/>
        </w:rPr>
      </w:pPr>
    </w:p>
    <w:p w14:paraId="39742C1A"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lo meses de Junio, Julio y Agosto.</w:t>
      </w:r>
    </w:p>
    <w:p w14:paraId="38CCA51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este periodo, el Servicio será de martes a domingos, incluidos feriados: </w:t>
      </w:r>
    </w:p>
    <w:p w14:paraId="1DE6D779" w14:textId="77777777" w:rsidR="009F2B65" w:rsidRPr="00285D58" w:rsidRDefault="009F2B65" w:rsidP="00A3732C">
      <w:pPr>
        <w:widowControl/>
        <w:numPr>
          <w:ilvl w:val="0"/>
          <w:numId w:val="238"/>
        </w:numPr>
        <w:spacing w:line="276" w:lineRule="auto"/>
        <w:jc w:val="both"/>
        <w:rPr>
          <w:rFonts w:asciiTheme="minorHAnsi" w:hAnsiTheme="minorHAnsi" w:cstheme="minorHAnsi"/>
          <w:lang w:val="es-PE"/>
        </w:rPr>
      </w:pPr>
      <w:r w:rsidRPr="00285D58">
        <w:rPr>
          <w:rFonts w:asciiTheme="minorHAnsi" w:hAnsiTheme="minorHAnsi" w:cstheme="minorHAnsi"/>
          <w:lang w:val="es-PE"/>
        </w:rPr>
        <w:lastRenderedPageBreak/>
        <w:t xml:space="preserve">El horario mínimo de la prestación del Servicio será de doce (12) horas al día. </w:t>
      </w:r>
    </w:p>
    <w:p w14:paraId="3BE50E8E" w14:textId="77777777" w:rsidR="009F2B65" w:rsidRPr="00285D58" w:rsidRDefault="009F2B65" w:rsidP="00A3732C">
      <w:pPr>
        <w:widowControl/>
        <w:numPr>
          <w:ilvl w:val="0"/>
          <w:numId w:val="239"/>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de apertura será de 06:00 a 18:00. Considerando el ultimo horario de retorno de bus a las 17:30 y/o hasta el cierre de ingreso al monumento de Choquequirao. </w:t>
      </w:r>
    </w:p>
    <w:p w14:paraId="5D6C3001" w14:textId="77777777" w:rsidR="009F2B65" w:rsidRPr="00285D58" w:rsidRDefault="009F2B65" w:rsidP="008D1FFF">
      <w:pPr>
        <w:spacing w:line="276" w:lineRule="auto"/>
        <w:jc w:val="both"/>
        <w:rPr>
          <w:rFonts w:asciiTheme="minorHAnsi" w:hAnsiTheme="minorHAnsi" w:cstheme="minorHAnsi"/>
          <w:lang w:val="es-PE"/>
        </w:rPr>
      </w:pPr>
    </w:p>
    <w:p w14:paraId="1A7A8F13" w14:textId="77777777" w:rsidR="009F2B65" w:rsidRPr="00285D58" w:rsidRDefault="009F2B65" w:rsidP="00A3732C">
      <w:pPr>
        <w:widowControl/>
        <w:numPr>
          <w:ilvl w:val="0"/>
          <w:numId w:val="241"/>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Periodo de baja demanda: </w:t>
      </w:r>
    </w:p>
    <w:p w14:paraId="6ACF9747" w14:textId="77777777" w:rsidR="009F2B65" w:rsidRPr="00285D58" w:rsidRDefault="009F2B65" w:rsidP="008D1FFF">
      <w:pPr>
        <w:spacing w:line="276" w:lineRule="auto"/>
        <w:jc w:val="both"/>
        <w:rPr>
          <w:rFonts w:asciiTheme="minorHAnsi" w:hAnsiTheme="minorHAnsi" w:cstheme="minorHAnsi"/>
          <w:lang w:val="es-PE"/>
        </w:rPr>
      </w:pPr>
    </w:p>
    <w:p w14:paraId="38EB74A8" w14:textId="3C862EA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el resto de </w:t>
      </w:r>
      <w:r w:rsidR="00D55B7A" w:rsidRPr="00285D58">
        <w:rPr>
          <w:rFonts w:asciiTheme="minorHAnsi" w:hAnsiTheme="minorHAnsi" w:cstheme="minorHAnsi"/>
          <w:lang w:val="es-PE"/>
        </w:rPr>
        <w:t>los meses</w:t>
      </w:r>
      <w:r w:rsidRPr="00285D58">
        <w:rPr>
          <w:rFonts w:asciiTheme="minorHAnsi" w:hAnsiTheme="minorHAnsi" w:cstheme="minorHAnsi"/>
          <w:lang w:val="es-PE"/>
        </w:rPr>
        <w:t xml:space="preserve"> fuera del periodo de alta demanda. </w:t>
      </w:r>
    </w:p>
    <w:p w14:paraId="3BE7203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este periodo, el Servicio será de martes a domingo, incluidos feriados: </w:t>
      </w:r>
    </w:p>
    <w:p w14:paraId="2CCC510D" w14:textId="5AE08349" w:rsidR="009F2B65" w:rsidRPr="00285D58" w:rsidRDefault="009F2B65" w:rsidP="00A3732C">
      <w:pPr>
        <w:widowControl/>
        <w:numPr>
          <w:ilvl w:val="0"/>
          <w:numId w:val="242"/>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mínimo de prestación del Servicio será de ocho (8) horas al día. </w:t>
      </w:r>
    </w:p>
    <w:p w14:paraId="354E1C7E" w14:textId="77777777" w:rsidR="009F2B65" w:rsidRPr="00285D58" w:rsidRDefault="009F2B65" w:rsidP="00A3732C">
      <w:pPr>
        <w:widowControl/>
        <w:numPr>
          <w:ilvl w:val="0"/>
          <w:numId w:val="242"/>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horario de apertura será de 08:00 a 16:00. Considerando el ultimo horario de retorno de bus a las 15:30 y/o hasta el cierre de ingreso al monumento de Choquequirao. </w:t>
      </w:r>
    </w:p>
    <w:p w14:paraId="10A7CD2A" w14:textId="77777777" w:rsidR="009F2B65" w:rsidRPr="00285D58" w:rsidRDefault="009F2B65" w:rsidP="008D1FFF">
      <w:pPr>
        <w:spacing w:line="276" w:lineRule="auto"/>
        <w:jc w:val="both"/>
        <w:rPr>
          <w:rFonts w:asciiTheme="minorHAnsi" w:hAnsiTheme="minorHAnsi" w:cstheme="minorHAnsi"/>
          <w:lang w:val="es-PE"/>
        </w:rPr>
      </w:pPr>
    </w:p>
    <w:p w14:paraId="1076915D"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no estará obligado a prestar el Servicio de Transporte por Teleférico y Bus cuando se realicen actividades de mantenimiento programadas previamente en el Plan Anual de Conservación y Mantenimiento, o en caso de presentarse eventos de fuerza mayor o caso fortuito, tales como:  </w:t>
      </w:r>
    </w:p>
    <w:p w14:paraId="2FB34CBE" w14:textId="77777777" w:rsidR="009F2B65" w:rsidRPr="00285D58" w:rsidRDefault="009F2B65" w:rsidP="008D1FFF">
      <w:pPr>
        <w:spacing w:line="276" w:lineRule="auto"/>
        <w:jc w:val="both"/>
        <w:rPr>
          <w:rFonts w:asciiTheme="minorHAnsi" w:hAnsiTheme="minorHAnsi" w:cstheme="minorHAnsi"/>
          <w:lang w:val="es-PE"/>
        </w:rPr>
      </w:pPr>
    </w:p>
    <w:p w14:paraId="0C93D218"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Vandalismo </w:t>
      </w:r>
    </w:p>
    <w:p w14:paraId="1DEF979F"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Sabotaje </w:t>
      </w:r>
    </w:p>
    <w:p w14:paraId="0B986B62"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Desastres naturales </w:t>
      </w:r>
    </w:p>
    <w:p w14:paraId="715C400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Terrorismo, rebelión, sedición, motín, manifestaciones sociales, actuación de las fuerzas armadas en estados de emergencia. </w:t>
      </w:r>
    </w:p>
    <w:p w14:paraId="7B122E6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Incendios ajenos a la operación del teleférico o cualquier otro servicio prestado por el CONCESIONARIO, que puedan poner en peligro a los usuarios y a los activos de la Concesión. </w:t>
      </w:r>
    </w:p>
    <w:p w14:paraId="038C079C"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Corte del suministro eléctrico por parte de la compañía proveedora. </w:t>
      </w:r>
    </w:p>
    <w:p w14:paraId="2E0C9077" w14:textId="77777777" w:rsidR="009F2B65" w:rsidRPr="00BB5F42" w:rsidRDefault="009F2B65" w:rsidP="008D1FFF">
      <w:pPr>
        <w:spacing w:line="276" w:lineRule="auto"/>
        <w:jc w:val="both"/>
        <w:rPr>
          <w:rFonts w:asciiTheme="minorHAnsi" w:hAnsiTheme="minorHAnsi" w:cstheme="minorHAnsi"/>
          <w:lang w:val="es-PE"/>
        </w:rPr>
      </w:pPr>
    </w:p>
    <w:p w14:paraId="330EDFD3" w14:textId="77777777" w:rsidR="009F2B65" w:rsidRPr="00BB5F42" w:rsidRDefault="009F2B65" w:rsidP="008D1FFF">
      <w:pPr>
        <w:spacing w:line="276" w:lineRule="auto"/>
        <w:jc w:val="both"/>
        <w:rPr>
          <w:rFonts w:asciiTheme="minorHAnsi" w:hAnsiTheme="minorHAnsi" w:cstheme="minorHAnsi"/>
          <w:lang w:val="es-PE"/>
        </w:rPr>
      </w:pPr>
    </w:p>
    <w:p w14:paraId="5CAD7D23"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b/>
          <w:bCs/>
          <w:lang w:val="es-PE"/>
        </w:rPr>
        <w:t xml:space="preserve">Disponibilidad en la prestación del Servicio </w:t>
      </w:r>
    </w:p>
    <w:p w14:paraId="06A69F9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garantizar la disponibilidad del servicio de transporte por teleférico y bus en los horarios y condiciones previamente señaladas y en conformidad con lo establecido en su Plan Anual de Operación. </w:t>
      </w:r>
    </w:p>
    <w:p w14:paraId="4145A266" w14:textId="77777777" w:rsidR="009F2B65" w:rsidRPr="00285D58" w:rsidRDefault="009F2B65" w:rsidP="008D1FFF">
      <w:pPr>
        <w:spacing w:line="276" w:lineRule="auto"/>
        <w:jc w:val="both"/>
        <w:rPr>
          <w:rFonts w:asciiTheme="minorHAnsi" w:hAnsiTheme="minorHAnsi" w:cstheme="minorHAnsi"/>
          <w:lang w:val="es-PE"/>
        </w:rPr>
      </w:pPr>
    </w:p>
    <w:p w14:paraId="2773F98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Se entenderá que el servicio de transporte por teleférico se encuentra indisponible en los siguientes casos:</w:t>
      </w:r>
    </w:p>
    <w:p w14:paraId="273854AF"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Durante la ejecución de labores de mantenimiento correctivo en los teleféricos.</w:t>
      </w:r>
    </w:p>
    <w:p w14:paraId="37159098"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la ejecución de labores de mantenimiento preventivo no programadas en los teleféricos. </w:t>
      </w:r>
    </w:p>
    <w:p w14:paraId="5158FAF3"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el tiempo de Anomalías o Incidentes en los Teleféricos.     </w:t>
      </w:r>
    </w:p>
    <w:p w14:paraId="5DA00D0C" w14:textId="77777777" w:rsidR="009F2B65" w:rsidRPr="00285D58" w:rsidRDefault="009F2B65" w:rsidP="00A3732C">
      <w:pPr>
        <w:widowControl/>
        <w:numPr>
          <w:ilvl w:val="0"/>
          <w:numId w:val="237"/>
        </w:num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Durante condiciones climatológicas que impidan la operación del Teleférico de acuerdo a lo estipulado en la norma EN 12397:2006. </w:t>
      </w:r>
    </w:p>
    <w:p w14:paraId="60217E38" w14:textId="77777777" w:rsidR="009F2B65" w:rsidRPr="00285D58" w:rsidRDefault="009F2B65" w:rsidP="008D1FFF">
      <w:pPr>
        <w:spacing w:line="276" w:lineRule="auto"/>
        <w:ind w:left="284"/>
        <w:jc w:val="both"/>
        <w:rPr>
          <w:rFonts w:asciiTheme="minorHAnsi" w:hAnsiTheme="minorHAnsi" w:cstheme="minorHAnsi"/>
          <w:lang w:val="es-PE"/>
        </w:rPr>
      </w:pPr>
    </w:p>
    <w:p w14:paraId="7FF403A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lastRenderedPageBreak/>
        <w:t>De igual manera, se entenderá que el servicio de transporte por bus se encuentra indisponible en los siguientes casos:</w:t>
      </w:r>
    </w:p>
    <w:p w14:paraId="4F3D31A7"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Durante la ejecución de labores de mantenimiento correctivo en los buses.</w:t>
      </w:r>
    </w:p>
    <w:p w14:paraId="79A6A39D"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la ejecución de labores de mantenimiento preventivo no programadas en los buses. </w:t>
      </w:r>
    </w:p>
    <w:p w14:paraId="08DFB6F9"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Durante el tiempo de Anomalías o Incidentes en los Buses.      </w:t>
      </w:r>
    </w:p>
    <w:p w14:paraId="097B2888" w14:textId="77777777" w:rsidR="009F2B65" w:rsidRPr="00285D58" w:rsidRDefault="009F2B65" w:rsidP="008D1FFF">
      <w:pPr>
        <w:spacing w:line="276" w:lineRule="auto"/>
        <w:jc w:val="both"/>
        <w:rPr>
          <w:rFonts w:asciiTheme="minorHAnsi" w:hAnsiTheme="minorHAnsi" w:cstheme="minorHAnsi"/>
          <w:lang w:val="es-PE"/>
        </w:rPr>
      </w:pPr>
    </w:p>
    <w:p w14:paraId="54CE941D" w14:textId="77777777" w:rsidR="009F2B65" w:rsidRPr="00285D58" w:rsidRDefault="009F2B65" w:rsidP="008D1FFF">
      <w:pPr>
        <w:spacing w:line="276" w:lineRule="auto"/>
        <w:jc w:val="both"/>
        <w:rPr>
          <w:rFonts w:asciiTheme="minorHAnsi" w:hAnsiTheme="minorHAnsi" w:cstheme="minorHAnsi"/>
          <w:lang w:val="es-PE"/>
        </w:rPr>
      </w:pPr>
    </w:p>
    <w:p w14:paraId="14150AE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En caso de que el servicio de transporte por teleférico o bus, se encuentren indisponibles, el CONCESIONARIO deberá reembolsar a los usuarios la totalidad de la tarifa pagada por el servicio. </w:t>
      </w:r>
    </w:p>
    <w:p w14:paraId="06502F1E" w14:textId="77777777" w:rsidR="009F2B65" w:rsidRPr="00285D58" w:rsidRDefault="009F2B65" w:rsidP="008D1FFF">
      <w:pPr>
        <w:spacing w:line="276" w:lineRule="auto"/>
        <w:jc w:val="both"/>
        <w:rPr>
          <w:rFonts w:asciiTheme="minorHAnsi" w:hAnsiTheme="minorHAnsi" w:cstheme="minorHAnsi"/>
          <w:lang w:val="es-PE"/>
        </w:rPr>
      </w:pPr>
    </w:p>
    <w:p w14:paraId="4D2C344A" w14:textId="77777777" w:rsidR="009F2B65" w:rsidRPr="00BB5F42"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Servicio de Transporte por Teleférico y Bus no se considerará indisponible durante la ejecución de labores de mantenimiento programadas en el Plan Anual de Conservación y Mantenimiento, o en caso de presentarse eventos de fuerza mayor o caso fortuito. </w:t>
      </w:r>
    </w:p>
    <w:p w14:paraId="33DEE309" w14:textId="77777777" w:rsidR="009F2B65" w:rsidRPr="00BB5F42" w:rsidRDefault="009F2B65" w:rsidP="008D1FFF">
      <w:pPr>
        <w:spacing w:line="276" w:lineRule="auto"/>
        <w:jc w:val="both"/>
        <w:rPr>
          <w:rFonts w:asciiTheme="minorHAnsi" w:hAnsiTheme="minorHAnsi" w:cstheme="minorHAnsi"/>
          <w:lang w:val="es-PE"/>
        </w:rPr>
      </w:pPr>
    </w:p>
    <w:p w14:paraId="2C66283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Disponibilidad del Servicio de Transporte por Teleférico, se calculará a partir de la siguiente formula:</w:t>
      </w:r>
    </w:p>
    <w:p w14:paraId="6622C1F1" w14:textId="77777777" w:rsidR="009F2B65" w:rsidRPr="00285D58" w:rsidRDefault="009F2B65" w:rsidP="008D1FFF">
      <w:pPr>
        <w:spacing w:line="276" w:lineRule="auto"/>
        <w:jc w:val="both"/>
        <w:rPr>
          <w:rFonts w:asciiTheme="minorHAnsi" w:hAnsiTheme="minorHAnsi" w:cstheme="minorHAnsi"/>
          <w:lang w:val="es-PE"/>
        </w:rPr>
      </w:pPr>
    </w:p>
    <w:p w14:paraId="5E771836" w14:textId="77777777" w:rsidR="009F2B65" w:rsidRPr="00BB5F42" w:rsidRDefault="009F2B65" w:rsidP="008D1FFF">
      <w:pPr>
        <w:spacing w:line="276" w:lineRule="auto"/>
        <w:jc w:val="both"/>
        <w:rPr>
          <w:rFonts w:asciiTheme="minorHAnsi" w:hAnsiTheme="minorHAnsi" w:cstheme="minorHAnsi"/>
          <w:lang w:val="es-PE"/>
        </w:rPr>
      </w:pPr>
      <m:oMathPara>
        <m:oMath>
          <m:r>
            <w:rPr>
              <w:rFonts w:ascii="Cambria Math" w:hAnsi="Cambria Math" w:cstheme="minorHAnsi"/>
              <w:lang w:val="es-PE"/>
            </w:rPr>
            <m:t xml:space="preserve">Disponibilidad=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r>
                <w:rPr>
                  <w:rFonts w:ascii="Cambria Math" w:hAnsi="Cambria Math" w:cstheme="minorHAnsi"/>
                  <w:lang w:val="es-PE"/>
                </w:rPr>
                <m:t xml:space="preserve"> </m:t>
              </m:r>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den>
          </m:f>
          <m:r>
            <w:rPr>
              <w:rFonts w:ascii="Cambria Math" w:hAnsi="Cambria Math" w:cstheme="minorHAnsi"/>
              <w:lang w:val="es-PE"/>
            </w:rPr>
            <m:t xml:space="preserve">x100 = </m:t>
          </m:r>
          <w:bookmarkStart w:id="224" w:name="_Hlk178713748"/>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r>
                <w:rPr>
                  <w:rFonts w:ascii="Cambria Math" w:hAnsi="Cambria Math" w:cstheme="minorHAnsi"/>
                  <w:lang w:val="es-PE"/>
                </w:rPr>
                <m:t xml:space="preserve">-  </m:t>
              </m:r>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den>
          </m:f>
          <m:r>
            <w:rPr>
              <w:rFonts w:ascii="Cambria Math" w:hAnsi="Cambria Math" w:cstheme="minorHAnsi"/>
              <w:lang w:val="es-PE"/>
            </w:rPr>
            <m:t>x100</m:t>
          </m:r>
        </m:oMath>
      </m:oMathPara>
    </w:p>
    <w:p w14:paraId="19E8AB68" w14:textId="77777777" w:rsidR="009F2B65" w:rsidRPr="00BB5F42" w:rsidRDefault="009F2B65" w:rsidP="008D1FFF">
      <w:pPr>
        <w:spacing w:line="276" w:lineRule="auto"/>
        <w:jc w:val="both"/>
        <w:rPr>
          <w:rFonts w:asciiTheme="minorHAnsi" w:hAnsiTheme="minorHAnsi" w:cstheme="minorHAnsi"/>
          <w:lang w:val="es-PE"/>
        </w:rPr>
      </w:pPr>
    </w:p>
    <w:p w14:paraId="0E047BD1" w14:textId="77777777" w:rsidR="009F2B65" w:rsidRPr="00BB5F42" w:rsidRDefault="009F2B65" w:rsidP="008D1FFF">
      <w:pPr>
        <w:spacing w:line="276" w:lineRule="auto"/>
        <w:jc w:val="both"/>
        <w:rPr>
          <w:rFonts w:asciiTheme="minorHAnsi" w:hAnsiTheme="minorHAnsi" w:cstheme="minorHAnsi"/>
          <w:lang w:val="es-PE"/>
        </w:rPr>
      </w:pPr>
    </w:p>
    <w:p w14:paraId="5D0EBBE5"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oMath>
      <w:r w:rsidR="009F2B65" w:rsidRPr="00285D58">
        <w:rPr>
          <w:rFonts w:asciiTheme="minorHAnsi" w:eastAsiaTheme="minorEastAsia" w:hAnsiTheme="minorHAnsi" w:cstheme="minorHAnsi"/>
          <w:lang w:val="es-PE"/>
        </w:rPr>
        <w:t xml:space="preserve"> = </w:t>
      </w:r>
      <w:r w:rsidR="009F2B65" w:rsidRPr="00285D58">
        <w:rPr>
          <w:rFonts w:asciiTheme="minorHAnsi" w:hAnsiTheme="minorHAnsi" w:cstheme="minorHAnsi"/>
          <w:lang w:val="es-PE"/>
        </w:rPr>
        <w:t xml:space="preserve">Tiempo de Operación Programado de los Teleféricos de acuerdo al Plan Anual de Operación. </w:t>
      </w:r>
    </w:p>
    <w:p w14:paraId="194B1829"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oMath>
      <w:r w:rsidR="009F2B65" w:rsidRPr="00285D58">
        <w:rPr>
          <w:rFonts w:asciiTheme="minorHAnsi" w:hAnsiTheme="minorHAnsi" w:cstheme="minorHAnsi"/>
          <w:lang w:val="es-PE"/>
        </w:rPr>
        <w:t xml:space="preserve"> = Tiempo de Funcionamiento de los Teleféricos.</w:t>
      </w:r>
    </w:p>
    <w:p w14:paraId="70EA99CF"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oMath>
      <w:r w:rsidR="009F2B65" w:rsidRPr="00285D58">
        <w:rPr>
          <w:rFonts w:asciiTheme="minorHAnsi" w:hAnsiTheme="minorHAnsi" w:cstheme="minorHAnsi"/>
          <w:lang w:val="es-PE"/>
        </w:rPr>
        <w:t xml:space="preserve"> = Tiempo en que el Servicio de Transporte por Teleférico se encuentra Indisponible.</w:t>
      </w:r>
    </w:p>
    <w:bookmarkEnd w:id="224"/>
    <w:p w14:paraId="731B8DE3" w14:textId="77777777" w:rsidR="009F2B65" w:rsidRPr="00285D58" w:rsidRDefault="009F2B65" w:rsidP="008D1FFF">
      <w:pPr>
        <w:spacing w:line="276" w:lineRule="auto"/>
        <w:jc w:val="both"/>
        <w:rPr>
          <w:rFonts w:asciiTheme="minorHAnsi" w:hAnsiTheme="minorHAnsi" w:cstheme="minorHAnsi"/>
          <w:lang w:val="es-PE"/>
        </w:rPr>
      </w:pPr>
    </w:p>
    <w:p w14:paraId="031F28B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De manera análoga, la Disponibilidad del Servicio de Transporte por Bus se calculará a partir de la siguiente formula:</w:t>
      </w:r>
    </w:p>
    <w:p w14:paraId="167745A0" w14:textId="77777777" w:rsidR="009F2B65" w:rsidRPr="00285D58" w:rsidRDefault="009F2B65" w:rsidP="008D1FFF">
      <w:pPr>
        <w:spacing w:line="276" w:lineRule="auto"/>
        <w:jc w:val="both"/>
        <w:rPr>
          <w:rFonts w:asciiTheme="minorHAnsi" w:hAnsiTheme="minorHAnsi" w:cstheme="minorHAnsi"/>
          <w:lang w:val="es-PE"/>
        </w:rPr>
      </w:pPr>
    </w:p>
    <w:p w14:paraId="78B6D00E" w14:textId="77777777" w:rsidR="009F2B65" w:rsidRPr="00BB5F42" w:rsidRDefault="009F2B65" w:rsidP="008D1FFF">
      <w:pPr>
        <w:spacing w:line="276" w:lineRule="auto"/>
        <w:jc w:val="both"/>
        <w:rPr>
          <w:rFonts w:asciiTheme="minorHAnsi" w:hAnsiTheme="minorHAnsi" w:cstheme="minorHAnsi"/>
          <w:lang w:val="es-PE"/>
        </w:rPr>
      </w:pPr>
      <m:oMathPara>
        <m:oMath>
          <m:r>
            <w:rPr>
              <w:rFonts w:ascii="Cambria Math" w:hAnsi="Cambria Math" w:cstheme="minorHAnsi"/>
              <w:lang w:val="es-PE"/>
            </w:rPr>
            <m:t xml:space="preserve">Disponibilidad=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FB</m:t>
                  </m:r>
                </m:sub>
              </m:sSub>
              <m:r>
                <w:rPr>
                  <w:rFonts w:ascii="Cambria Math" w:hAnsi="Cambria Math" w:cstheme="minorHAnsi"/>
                  <w:lang w:val="es-PE"/>
                </w:rPr>
                <m:t xml:space="preserve"> </m:t>
              </m:r>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den>
          </m:f>
          <m:r>
            <w:rPr>
              <w:rFonts w:ascii="Cambria Math" w:hAnsi="Cambria Math" w:cstheme="minorHAnsi"/>
              <w:lang w:val="es-PE"/>
            </w:rPr>
            <m:t xml:space="preserve">x100 = </m:t>
          </m:r>
          <m:f>
            <m:fPr>
              <m:ctrlPr>
                <w:rPr>
                  <w:rFonts w:ascii="Cambria Math" w:hAnsi="Cambria Math" w:cstheme="minorHAnsi"/>
                  <w:i/>
                  <w:lang w:val="es-PE"/>
                </w:rPr>
              </m:ctrlPr>
            </m:fPr>
            <m:num>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r>
                <w:rPr>
                  <w:rFonts w:ascii="Cambria Math" w:hAnsi="Cambria Math" w:cstheme="minorHAnsi"/>
                  <w:lang w:val="es-PE"/>
                </w:rPr>
                <m:t xml:space="preserve">-  </m:t>
              </m:r>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IB</m:t>
                  </m:r>
                </m:sub>
              </m:sSub>
            </m:num>
            <m:den>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OB</m:t>
                  </m:r>
                </m:sub>
              </m:sSub>
            </m:den>
          </m:f>
          <m:r>
            <w:rPr>
              <w:rFonts w:ascii="Cambria Math" w:hAnsi="Cambria Math" w:cstheme="minorHAnsi"/>
              <w:lang w:val="es-PE"/>
            </w:rPr>
            <m:t>x100</m:t>
          </m:r>
        </m:oMath>
      </m:oMathPara>
    </w:p>
    <w:p w14:paraId="1858AD7D" w14:textId="77777777" w:rsidR="009F2B65" w:rsidRPr="00BB5F42" w:rsidRDefault="009F2B65" w:rsidP="008D1FFF">
      <w:pPr>
        <w:spacing w:line="276" w:lineRule="auto"/>
        <w:jc w:val="both"/>
        <w:rPr>
          <w:rFonts w:asciiTheme="minorHAnsi" w:hAnsiTheme="minorHAnsi" w:cstheme="minorHAnsi"/>
          <w:lang w:val="es-PE"/>
        </w:rPr>
      </w:pPr>
    </w:p>
    <w:p w14:paraId="1D044664" w14:textId="77777777" w:rsidR="009F2B65" w:rsidRPr="00BB5F42" w:rsidRDefault="009F2B65" w:rsidP="008D1FFF">
      <w:pPr>
        <w:spacing w:line="276" w:lineRule="auto"/>
        <w:jc w:val="both"/>
        <w:rPr>
          <w:rFonts w:asciiTheme="minorHAnsi" w:hAnsiTheme="minorHAnsi" w:cstheme="minorHAnsi"/>
          <w:lang w:val="es-PE"/>
        </w:rPr>
      </w:pPr>
    </w:p>
    <w:p w14:paraId="480D23B9"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OT</m:t>
            </m:r>
          </m:sub>
        </m:sSub>
      </m:oMath>
      <w:r w:rsidR="009F2B65" w:rsidRPr="00285D58">
        <w:rPr>
          <w:rFonts w:asciiTheme="minorHAnsi" w:eastAsiaTheme="minorEastAsia" w:hAnsiTheme="minorHAnsi" w:cstheme="minorHAnsi"/>
          <w:lang w:val="es-PE"/>
        </w:rPr>
        <w:t xml:space="preserve"> = </w:t>
      </w:r>
      <w:r w:rsidR="009F2B65" w:rsidRPr="00285D58">
        <w:rPr>
          <w:rFonts w:asciiTheme="minorHAnsi" w:hAnsiTheme="minorHAnsi" w:cstheme="minorHAnsi"/>
          <w:lang w:val="es-PE"/>
        </w:rPr>
        <w:t xml:space="preserve">Tiempo de Operación Programado de los Buses de acuerdo al Plan Anual de Operación. </w:t>
      </w:r>
    </w:p>
    <w:p w14:paraId="3B204F4B"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FT</m:t>
            </m:r>
          </m:sub>
        </m:sSub>
      </m:oMath>
      <w:r w:rsidR="009F2B65" w:rsidRPr="00285D58">
        <w:rPr>
          <w:rFonts w:asciiTheme="minorHAnsi" w:hAnsiTheme="minorHAnsi" w:cstheme="minorHAnsi"/>
          <w:lang w:val="es-PE"/>
        </w:rPr>
        <w:t xml:space="preserve"> = Tiempo de Funcionamiento de los Buses.</w:t>
      </w:r>
    </w:p>
    <w:p w14:paraId="618EB6FA" w14:textId="77777777" w:rsidR="009F2B65" w:rsidRPr="00285D58" w:rsidRDefault="00000000" w:rsidP="00A3732C">
      <w:pPr>
        <w:widowControl/>
        <w:numPr>
          <w:ilvl w:val="0"/>
          <w:numId w:val="237"/>
        </w:numPr>
        <w:spacing w:line="276" w:lineRule="auto"/>
        <w:ind w:left="709" w:hanging="425"/>
        <w:jc w:val="both"/>
        <w:rPr>
          <w:rFonts w:asciiTheme="minorHAnsi" w:hAnsiTheme="minorHAnsi" w:cstheme="minorHAnsi"/>
          <w:lang w:val="es-PE"/>
        </w:rPr>
      </w:pPr>
      <m:oMath>
        <m:sSub>
          <m:sSubPr>
            <m:ctrlPr>
              <w:rPr>
                <w:rFonts w:ascii="Cambria Math" w:hAnsi="Cambria Math" w:cstheme="minorHAnsi"/>
                <w:i/>
                <w:lang w:val="es-PE"/>
              </w:rPr>
            </m:ctrlPr>
          </m:sSubPr>
          <m:e>
            <m:r>
              <w:rPr>
                <w:rFonts w:ascii="Cambria Math" w:hAnsi="Cambria Math" w:cstheme="minorHAnsi"/>
                <w:lang w:val="es-PE"/>
              </w:rPr>
              <m:t>T</m:t>
            </m:r>
          </m:e>
          <m:sub>
            <m:r>
              <w:rPr>
                <w:rFonts w:ascii="Cambria Math" w:hAnsi="Cambria Math" w:cstheme="minorHAnsi"/>
                <w:lang w:val="es-PE"/>
              </w:rPr>
              <m:t>IT</m:t>
            </m:r>
          </m:sub>
        </m:sSub>
      </m:oMath>
      <w:r w:rsidR="009F2B65" w:rsidRPr="00285D58">
        <w:rPr>
          <w:rFonts w:asciiTheme="minorHAnsi" w:hAnsiTheme="minorHAnsi" w:cstheme="minorHAnsi"/>
          <w:lang w:val="es-PE"/>
        </w:rPr>
        <w:t xml:space="preserve"> = Tiempo en que el Servicio de Transporte por Bus se encuentra Indisponible.</w:t>
      </w:r>
    </w:p>
    <w:p w14:paraId="3B0E80A5" w14:textId="77777777" w:rsidR="009F2B65" w:rsidRPr="00285D58" w:rsidRDefault="009F2B65" w:rsidP="008D1FFF">
      <w:pPr>
        <w:spacing w:line="276" w:lineRule="auto"/>
        <w:jc w:val="both"/>
        <w:rPr>
          <w:rFonts w:asciiTheme="minorHAnsi" w:hAnsiTheme="minorHAnsi" w:cstheme="minorHAnsi"/>
          <w:lang w:val="es-PE"/>
        </w:rPr>
      </w:pPr>
    </w:p>
    <w:p w14:paraId="3669FC0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AF67A54" w14:textId="6A777DE5" w:rsidR="009F2B65" w:rsidRPr="00285D58" w:rsidRDefault="00D55B7A"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En caso de que</w:t>
      </w:r>
      <w:r w:rsidR="009F2B65" w:rsidRPr="00285D58">
        <w:rPr>
          <w:rFonts w:asciiTheme="minorHAnsi" w:hAnsiTheme="minorHAnsi" w:cstheme="minorHAnsi"/>
          <w:color w:val="auto"/>
          <w:sz w:val="22"/>
          <w:szCs w:val="22"/>
          <w:lang w:val="es-PE"/>
        </w:rPr>
        <w:t xml:space="preserve"> el CONCESIONARIO se vea en la obligación de anular o cancelar un viaje de Teleférico o Bus, </w:t>
      </w:r>
      <w:r w:rsidR="009F2B65" w:rsidRPr="00285D58">
        <w:rPr>
          <w:rFonts w:asciiTheme="minorHAnsi" w:hAnsiTheme="minorHAnsi" w:cstheme="minorHAnsi"/>
          <w:sz w:val="22"/>
          <w:szCs w:val="22"/>
          <w:lang w:val="es-PE"/>
        </w:rPr>
        <w:t xml:space="preserve">deberá reembolsar a los usuarios afectados, la totalidad de la tarifa pagada por el servicio. Asimismo, deberá justificar el motivo de la anulación o cancelación, indicar las causas e informarlas </w:t>
      </w:r>
      <w:r w:rsidR="009F2B65" w:rsidRPr="00285D58">
        <w:rPr>
          <w:rFonts w:asciiTheme="minorHAnsi" w:hAnsiTheme="minorHAnsi" w:cstheme="minorHAnsi"/>
          <w:sz w:val="22"/>
          <w:szCs w:val="22"/>
          <w:lang w:val="es-PE"/>
        </w:rPr>
        <w:lastRenderedPageBreak/>
        <w:t xml:space="preserve">al CONCEDENTE y Supervisor en un plazo máximo de un (1) </w:t>
      </w:r>
      <w:r w:rsidR="00242093" w:rsidRPr="00285D58">
        <w:rPr>
          <w:rFonts w:asciiTheme="minorHAnsi" w:hAnsiTheme="minorHAnsi" w:cstheme="minorHAnsi"/>
          <w:sz w:val="22"/>
          <w:szCs w:val="22"/>
          <w:lang w:val="es-PE"/>
        </w:rPr>
        <w:t>D</w:t>
      </w:r>
      <w:r w:rsidR="009F2B65" w:rsidRPr="00285D58">
        <w:rPr>
          <w:rFonts w:asciiTheme="minorHAnsi" w:hAnsiTheme="minorHAnsi" w:cstheme="minorHAnsi"/>
          <w:sz w:val="22"/>
          <w:szCs w:val="22"/>
          <w:lang w:val="es-PE"/>
        </w:rPr>
        <w:t xml:space="preserve">ía </w:t>
      </w:r>
      <w:r w:rsidR="00242093" w:rsidRPr="00285D58">
        <w:rPr>
          <w:rFonts w:asciiTheme="minorHAnsi" w:hAnsiTheme="minorHAnsi" w:cstheme="minorHAnsi"/>
          <w:sz w:val="22"/>
          <w:szCs w:val="22"/>
          <w:lang w:val="es-PE"/>
        </w:rPr>
        <w:t>C</w:t>
      </w:r>
      <w:r w:rsidR="009F2B65" w:rsidRPr="00285D58">
        <w:rPr>
          <w:rFonts w:asciiTheme="minorHAnsi" w:hAnsiTheme="minorHAnsi" w:cstheme="minorHAnsi"/>
          <w:sz w:val="22"/>
          <w:szCs w:val="22"/>
          <w:lang w:val="es-PE"/>
        </w:rPr>
        <w:t xml:space="preserve">alendario. Toda anulación o cancelación deberá registrarse en el SIDIG. </w:t>
      </w:r>
      <w:r w:rsidR="009F2B65" w:rsidRPr="00285D58">
        <w:rPr>
          <w:rFonts w:asciiTheme="minorHAnsi" w:hAnsiTheme="minorHAnsi" w:cstheme="minorHAnsi"/>
          <w:color w:val="auto"/>
          <w:sz w:val="22"/>
          <w:szCs w:val="22"/>
          <w:lang w:val="es-PE"/>
        </w:rPr>
        <w:t xml:space="preserve"> </w:t>
      </w:r>
    </w:p>
    <w:p w14:paraId="7CBF9D9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E0C8E3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Capacidad de transporte y confort </w:t>
      </w:r>
    </w:p>
    <w:p w14:paraId="22B93D1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7692BB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estará obligado a garantizar la atención oportuna y eficiente a todos los Usuarios, sin excepción, independientemente del nivel de demanda presente en un momento dado. Deberá asegurar que el servicio de transporte por teleférico y bus se preste de manera continua y accesible, cumpliendo con los estándares de calidad establecidos, independientemente del número de Usuarios que accedan al servicio en cualquier momento dado.</w:t>
      </w:r>
    </w:p>
    <w:p w14:paraId="58BDEFB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9A1B46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ese sentido, establecerá las frecuencias de salidas de teleféricos y buses de manera sincronizada con la finalidad de atender al mayor número de Usuarios posible en todo momento. Deberá tener en cuenta la capacidad máxima de las cabinas y de los buses, el número de buses disponibles y las velocidades máximas indicadas en el siguiente cuadro.  </w:t>
      </w:r>
    </w:p>
    <w:p w14:paraId="1B923EA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47ACD88"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tbl>
      <w:tblPr>
        <w:tblStyle w:val="Tablaconcuadrcula"/>
        <w:tblW w:w="0" w:type="auto"/>
        <w:jc w:val="center"/>
        <w:tblLook w:val="04A0" w:firstRow="1" w:lastRow="0" w:firstColumn="1" w:lastColumn="0" w:noHBand="0" w:noVBand="1"/>
      </w:tblPr>
      <w:tblGrid>
        <w:gridCol w:w="3823"/>
        <w:gridCol w:w="1984"/>
        <w:gridCol w:w="2126"/>
      </w:tblGrid>
      <w:tr w:rsidR="009F2B65" w:rsidRPr="00285D58" w14:paraId="32A51133" w14:textId="77777777" w:rsidTr="00242093">
        <w:trPr>
          <w:jc w:val="center"/>
        </w:trPr>
        <w:tc>
          <w:tcPr>
            <w:tcW w:w="3823" w:type="dxa"/>
            <w:vAlign w:val="center"/>
          </w:tcPr>
          <w:p w14:paraId="062BC91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tc>
        <w:tc>
          <w:tcPr>
            <w:tcW w:w="1984" w:type="dxa"/>
            <w:vAlign w:val="center"/>
          </w:tcPr>
          <w:p w14:paraId="58CDC29B" w14:textId="77777777" w:rsidR="009F2B65" w:rsidRPr="00285D58" w:rsidRDefault="009F2B65" w:rsidP="008D1FFF">
            <w:pPr>
              <w:pStyle w:val="Default"/>
              <w:spacing w:line="276" w:lineRule="auto"/>
              <w:jc w:val="center"/>
              <w:rPr>
                <w:rFonts w:asciiTheme="minorHAnsi" w:hAnsiTheme="minorHAnsi" w:cstheme="minorHAnsi"/>
                <w:b/>
                <w:bCs/>
                <w:color w:val="auto"/>
                <w:sz w:val="22"/>
                <w:szCs w:val="22"/>
              </w:rPr>
            </w:pPr>
            <w:r w:rsidRPr="00285D58">
              <w:rPr>
                <w:rFonts w:asciiTheme="minorHAnsi" w:hAnsiTheme="minorHAnsi" w:cstheme="minorHAnsi"/>
                <w:b/>
                <w:bCs/>
                <w:color w:val="auto"/>
                <w:sz w:val="22"/>
                <w:szCs w:val="22"/>
              </w:rPr>
              <w:t xml:space="preserve">Capacidad máxima del vehículo </w:t>
            </w:r>
          </w:p>
        </w:tc>
        <w:tc>
          <w:tcPr>
            <w:tcW w:w="2126" w:type="dxa"/>
            <w:vAlign w:val="center"/>
          </w:tcPr>
          <w:p w14:paraId="68AF92F1" w14:textId="77777777" w:rsidR="009F2B65" w:rsidRPr="00285D58" w:rsidRDefault="009F2B65" w:rsidP="008D1FFF">
            <w:pPr>
              <w:pStyle w:val="Default"/>
              <w:spacing w:line="276" w:lineRule="auto"/>
              <w:jc w:val="center"/>
              <w:rPr>
                <w:rFonts w:asciiTheme="minorHAnsi" w:hAnsiTheme="minorHAnsi" w:cstheme="minorHAnsi"/>
                <w:b/>
                <w:bCs/>
                <w:color w:val="auto"/>
                <w:sz w:val="22"/>
                <w:szCs w:val="22"/>
              </w:rPr>
            </w:pPr>
            <w:r w:rsidRPr="00285D58">
              <w:rPr>
                <w:rFonts w:asciiTheme="minorHAnsi" w:hAnsiTheme="minorHAnsi" w:cstheme="minorHAnsi"/>
                <w:b/>
                <w:bCs/>
                <w:color w:val="auto"/>
                <w:sz w:val="22"/>
                <w:szCs w:val="22"/>
              </w:rPr>
              <w:t>Velocidad máxima</w:t>
            </w:r>
          </w:p>
        </w:tc>
      </w:tr>
      <w:tr w:rsidR="009F2B65" w:rsidRPr="00285D58" w14:paraId="11AB3BAA" w14:textId="77777777" w:rsidTr="00242093">
        <w:trPr>
          <w:jc w:val="center"/>
        </w:trPr>
        <w:tc>
          <w:tcPr>
            <w:tcW w:w="3823" w:type="dxa"/>
          </w:tcPr>
          <w:p w14:paraId="0191AFB7"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Transporte por Teleférico - Cabinas</w:t>
            </w:r>
          </w:p>
        </w:tc>
        <w:tc>
          <w:tcPr>
            <w:tcW w:w="1984" w:type="dxa"/>
          </w:tcPr>
          <w:p w14:paraId="4D0EBF52"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100 pasajeros</w:t>
            </w:r>
          </w:p>
        </w:tc>
        <w:tc>
          <w:tcPr>
            <w:tcW w:w="2126" w:type="dxa"/>
          </w:tcPr>
          <w:p w14:paraId="49CE7D56"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12 m/s ó 43 km/h</w:t>
            </w:r>
          </w:p>
        </w:tc>
      </w:tr>
      <w:tr w:rsidR="009F2B65" w:rsidRPr="00285D58" w14:paraId="23760310" w14:textId="77777777" w:rsidTr="00242093">
        <w:trPr>
          <w:jc w:val="center"/>
        </w:trPr>
        <w:tc>
          <w:tcPr>
            <w:tcW w:w="3823" w:type="dxa"/>
          </w:tcPr>
          <w:p w14:paraId="711CA00D"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Transporte terrestre - Buses</w:t>
            </w:r>
          </w:p>
        </w:tc>
        <w:tc>
          <w:tcPr>
            <w:tcW w:w="1984" w:type="dxa"/>
          </w:tcPr>
          <w:p w14:paraId="723514DF"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23 pasajeros</w:t>
            </w:r>
          </w:p>
        </w:tc>
        <w:tc>
          <w:tcPr>
            <w:tcW w:w="2126" w:type="dxa"/>
          </w:tcPr>
          <w:p w14:paraId="796E9C7B" w14:textId="77777777" w:rsidR="009F2B65" w:rsidRPr="00285D58" w:rsidRDefault="009F2B65" w:rsidP="008D1FFF">
            <w:pPr>
              <w:pStyle w:val="Default"/>
              <w:spacing w:line="276" w:lineRule="auto"/>
              <w:jc w:val="center"/>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 8 m/s ó 30 km/h</w:t>
            </w:r>
          </w:p>
        </w:tc>
      </w:tr>
    </w:tbl>
    <w:p w14:paraId="01603157"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625196BE"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6F10E371"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CONCESIONARIO deberá mantener las Vías Turísticas en condiciones adecuadas para el tránsito de buses, en cumplimiento de los estándares nacionales aplicables al mantenimiento y conservación vial, de forma que se garantice el confort y seguridad de los Usuarios en todo momento. </w:t>
      </w:r>
    </w:p>
    <w:p w14:paraId="75F26B58"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700D149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Atención al Usuario </w:t>
      </w:r>
    </w:p>
    <w:p w14:paraId="40DAD36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contar con una Oficina de Información y Atención al Usuario en las estaciones centrales. Las oficinas deberán contar con personal capacitado para recibir, guiar, orientar, informar, auxiliar en tareas de embarco y desembarco, incluyendo la atención de personas mayores o con habilidades especiales. Asimismo, deberán contar con un buzón para reclamos y sugerencias y un Libro de Reclamaciones físico y virtual previstos en la normativa vigente. </w:t>
      </w:r>
    </w:p>
    <w:p w14:paraId="25ED9A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74CBFD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La Oficina de Información y Atención al Usuario también se encargará de recibir, registrar, almacenar y gestionar objetos que hayan sido extraviados por los Usuarios en las estaciones, cabinas y buses, con el objetivo de facilitar la recuperación de pertenencias por parte de sus propietarios</w:t>
      </w:r>
    </w:p>
    <w:p w14:paraId="4667B248" w14:textId="77777777" w:rsidR="009F2B65" w:rsidRPr="00BB5F42" w:rsidRDefault="009F2B65" w:rsidP="008D1FFF">
      <w:pPr>
        <w:pStyle w:val="Default"/>
        <w:spacing w:line="276" w:lineRule="auto"/>
        <w:jc w:val="both"/>
        <w:rPr>
          <w:rFonts w:asciiTheme="minorHAnsi" w:hAnsiTheme="minorHAnsi" w:cstheme="minorHAnsi"/>
          <w:color w:val="auto"/>
          <w:sz w:val="22"/>
          <w:szCs w:val="22"/>
          <w:lang w:val="es-PE"/>
        </w:rPr>
      </w:pPr>
    </w:p>
    <w:p w14:paraId="132F499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elaborar y administrar una Plataforma Web que contenga como mínimo información actualizada mensualmente sobre la prestación del Servicio, horarios, promociones, medidas de seguridad y boletines informativos, así como la posibilidad de registrar los reclamos y sugerencias de los usuarios respecto a los servicios brindados. La Plataforma Web deberá entrar en </w:t>
      </w:r>
      <w:r w:rsidRPr="00285D58">
        <w:rPr>
          <w:rFonts w:asciiTheme="minorHAnsi" w:hAnsiTheme="minorHAnsi" w:cstheme="minorHAnsi"/>
          <w:color w:val="auto"/>
          <w:sz w:val="22"/>
          <w:szCs w:val="22"/>
          <w:lang w:val="es-PE"/>
        </w:rPr>
        <w:lastRenderedPageBreak/>
        <w:t xml:space="preserve">vigencia a partir del inicio de la Operación.  </w:t>
      </w:r>
    </w:p>
    <w:p w14:paraId="182668F1" w14:textId="77777777" w:rsidR="009F2B65" w:rsidRPr="00BB5F42" w:rsidRDefault="009F2B65" w:rsidP="008D1FFF">
      <w:pPr>
        <w:pStyle w:val="Default"/>
        <w:spacing w:line="276" w:lineRule="auto"/>
        <w:jc w:val="both"/>
        <w:rPr>
          <w:rFonts w:asciiTheme="minorHAnsi" w:hAnsiTheme="minorHAnsi" w:cstheme="minorHAnsi"/>
          <w:color w:val="auto"/>
          <w:sz w:val="22"/>
          <w:szCs w:val="22"/>
          <w:lang w:val="es-PE"/>
        </w:rPr>
      </w:pPr>
    </w:p>
    <w:p w14:paraId="1494A58B" w14:textId="0525AA70"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se encargará de registrar y centralizar los reclamos y sugerencias que hayan sido realizados por los Usuarios en el Libro de Reclamaciones y/o en la Plataforma Web, y deberá atenderlos en un plazo no mayor a siete (7) Días Calendario. </w:t>
      </w:r>
    </w:p>
    <w:p w14:paraId="259F7D9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2A2F21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cualquier momento, el Supervisor o el CONCEDENTE podrán verificar la vigencia de la información consignada en la página web y en caso de no encontrarse actualizada, el CONCEDENTE comunicará al CONCESIONARIO para que este subsane la observación en un plazo no mayor a un (01) Dia Calendario. </w:t>
      </w:r>
    </w:p>
    <w:p w14:paraId="702F029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56838D1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emitir y difundir guías y/o boletines informativos para los Usuarios por lo menos cada semestre donde se consignará la información de interés sobre la prestación del Servicio y las medidas de seguridad a ser adoptadas por los Usuarios en diferentes casos. </w:t>
      </w:r>
    </w:p>
    <w:p w14:paraId="0FC949C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8214D7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implementar un servicio de evaluación de los usuarios en tiempo real, mediante plataformas o soportes digitales tales como tabletas, pantallas táctiles, aplicativos de celulares, entre otros. </w:t>
      </w:r>
    </w:p>
    <w:p w14:paraId="70A66C3B"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B92F9A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Asimismo, el CONCESIONARIO realizará encuestas mensuales para determinar el índice de Satisfacción del Usuario. Para la encuesta, se definirá un tamaño muestral que sea robusta y estadísticamente representativo. El diseño de la encuesta y los atributos (variables a medir) serán definidos en coordinación con el CONCEDENTE y el Supervisor. La encuesta deberá permitir la identificación del perfil del turista que hace uso del servicio, categoría socioeconómica, motivo de viaje, etc.</w:t>
      </w:r>
      <w:r w:rsidRPr="00285D58">
        <w:rPr>
          <w:rFonts w:asciiTheme="minorHAnsi" w:hAnsiTheme="minorHAnsi" w:cstheme="minorHAnsi"/>
          <w:color w:val="C45911" w:themeColor="accent2" w:themeShade="BF"/>
          <w:kern w:val="2"/>
          <w:sz w:val="22"/>
          <w:szCs w:val="22"/>
          <w:lang w:val="es-PE"/>
        </w:rPr>
        <w:t xml:space="preserve"> </w:t>
      </w:r>
    </w:p>
    <w:p w14:paraId="107FB2C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DF9C6CC" w14:textId="08490C63"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Como mínimo las encuestas deberán contemplar las siguientes variables o aspectos del servicio: frecuencia del Servicio, tiempo de viaje, puntualidad, limpieza de cabinas, buses y estaciones, información por demoras, trato del personal, iluminación en estaciones, estado general de cabinas, buses y estaciones, </w:t>
      </w:r>
      <w:r w:rsidR="00237826" w:rsidRPr="00285D58">
        <w:rPr>
          <w:rFonts w:asciiTheme="minorHAnsi" w:hAnsiTheme="minorHAnsi" w:cstheme="minorHAnsi"/>
          <w:color w:val="auto"/>
          <w:sz w:val="22"/>
          <w:szCs w:val="22"/>
          <w:lang w:val="es-PE"/>
        </w:rPr>
        <w:t xml:space="preserve">estado general de los caminos peatonales entre las estaciones y el monumento, estado de la señalética, facilidad para la adquisición de boletos y tiempo de </w:t>
      </w:r>
      <w:r w:rsidRPr="00285D58">
        <w:rPr>
          <w:rFonts w:asciiTheme="minorHAnsi" w:hAnsiTheme="minorHAnsi" w:cstheme="minorHAnsi"/>
          <w:color w:val="auto"/>
          <w:sz w:val="22"/>
          <w:szCs w:val="22"/>
          <w:lang w:val="es-PE"/>
        </w:rPr>
        <w:t xml:space="preserve">espera en boleterías, </w:t>
      </w:r>
      <w:r w:rsidR="00237826" w:rsidRPr="00285D58">
        <w:rPr>
          <w:rFonts w:asciiTheme="minorHAnsi" w:hAnsiTheme="minorHAnsi" w:cstheme="minorHAnsi"/>
          <w:color w:val="auto"/>
          <w:sz w:val="22"/>
          <w:szCs w:val="22"/>
          <w:lang w:val="es-PE"/>
        </w:rPr>
        <w:t xml:space="preserve">estado general de plataformas web de información y atención de reclamos virtual, accesibilidad para personas con discapacidad y de las personas adultas mayores, </w:t>
      </w:r>
      <w:r w:rsidRPr="00285D58">
        <w:rPr>
          <w:rFonts w:asciiTheme="minorHAnsi" w:hAnsiTheme="minorHAnsi" w:cstheme="minorHAnsi"/>
          <w:color w:val="auto"/>
          <w:sz w:val="22"/>
          <w:szCs w:val="22"/>
          <w:lang w:val="es-PE"/>
        </w:rPr>
        <w:t>comodidad del viaje, interrupciones, seguridad por accidentes</w:t>
      </w:r>
      <w:r w:rsidR="00237826" w:rsidRPr="00285D58">
        <w:rPr>
          <w:rFonts w:asciiTheme="minorHAnsi" w:hAnsiTheme="minorHAnsi" w:cstheme="minorHAnsi"/>
          <w:color w:val="auto"/>
          <w:sz w:val="22"/>
          <w:szCs w:val="22"/>
          <w:lang w:val="es-PE"/>
        </w:rPr>
        <w:t>,</w:t>
      </w:r>
      <w:r w:rsidRPr="00285D58">
        <w:rPr>
          <w:rFonts w:asciiTheme="minorHAnsi" w:hAnsiTheme="minorHAnsi" w:cstheme="minorHAnsi"/>
          <w:color w:val="auto"/>
          <w:sz w:val="22"/>
          <w:szCs w:val="22"/>
          <w:lang w:val="es-PE"/>
        </w:rPr>
        <w:t xml:space="preserve"> seguridad frente a delitos</w:t>
      </w:r>
      <w:r w:rsidR="00237826" w:rsidRPr="00285D58">
        <w:rPr>
          <w:rFonts w:asciiTheme="minorHAnsi" w:hAnsiTheme="minorHAnsi" w:cstheme="minorHAnsi"/>
          <w:color w:val="auto"/>
          <w:sz w:val="22"/>
          <w:szCs w:val="22"/>
          <w:lang w:val="es-PE"/>
        </w:rPr>
        <w:t xml:space="preserve"> y otros servicios complementarios que el Concesionario pueda ofertar dentro del Área de la Concesión.</w:t>
      </w:r>
    </w:p>
    <w:p w14:paraId="424C3F6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229FEB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Para medir la calidad de los servicios, se empleará una escala de Likert, permitiendo a los encuestados evaluar cada aspecto asignando uno de los siguientes valores:</w:t>
      </w:r>
    </w:p>
    <w:p w14:paraId="201E266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FB2ED92"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Malo</w:t>
      </w:r>
    </w:p>
    <w:p w14:paraId="4E50C976"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Regular</w:t>
      </w:r>
    </w:p>
    <w:p w14:paraId="0C4DA264"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Bueno</w:t>
      </w:r>
    </w:p>
    <w:p w14:paraId="195B86BC"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lastRenderedPageBreak/>
        <w:t>Muy Bueno</w:t>
      </w:r>
    </w:p>
    <w:p w14:paraId="674C9ACF" w14:textId="77777777" w:rsidR="009F2B65" w:rsidRPr="00285D58" w:rsidRDefault="009F2B65" w:rsidP="00A3732C">
      <w:pPr>
        <w:pStyle w:val="Default"/>
        <w:widowControl/>
        <w:numPr>
          <w:ilvl w:val="0"/>
          <w:numId w:val="259"/>
        </w:numPr>
        <w:spacing w:line="276" w:lineRule="auto"/>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Excelente</w:t>
      </w:r>
    </w:p>
    <w:p w14:paraId="00DBE01A"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0E310450"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resultado de las encuestas mensuales deberá registrarse en el SIDIG en un plazo no mayor de quince (15) Días Calendario luego de su realización. El CONCEDENTE y el Supervisor, tendrán acceso, en todo momento a esta información. </w:t>
      </w:r>
    </w:p>
    <w:p w14:paraId="097F33C1"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6FF1250D"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1127532F"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3.3. PROCEDIMIENTOS GENERALES </w:t>
      </w:r>
    </w:p>
    <w:p w14:paraId="2CAED9B6"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4AE2F854"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r w:rsidRPr="00285D58">
        <w:rPr>
          <w:rFonts w:asciiTheme="minorHAnsi" w:hAnsiTheme="minorHAnsi" w:cstheme="minorHAnsi"/>
          <w:b/>
          <w:bCs/>
          <w:color w:val="auto"/>
          <w:sz w:val="22"/>
          <w:szCs w:val="22"/>
          <w:lang w:val="es-PE"/>
        </w:rPr>
        <w:t xml:space="preserve">Plan Anual de Operación  </w:t>
      </w:r>
    </w:p>
    <w:p w14:paraId="005D86D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F0B5F52" w14:textId="6EBC056F"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Operación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12548584" w14:textId="77777777" w:rsidR="009F2B65" w:rsidRPr="00285D58" w:rsidRDefault="009F2B65" w:rsidP="008D1FFF">
      <w:pPr>
        <w:spacing w:line="276" w:lineRule="auto"/>
        <w:jc w:val="both"/>
        <w:rPr>
          <w:rFonts w:asciiTheme="minorHAnsi" w:hAnsiTheme="minorHAnsi" w:cstheme="minorHAnsi"/>
          <w:lang w:val="es-PE"/>
        </w:rPr>
      </w:pPr>
    </w:p>
    <w:p w14:paraId="39C23621" w14:textId="5605A204"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Operación será presentado al </w:t>
      </w:r>
      <w:r w:rsidR="00D55B7A" w:rsidRPr="00285D58">
        <w:rPr>
          <w:rFonts w:asciiTheme="minorHAnsi" w:hAnsiTheme="minorHAnsi" w:cstheme="minorHAnsi"/>
          <w:lang w:val="es-PE"/>
        </w:rPr>
        <w:t>Supervisor, con</w:t>
      </w:r>
      <w:r w:rsidRPr="00285D58">
        <w:rPr>
          <w:rFonts w:asciiTheme="minorHAnsi" w:hAnsiTheme="minorHAnsi" w:cstheme="minorHAnsi"/>
          <w:lang w:val="es-PE"/>
        </w:rPr>
        <w:t xml:space="preserve"> copia al </w:t>
      </w:r>
      <w:r w:rsidR="00DE2EE6"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DE2EE6" w:rsidRPr="00285D58">
        <w:rPr>
          <w:rFonts w:asciiTheme="minorHAnsi" w:hAnsiTheme="minorHAnsi" w:cstheme="minorHAnsi"/>
          <w:lang w:val="es-PE"/>
        </w:rPr>
        <w:t>previos a la suscripción del Acta de</w:t>
      </w:r>
      <w:r w:rsidRPr="00285D58">
        <w:rPr>
          <w:rFonts w:asciiTheme="minorHAnsi" w:hAnsiTheme="minorHAnsi" w:cstheme="minorHAnsi"/>
          <w:lang w:val="es-PE"/>
        </w:rPr>
        <w:t xml:space="preserve"> Inicio de la Operación. </w:t>
      </w:r>
    </w:p>
    <w:p w14:paraId="6AA36CF9" w14:textId="77777777" w:rsidR="009F2B65" w:rsidRPr="00285D58" w:rsidRDefault="009F2B65" w:rsidP="008D1FFF">
      <w:pPr>
        <w:spacing w:line="276" w:lineRule="auto"/>
        <w:jc w:val="both"/>
        <w:rPr>
          <w:rFonts w:asciiTheme="minorHAnsi" w:hAnsiTheme="minorHAnsi" w:cstheme="minorHAnsi"/>
          <w:lang w:val="es-PE"/>
        </w:rPr>
      </w:pPr>
    </w:p>
    <w:p w14:paraId="1A987642" w14:textId="61BADB73"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DE2EE6" w:rsidRPr="00285D58">
        <w:rPr>
          <w:rFonts w:asciiTheme="minorHAnsi" w:hAnsiTheme="minorHAnsi" w:cstheme="minorHAnsi"/>
          <w:lang w:val="es-PE"/>
        </w:rPr>
        <w:t xml:space="preserve">hasta el último Día del mes </w:t>
      </w:r>
      <w:r w:rsidR="00D55B7A" w:rsidRPr="00285D58">
        <w:rPr>
          <w:rFonts w:asciiTheme="minorHAnsi" w:hAnsiTheme="minorHAnsi" w:cstheme="minorHAnsi"/>
          <w:lang w:val="es-PE"/>
        </w:rPr>
        <w:t>de setiembre</w:t>
      </w:r>
      <w:r w:rsidRPr="00285D58">
        <w:rPr>
          <w:rFonts w:asciiTheme="minorHAnsi" w:hAnsiTheme="minorHAnsi" w:cstheme="minorHAnsi"/>
          <w:lang w:val="es-PE"/>
        </w:rPr>
        <w:t xml:space="preserve"> del año anterior a su entra</w:t>
      </w:r>
      <w:r w:rsidR="00DE2EE6" w:rsidRPr="00285D58">
        <w:rPr>
          <w:rFonts w:asciiTheme="minorHAnsi" w:hAnsiTheme="minorHAnsi" w:cstheme="minorHAnsi"/>
          <w:lang w:val="es-PE"/>
        </w:rPr>
        <w:t>da</w:t>
      </w:r>
      <w:r w:rsidRPr="00285D58">
        <w:rPr>
          <w:rFonts w:asciiTheme="minorHAnsi" w:hAnsiTheme="minorHAnsi" w:cstheme="minorHAnsi"/>
          <w:lang w:val="es-PE"/>
        </w:rPr>
        <w:t xml:space="preserve"> en vigencia </w:t>
      </w:r>
      <w:r w:rsidR="00DE2EE6" w:rsidRPr="00285D58">
        <w:rPr>
          <w:rFonts w:asciiTheme="minorHAnsi" w:hAnsiTheme="minorHAnsi" w:cstheme="minorHAnsi"/>
          <w:lang w:val="es-PE"/>
        </w:rPr>
        <w:t xml:space="preserve">y regirán </w:t>
      </w:r>
      <w:r w:rsidRPr="00285D58">
        <w:rPr>
          <w:rFonts w:asciiTheme="minorHAnsi" w:hAnsiTheme="minorHAnsi" w:cstheme="minorHAnsi"/>
          <w:lang w:val="es-PE"/>
        </w:rPr>
        <w:t xml:space="preserve">desde enero hasta diciembre del año </w:t>
      </w:r>
      <w:r w:rsidR="00DE2EE6" w:rsidRPr="00285D58">
        <w:rPr>
          <w:rFonts w:asciiTheme="minorHAnsi" w:hAnsiTheme="minorHAnsi" w:cstheme="minorHAnsi"/>
          <w:lang w:val="es-PE"/>
        </w:rPr>
        <w:t>respectivo.</w:t>
      </w:r>
      <w:r w:rsidRPr="00285D58">
        <w:rPr>
          <w:rFonts w:asciiTheme="minorHAnsi" w:hAnsiTheme="minorHAnsi" w:cstheme="minorHAnsi"/>
          <w:lang w:val="es-PE"/>
        </w:rPr>
        <w:t xml:space="preserve"> </w:t>
      </w:r>
    </w:p>
    <w:p w14:paraId="65FD87BC" w14:textId="77777777" w:rsidR="009F2B65" w:rsidRPr="00285D58" w:rsidRDefault="009F2B65" w:rsidP="008D1FFF">
      <w:pPr>
        <w:spacing w:line="276" w:lineRule="auto"/>
        <w:jc w:val="both"/>
        <w:rPr>
          <w:rFonts w:asciiTheme="minorHAnsi" w:hAnsiTheme="minorHAnsi" w:cstheme="minorHAnsi"/>
          <w:lang w:val="es-PE"/>
        </w:rPr>
      </w:pPr>
    </w:p>
    <w:p w14:paraId="4A4D154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Operación estará debidamente justificado en sus aspectos técnicos, indicando los estándares internacionales de operación consideras y las políticas aplicadas para la toma de decisiones.</w:t>
      </w:r>
    </w:p>
    <w:p w14:paraId="0A35564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B3B985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Operación deberá incluir como mínimo, el contenido exigido en la Norma UNE-EN 12397:2006 referido al Plan de Explotación para Instalaciones de Transporte por Cable:</w:t>
      </w:r>
    </w:p>
    <w:p w14:paraId="7850246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3592A691"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Nombre y características de la instalación </w:t>
      </w:r>
    </w:p>
    <w:p w14:paraId="560CE669"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Personal y responsabilidades </w:t>
      </w:r>
    </w:p>
    <w:p w14:paraId="47F02CE6"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Documentos Técnicos </w:t>
      </w:r>
    </w:p>
    <w:p w14:paraId="63F75CD4"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Modalidades de explotación en servicio normal </w:t>
      </w:r>
    </w:p>
    <w:p w14:paraId="23B112B9"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Modalidades de explotación en caso de circunstancias excepcionales </w:t>
      </w:r>
    </w:p>
    <w:p w14:paraId="5B2817A6"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Mantenimiento y controles en explotación </w:t>
      </w:r>
    </w:p>
    <w:p w14:paraId="2C203058"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Incidentes y accidentes </w:t>
      </w:r>
    </w:p>
    <w:p w14:paraId="69EB6F2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Plan de evacuación</w:t>
      </w:r>
    </w:p>
    <w:p w14:paraId="08149E3D"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1A0746E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lastRenderedPageBreak/>
        <w:t xml:space="preserve">Además de los aspectos relacionados a la prestación del servicio, tales como: </w:t>
      </w:r>
    </w:p>
    <w:p w14:paraId="2438D7D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Descripción de los servicios ofertados </w:t>
      </w:r>
    </w:p>
    <w:p w14:paraId="33BD934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Cobertura del Servicio </w:t>
      </w:r>
    </w:p>
    <w:p w14:paraId="0AC8A0EE"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Horarios de operación y frecuencia de salida de los Buses </w:t>
      </w:r>
    </w:p>
    <w:p w14:paraId="4DD28787"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Horarios de operación y frecuencia de salida de los Teleféricos </w:t>
      </w:r>
    </w:p>
    <w:p w14:paraId="20A6214F"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Gestión de horarios: Coordinación de los horarios de salida y llegada para minimizar los tiempos de espera. </w:t>
      </w:r>
    </w:p>
    <w:p w14:paraId="20589052"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rPr>
      </w:pPr>
      <w:r w:rsidRPr="00285D58">
        <w:rPr>
          <w:rFonts w:asciiTheme="minorHAnsi" w:hAnsiTheme="minorHAnsi" w:cstheme="minorHAnsi"/>
          <w:color w:val="auto"/>
          <w:sz w:val="22"/>
          <w:szCs w:val="22"/>
        </w:rPr>
        <w:t xml:space="preserve">Personal y Organización Jerárquica </w:t>
      </w:r>
    </w:p>
    <w:p w14:paraId="00A54B3F"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Protocolos de seguridad: Procedimientos para garantizar la seguridad de los pasajeros. </w:t>
      </w:r>
    </w:p>
    <w:p w14:paraId="60445ED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9F8403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03C473EC"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las actividades de operación realizadas durante el mes anterior, y de corresponder, deberá indicar las variaciones que hubiera efectuado respecto de lo establecido en el Plan Anual de Operación con la debida justificación. </w:t>
      </w:r>
    </w:p>
    <w:p w14:paraId="229FD477" w14:textId="77777777" w:rsidR="009F2B65" w:rsidRPr="00285D58" w:rsidRDefault="009F2B65" w:rsidP="008D1FFF">
      <w:pPr>
        <w:spacing w:line="276" w:lineRule="auto"/>
        <w:jc w:val="both"/>
        <w:rPr>
          <w:rFonts w:asciiTheme="minorHAnsi" w:hAnsiTheme="minorHAnsi" w:cstheme="minorHAnsi"/>
          <w:lang w:val="es-PE"/>
        </w:rPr>
      </w:pPr>
    </w:p>
    <w:p w14:paraId="68A6A7C1" w14:textId="77777777" w:rsidR="009F2B65" w:rsidRPr="00285D58" w:rsidRDefault="009F2B65" w:rsidP="008D1FFF">
      <w:pPr>
        <w:spacing w:line="276" w:lineRule="auto"/>
        <w:jc w:val="both"/>
        <w:rPr>
          <w:rFonts w:asciiTheme="minorHAnsi" w:hAnsiTheme="minorHAnsi" w:cstheme="minorHAnsi"/>
          <w:color w:val="C45911" w:themeColor="accent2" w:themeShade="BF"/>
          <w:lang w:val="es-PE"/>
        </w:rPr>
      </w:pPr>
      <w:r w:rsidRPr="00285D58">
        <w:rPr>
          <w:rFonts w:asciiTheme="minorHAnsi" w:hAnsiTheme="minorHAnsi" w:cstheme="minorHAnsi"/>
          <w:lang w:val="es-PE"/>
        </w:rPr>
        <w:t xml:space="preserve">La relación de los trabajos realizados formará parte del Informe Mensual de Actividades, descrito en la Sección 5 del presente Anexo. El CONCESIONARIO deberá adjuntar una copia del Registro de Explotación con la información correspondiente del respectivo.  </w:t>
      </w:r>
    </w:p>
    <w:p w14:paraId="5C7E7EB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BD0FA8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B277C56"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4: SERVICIO DE SEGURIDAD Y VIGILANCIA  </w:t>
      </w:r>
    </w:p>
    <w:p w14:paraId="54D9B5C0"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3F1E5DAB"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4.1. PRINCIPIOS GENERALES </w:t>
      </w:r>
    </w:p>
    <w:p w14:paraId="0AFC379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proporcionar el Servicio Seguridad y Vigilancia al interior y exterior de las Estaciones, a fin de garantizar en todo momento la integridad y resguardo de los Usuarios. </w:t>
      </w:r>
    </w:p>
    <w:p w14:paraId="08ECBCB3"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7D0FDEA3"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4.2. NIVELES DE SERVICIO DE SEGURIDAD Y VIGILANCIA </w:t>
      </w:r>
    </w:p>
    <w:p w14:paraId="64DD1B9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está obligado a prestar el servicio de seguridad al Usuario en el interior de las estaciones, así como también el servicio de vigilancia dentro de las mismas.</w:t>
      </w:r>
    </w:p>
    <w:p w14:paraId="1178137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468EE0F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Para ello, deberá contar con personal debidamente capacitado en las estaciones e instalar cámaras de videovigilancia, sistemas de CCTV u otros. Además, deberá implementar dispositivos de grabación tanto en las cabinas como en los buses, para contar con un registro diario de los eventos que puedan suscitarse durante el desplazamiento de los vehículos. </w:t>
      </w:r>
    </w:p>
    <w:p w14:paraId="72595ACA" w14:textId="77777777" w:rsidR="009F2B65" w:rsidRPr="00285D58" w:rsidRDefault="009F2B65" w:rsidP="008D1FFF">
      <w:pPr>
        <w:spacing w:before="100" w:beforeAutospacing="1" w:after="100" w:afterAutospacing="1" w:line="276" w:lineRule="auto"/>
        <w:rPr>
          <w:rFonts w:asciiTheme="minorHAnsi" w:hAnsiTheme="minorHAnsi" w:cstheme="minorHAnsi"/>
          <w:lang w:val="es-PE"/>
        </w:rPr>
      </w:pPr>
      <w:r w:rsidRPr="00285D58">
        <w:rPr>
          <w:rFonts w:asciiTheme="minorHAnsi" w:hAnsiTheme="minorHAnsi" w:cstheme="minorHAnsi"/>
          <w:lang w:val="es-PE"/>
        </w:rPr>
        <w:t>Las Estaciones Centrales, deberán estar equipadas con los</w:t>
      </w:r>
      <w:r w:rsidRPr="00285D58">
        <w:rPr>
          <w:rFonts w:asciiTheme="minorHAnsi" w:eastAsia="Times New Roman" w:hAnsiTheme="minorHAnsi" w:cstheme="minorHAnsi"/>
          <w:sz w:val="24"/>
          <w:szCs w:val="24"/>
          <w:lang w:val="es-PE"/>
        </w:rPr>
        <w:t xml:space="preserve"> </w:t>
      </w:r>
      <w:r w:rsidRPr="00285D58">
        <w:rPr>
          <w:rFonts w:asciiTheme="minorHAnsi" w:hAnsiTheme="minorHAnsi" w:cstheme="minorHAnsi"/>
          <w:lang w:val="es-PE"/>
        </w:rPr>
        <w:t xml:space="preserve">recursos mínimos para brindar atención medica básica a los Usuarios durante situaciones de riesgo que puedan suscitarse dentro del Área de la Concesión. Asimismo, la Estación Abra Choquequirao y Estación Unión, deberán contar con equipos de oxígeno de manera permanente y ser puestos a disposición de los Usuarios en caso de emergencias. </w:t>
      </w:r>
    </w:p>
    <w:p w14:paraId="68FCE94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498DFFDD"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4.3. PROCEDIMIENTOS GENERALES </w:t>
      </w:r>
    </w:p>
    <w:p w14:paraId="679DAE87"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273D6AC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Plan Anual de Seguridad y Vigilancia </w:t>
      </w:r>
    </w:p>
    <w:p w14:paraId="7A371AA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F0767BE" w14:textId="7EFEE8D2"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CONCESIONARIO deberá presentar el Plan Anual de Seguridad y Vigilancia al CONCEDENTE, con copia al Supervisor. El CONCEDENTE contará con un plazo de </w:t>
      </w:r>
      <w:r w:rsidR="00DE2EE6" w:rsidRPr="00285D58">
        <w:rPr>
          <w:rFonts w:asciiTheme="minorHAnsi" w:hAnsiTheme="minorHAnsi" w:cstheme="minorHAnsi"/>
          <w:lang w:val="es-PE"/>
        </w:rPr>
        <w:t xml:space="preserve">diez (10) </w:t>
      </w:r>
      <w:r w:rsidR="00242093" w:rsidRPr="00285D58">
        <w:rPr>
          <w:rFonts w:asciiTheme="minorHAnsi" w:hAnsiTheme="minorHAnsi" w:cstheme="minorHAnsi"/>
          <w:lang w:val="es-PE"/>
        </w:rPr>
        <w:t>D</w:t>
      </w:r>
      <w:r w:rsidR="00DE2EE6"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00DE2EE6" w:rsidRPr="00285D58">
        <w:rPr>
          <w:rFonts w:asciiTheme="minorHAnsi" w:hAnsiTheme="minorHAnsi" w:cstheme="minorHAnsi"/>
          <w:lang w:val="es-PE"/>
        </w:rPr>
        <w:t>alendario contados desde el día siguiente de su recepción para brindar su opinión favorable, previa opinión del Supervisor. Vencido dicho plazo, el CONCEDENTE debe emitir su pronunciamiento, aun cuando el Supervisor no se haya pronunciado. En caso el CONCEDENTE formule observaciones o recomendaciones, el procedimiento se encuentra regulado en las Cláusulas 7.7 y 7.8.</w:t>
      </w:r>
    </w:p>
    <w:p w14:paraId="4A23B878" w14:textId="77777777" w:rsidR="009F2B65" w:rsidRPr="00285D58" w:rsidRDefault="009F2B65" w:rsidP="008D1FFF">
      <w:pPr>
        <w:spacing w:line="276" w:lineRule="auto"/>
        <w:jc w:val="both"/>
        <w:rPr>
          <w:rFonts w:asciiTheme="minorHAnsi" w:hAnsiTheme="minorHAnsi" w:cstheme="minorHAnsi"/>
          <w:lang w:val="es-PE"/>
        </w:rPr>
      </w:pPr>
    </w:p>
    <w:p w14:paraId="64260044" w14:textId="77777777" w:rsidR="009F2B65" w:rsidRPr="00285D58" w:rsidRDefault="009F2B65" w:rsidP="008D1FFF">
      <w:pPr>
        <w:spacing w:line="276" w:lineRule="auto"/>
        <w:jc w:val="both"/>
        <w:rPr>
          <w:rFonts w:asciiTheme="minorHAnsi" w:hAnsiTheme="minorHAnsi" w:cstheme="minorHAnsi"/>
          <w:lang w:val="es-PE"/>
        </w:rPr>
      </w:pPr>
    </w:p>
    <w:p w14:paraId="20E50A52" w14:textId="120524CC"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primer Plan Anual de Seguridad y Vigilancia será presentado al </w:t>
      </w:r>
      <w:r w:rsidR="00AE7E1F" w:rsidRPr="00285D58">
        <w:rPr>
          <w:rFonts w:asciiTheme="minorHAnsi" w:hAnsiTheme="minorHAnsi" w:cstheme="minorHAnsi"/>
          <w:lang w:val="es-PE"/>
        </w:rPr>
        <w:t>Supervisor</w:t>
      </w:r>
      <w:r w:rsidRPr="00285D58">
        <w:rPr>
          <w:rFonts w:asciiTheme="minorHAnsi" w:hAnsiTheme="minorHAnsi" w:cstheme="minorHAnsi"/>
          <w:lang w:val="es-PE"/>
        </w:rPr>
        <w:t xml:space="preserve">, con copia al </w:t>
      </w:r>
      <w:r w:rsidR="00AE7E1F" w:rsidRPr="00285D58">
        <w:rPr>
          <w:rFonts w:asciiTheme="minorHAnsi" w:hAnsiTheme="minorHAnsi" w:cstheme="minorHAnsi"/>
          <w:lang w:val="es-PE"/>
        </w:rPr>
        <w:t>CONCEDENTE</w:t>
      </w:r>
      <w:r w:rsidRPr="00285D58">
        <w:rPr>
          <w:rFonts w:asciiTheme="minorHAnsi" w:hAnsiTheme="minorHAnsi" w:cstheme="minorHAnsi"/>
          <w:lang w:val="es-PE"/>
        </w:rPr>
        <w:t xml:space="preserve">, a más tardar noventa (90) </w:t>
      </w:r>
      <w:r w:rsidR="00242093" w:rsidRPr="00285D58">
        <w:rPr>
          <w:rFonts w:asciiTheme="minorHAnsi" w:hAnsiTheme="minorHAnsi" w:cstheme="minorHAnsi"/>
          <w:lang w:val="es-PE"/>
        </w:rPr>
        <w:t>D</w:t>
      </w:r>
      <w:r w:rsidRPr="00285D58">
        <w:rPr>
          <w:rFonts w:asciiTheme="minorHAnsi" w:hAnsiTheme="minorHAnsi" w:cstheme="minorHAnsi"/>
          <w:lang w:val="es-PE"/>
        </w:rPr>
        <w:t xml:space="preserve">ías </w:t>
      </w:r>
      <w:r w:rsidR="00242093" w:rsidRPr="00285D58">
        <w:rPr>
          <w:rFonts w:asciiTheme="minorHAnsi" w:hAnsiTheme="minorHAnsi" w:cstheme="minorHAnsi"/>
          <w:lang w:val="es-PE"/>
        </w:rPr>
        <w:t>C</w:t>
      </w:r>
      <w:r w:rsidRPr="00285D58">
        <w:rPr>
          <w:rFonts w:asciiTheme="minorHAnsi" w:hAnsiTheme="minorHAnsi" w:cstheme="minorHAnsi"/>
          <w:lang w:val="es-PE"/>
        </w:rPr>
        <w:t xml:space="preserve">alendario </w:t>
      </w:r>
      <w:r w:rsidR="00AE7E1F" w:rsidRPr="00285D58">
        <w:rPr>
          <w:rFonts w:asciiTheme="minorHAnsi" w:hAnsiTheme="minorHAnsi" w:cstheme="minorHAnsi"/>
          <w:lang w:val="es-PE"/>
        </w:rPr>
        <w:t>previos a la suscripción del Acta de</w:t>
      </w:r>
      <w:r w:rsidRPr="00285D58">
        <w:rPr>
          <w:rFonts w:asciiTheme="minorHAnsi" w:hAnsiTheme="minorHAnsi" w:cstheme="minorHAnsi"/>
          <w:lang w:val="es-PE"/>
        </w:rPr>
        <w:t xml:space="preserve"> Inicio de la Operación. </w:t>
      </w:r>
    </w:p>
    <w:p w14:paraId="0DC9A88F" w14:textId="77777777" w:rsidR="009F2B65" w:rsidRPr="00285D58" w:rsidRDefault="009F2B65" w:rsidP="008D1FFF">
      <w:pPr>
        <w:spacing w:line="276" w:lineRule="auto"/>
        <w:jc w:val="both"/>
        <w:rPr>
          <w:rFonts w:asciiTheme="minorHAnsi" w:hAnsiTheme="minorHAnsi" w:cstheme="minorHAnsi"/>
          <w:lang w:val="es-PE"/>
        </w:rPr>
      </w:pPr>
    </w:p>
    <w:p w14:paraId="0C543558" w14:textId="6A617216"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Los planes subsecuentes deberán ser entregados </w:t>
      </w:r>
      <w:r w:rsidR="00AE7E1F" w:rsidRPr="00285D58">
        <w:rPr>
          <w:rFonts w:asciiTheme="minorHAnsi" w:hAnsiTheme="minorHAnsi" w:cstheme="minorHAnsi"/>
          <w:lang w:val="es-PE"/>
        </w:rPr>
        <w:t xml:space="preserve">hasta el último Día del mes </w:t>
      </w:r>
      <w:r w:rsidRPr="00285D58">
        <w:rPr>
          <w:rFonts w:asciiTheme="minorHAnsi" w:hAnsiTheme="minorHAnsi" w:cstheme="minorHAnsi"/>
          <w:lang w:val="es-PE"/>
        </w:rPr>
        <w:t xml:space="preserve">de </w:t>
      </w:r>
      <w:r w:rsidR="00EC0702" w:rsidRPr="00285D58">
        <w:rPr>
          <w:rFonts w:asciiTheme="minorHAnsi" w:hAnsiTheme="minorHAnsi" w:cstheme="minorHAnsi"/>
          <w:lang w:val="es-PE"/>
        </w:rPr>
        <w:t>setiembre</w:t>
      </w:r>
      <w:r w:rsidRPr="00285D58">
        <w:rPr>
          <w:rFonts w:asciiTheme="minorHAnsi" w:hAnsiTheme="minorHAnsi" w:cstheme="minorHAnsi"/>
          <w:lang w:val="es-PE"/>
        </w:rPr>
        <w:t xml:space="preserve"> del año anterior a su entra</w:t>
      </w:r>
      <w:r w:rsidR="00AE7E1F" w:rsidRPr="00285D58">
        <w:rPr>
          <w:rFonts w:asciiTheme="minorHAnsi" w:hAnsiTheme="minorHAnsi" w:cstheme="minorHAnsi"/>
          <w:lang w:val="es-PE"/>
        </w:rPr>
        <w:t>da</w:t>
      </w:r>
      <w:r w:rsidRPr="00285D58">
        <w:rPr>
          <w:rFonts w:asciiTheme="minorHAnsi" w:hAnsiTheme="minorHAnsi" w:cstheme="minorHAnsi"/>
          <w:lang w:val="es-PE"/>
        </w:rPr>
        <w:t xml:space="preserve"> en vigencia desde enero hasta diciembre del año</w:t>
      </w:r>
      <w:r w:rsidR="00AE7E1F" w:rsidRPr="00285D58">
        <w:rPr>
          <w:rFonts w:asciiTheme="minorHAnsi" w:hAnsiTheme="minorHAnsi" w:cstheme="minorHAnsi"/>
          <w:lang w:val="es-PE"/>
        </w:rPr>
        <w:t xml:space="preserve"> respectivo. </w:t>
      </w:r>
      <w:r w:rsidRPr="00285D58">
        <w:rPr>
          <w:rFonts w:asciiTheme="minorHAnsi" w:hAnsiTheme="minorHAnsi" w:cstheme="minorHAnsi"/>
          <w:lang w:val="es-PE"/>
        </w:rPr>
        <w:t xml:space="preserve"> </w:t>
      </w:r>
    </w:p>
    <w:p w14:paraId="158F17B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8D511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Plan Anual de Seguridad y Vigilancia deberá especificar el personal y los equipos necesarios para cumplir con este servicio.</w:t>
      </w:r>
    </w:p>
    <w:p w14:paraId="216C02F9" w14:textId="77777777" w:rsidR="009F2B65" w:rsidRPr="00285D58" w:rsidRDefault="009F2B65" w:rsidP="008D1FFF">
      <w:pPr>
        <w:spacing w:line="276" w:lineRule="auto"/>
        <w:jc w:val="both"/>
        <w:rPr>
          <w:rFonts w:asciiTheme="minorHAnsi" w:hAnsiTheme="minorHAnsi" w:cstheme="minorHAnsi"/>
          <w:lang w:val="es-PE"/>
        </w:rPr>
      </w:pPr>
    </w:p>
    <w:p w14:paraId="47BABF5B"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Anual de Seguridad y Vigilancia estará debidamente justificado, indicando el análisis del estado actual, los estándares internacionales y las políticas aplicadas para la toma de decisiones. </w:t>
      </w:r>
    </w:p>
    <w:p w14:paraId="624BE909" w14:textId="77777777" w:rsidR="009F2B65" w:rsidRPr="00285D58" w:rsidRDefault="009F2B65" w:rsidP="008D1FFF">
      <w:pPr>
        <w:spacing w:line="276" w:lineRule="auto"/>
        <w:jc w:val="both"/>
        <w:rPr>
          <w:rFonts w:asciiTheme="minorHAnsi" w:hAnsiTheme="minorHAnsi" w:cstheme="minorHAnsi"/>
          <w:lang w:val="es-PE"/>
        </w:rPr>
      </w:pPr>
    </w:p>
    <w:p w14:paraId="1537FC7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Informe Mensual de Actividades</w:t>
      </w:r>
    </w:p>
    <w:p w14:paraId="1FDC9D1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Dentro de los primeros diez (10) Días Calendario de cada mes, el CONCESIONARIO presentará al CONCEDENTE con copia al Supervisor, la relación de los trabajos de Seguridad y Vigilancia realizados durante el mes anterior, y de corresponder, deberá indicar las variaciones que hubiera efectuado respecto de lo establecido en el Plan Anual de Seguridad y Vigilancia con la debida justificación. </w:t>
      </w:r>
    </w:p>
    <w:p w14:paraId="6D8483D4" w14:textId="77777777" w:rsidR="009F2B65" w:rsidRPr="00285D58" w:rsidRDefault="009F2B65" w:rsidP="008D1FFF">
      <w:pPr>
        <w:spacing w:line="276" w:lineRule="auto"/>
        <w:jc w:val="both"/>
        <w:rPr>
          <w:rFonts w:asciiTheme="minorHAnsi" w:hAnsiTheme="minorHAnsi" w:cstheme="minorHAnsi"/>
          <w:lang w:val="es-PE"/>
        </w:rPr>
      </w:pPr>
    </w:p>
    <w:p w14:paraId="0FC2467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La relación de los trabajos realizados formará parte del Informe Mensual de Actividades, descrito en la Sección 5 del presente Anexo.</w:t>
      </w:r>
    </w:p>
    <w:p w14:paraId="2B17079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8B386C"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Plan de Contingencias </w:t>
      </w:r>
    </w:p>
    <w:p w14:paraId="510057C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1534779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elaborar y presentar al Supervisor y CONCEDENTE para su aprobación el Plan de Contingencias que contendrá como mínimo lo siguiente: </w:t>
      </w:r>
    </w:p>
    <w:p w14:paraId="18DD815A" w14:textId="08AE4F25"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en caso de incendios, lluvias intensas, inundaciones y </w:t>
      </w:r>
      <w:r w:rsidR="00D55B7A" w:rsidRPr="00285D58">
        <w:rPr>
          <w:rFonts w:asciiTheme="minorHAnsi" w:hAnsiTheme="minorHAnsi" w:cstheme="minorHAnsi"/>
          <w:lang w:val="es-PE"/>
        </w:rPr>
        <w:t>huaicos</w:t>
      </w:r>
      <w:r w:rsidRPr="00285D58">
        <w:rPr>
          <w:rFonts w:asciiTheme="minorHAnsi" w:hAnsiTheme="minorHAnsi" w:cstheme="minorHAnsi"/>
          <w:lang w:val="es-PE"/>
        </w:rPr>
        <w:t xml:space="preserve"> </w:t>
      </w:r>
    </w:p>
    <w:p w14:paraId="04B81FD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en caso de sismos </w:t>
      </w:r>
    </w:p>
    <w:p w14:paraId="26A9E275" w14:textId="77777777" w:rsidR="009F2B65" w:rsidRPr="00285D58" w:rsidRDefault="009F2B65" w:rsidP="00A3732C">
      <w:pPr>
        <w:widowControl/>
        <w:numPr>
          <w:ilvl w:val="0"/>
          <w:numId w:val="237"/>
        </w:numPr>
        <w:spacing w:line="276" w:lineRule="auto"/>
        <w:ind w:left="709" w:hanging="425"/>
        <w:jc w:val="both"/>
        <w:rPr>
          <w:rFonts w:asciiTheme="minorHAnsi" w:hAnsiTheme="minorHAnsi" w:cstheme="minorHAnsi"/>
          <w:lang w:val="es-PE"/>
        </w:rPr>
      </w:pPr>
      <w:r w:rsidRPr="00285D58">
        <w:rPr>
          <w:rFonts w:asciiTheme="minorHAnsi" w:hAnsiTheme="minorHAnsi" w:cstheme="minorHAnsi"/>
          <w:lang w:val="es-PE"/>
        </w:rPr>
        <w:t xml:space="preserve">Plan de contingencias operativo </w:t>
      </w:r>
    </w:p>
    <w:p w14:paraId="5E615F32" w14:textId="77777777" w:rsidR="009F2B65" w:rsidRPr="00285D58" w:rsidRDefault="009F2B65" w:rsidP="008D1FFF">
      <w:pPr>
        <w:pStyle w:val="Default"/>
        <w:spacing w:line="276" w:lineRule="auto"/>
        <w:jc w:val="both"/>
        <w:rPr>
          <w:rFonts w:asciiTheme="minorHAnsi" w:hAnsiTheme="minorHAnsi" w:cstheme="minorHAnsi"/>
          <w:color w:val="auto"/>
          <w:sz w:val="22"/>
          <w:szCs w:val="22"/>
        </w:rPr>
      </w:pPr>
    </w:p>
    <w:p w14:paraId="588DDFF2" w14:textId="1B1934AE"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Plan de Contingencias deberá presentarse al CONCEDENTE con copia al Supervisor, </w:t>
      </w:r>
      <w:r w:rsidR="00254281" w:rsidRPr="00285D58">
        <w:rPr>
          <w:rFonts w:asciiTheme="minorHAnsi" w:hAnsiTheme="minorHAnsi" w:cstheme="minorHAnsi"/>
          <w:color w:val="auto"/>
          <w:sz w:val="22"/>
          <w:szCs w:val="22"/>
          <w:lang w:val="es-PE"/>
        </w:rPr>
        <w:t xml:space="preserve">en el plazo máximo </w:t>
      </w:r>
      <w:r w:rsidR="00D55B7A" w:rsidRPr="00285D58">
        <w:rPr>
          <w:rFonts w:asciiTheme="minorHAnsi" w:hAnsiTheme="minorHAnsi" w:cstheme="minorHAnsi"/>
          <w:color w:val="auto"/>
          <w:sz w:val="22"/>
          <w:szCs w:val="22"/>
          <w:lang w:val="es-PE"/>
        </w:rPr>
        <w:t>de noventa</w:t>
      </w:r>
      <w:r w:rsidRPr="00285D58">
        <w:rPr>
          <w:rFonts w:asciiTheme="minorHAnsi" w:hAnsiTheme="minorHAnsi" w:cstheme="minorHAnsi"/>
          <w:color w:val="auto"/>
          <w:sz w:val="22"/>
          <w:szCs w:val="22"/>
          <w:lang w:val="es-PE"/>
        </w:rPr>
        <w:t xml:space="preserve"> (90) Días Calendario </w:t>
      </w:r>
      <w:r w:rsidR="00254281" w:rsidRPr="00285D58">
        <w:rPr>
          <w:rFonts w:asciiTheme="minorHAnsi" w:hAnsiTheme="minorHAnsi" w:cstheme="minorHAnsi"/>
          <w:color w:val="auto"/>
          <w:sz w:val="22"/>
          <w:szCs w:val="22"/>
          <w:lang w:val="es-PE"/>
        </w:rPr>
        <w:t xml:space="preserve">previos a la suscripción del Acta </w:t>
      </w:r>
      <w:r w:rsidR="00D55B7A" w:rsidRPr="00285D58">
        <w:rPr>
          <w:rFonts w:asciiTheme="minorHAnsi" w:hAnsiTheme="minorHAnsi" w:cstheme="minorHAnsi"/>
          <w:color w:val="auto"/>
          <w:sz w:val="22"/>
          <w:szCs w:val="22"/>
          <w:lang w:val="es-PE"/>
        </w:rPr>
        <w:t>del</w:t>
      </w:r>
      <w:r w:rsidRPr="00285D58">
        <w:rPr>
          <w:rFonts w:asciiTheme="minorHAnsi" w:hAnsiTheme="minorHAnsi" w:cstheme="minorHAnsi"/>
          <w:color w:val="auto"/>
          <w:sz w:val="22"/>
          <w:szCs w:val="22"/>
          <w:lang w:val="es-PE"/>
        </w:rPr>
        <w:t xml:space="preserve"> Inicio de </w:t>
      </w:r>
      <w:r w:rsidR="00254281" w:rsidRPr="00285D58">
        <w:rPr>
          <w:rFonts w:asciiTheme="minorHAnsi" w:hAnsiTheme="minorHAnsi" w:cstheme="minorHAnsi"/>
          <w:color w:val="auto"/>
          <w:sz w:val="22"/>
          <w:szCs w:val="22"/>
          <w:lang w:val="es-PE"/>
        </w:rPr>
        <w:t xml:space="preserve">la </w:t>
      </w:r>
      <w:r w:rsidRPr="00285D58">
        <w:rPr>
          <w:rFonts w:asciiTheme="minorHAnsi" w:hAnsiTheme="minorHAnsi" w:cstheme="minorHAnsi"/>
          <w:color w:val="auto"/>
          <w:sz w:val="22"/>
          <w:szCs w:val="22"/>
          <w:lang w:val="es-PE"/>
        </w:rPr>
        <w:t>Operación. En ningún caso se podrá iniciar el Servicio sin contar con la aprobación de los planes de contingencias previstos</w:t>
      </w:r>
      <w:r w:rsidRPr="00285D58">
        <w:rPr>
          <w:rFonts w:asciiTheme="minorHAnsi" w:hAnsiTheme="minorHAnsi" w:cstheme="minorHAnsi"/>
          <w:color w:val="C45911" w:themeColor="accent2" w:themeShade="BF"/>
          <w:kern w:val="2"/>
          <w:sz w:val="22"/>
          <w:szCs w:val="22"/>
          <w:lang w:val="es-PE"/>
        </w:rPr>
        <w:t>.</w:t>
      </w:r>
    </w:p>
    <w:p w14:paraId="55D53E8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0CB8A71" w14:textId="5746C567" w:rsidR="009F2B65" w:rsidRPr="00285D58" w:rsidRDefault="005152D1" w:rsidP="008D1FFF">
      <w:pPr>
        <w:pStyle w:val="Default"/>
        <w:spacing w:line="276" w:lineRule="auto"/>
        <w:jc w:val="both"/>
        <w:rPr>
          <w:rFonts w:asciiTheme="minorHAnsi" w:hAnsiTheme="minorHAnsi" w:cstheme="minorHAnsi"/>
          <w:color w:val="auto"/>
          <w:sz w:val="22"/>
          <w:szCs w:val="22"/>
          <w:lang w:val="es-PE"/>
        </w:rPr>
      </w:pPr>
      <w:r>
        <w:rPr>
          <w:rFonts w:asciiTheme="minorHAnsi" w:hAnsiTheme="minorHAnsi" w:cstheme="minorHAnsi"/>
          <w:color w:val="auto"/>
          <w:sz w:val="22"/>
          <w:szCs w:val="22"/>
          <w:lang w:val="es-PE"/>
        </w:rPr>
        <w:t>E</w:t>
      </w:r>
      <w:r w:rsidR="00254281" w:rsidRPr="00285D58">
        <w:rPr>
          <w:rFonts w:asciiTheme="minorHAnsi" w:hAnsiTheme="minorHAnsi" w:cstheme="minorHAnsi"/>
          <w:color w:val="auto"/>
          <w:sz w:val="22"/>
          <w:szCs w:val="22"/>
          <w:lang w:val="es-PE"/>
        </w:rPr>
        <w:t xml:space="preserve">ste Plan deberá </w:t>
      </w:r>
      <w:r>
        <w:rPr>
          <w:rFonts w:asciiTheme="minorHAnsi" w:hAnsiTheme="minorHAnsi" w:cstheme="minorHAnsi"/>
          <w:color w:val="auto"/>
          <w:sz w:val="22"/>
          <w:szCs w:val="22"/>
          <w:lang w:val="es-PE"/>
        </w:rPr>
        <w:t xml:space="preserve">considerar </w:t>
      </w:r>
      <w:r w:rsidRPr="005152D1">
        <w:rPr>
          <w:rFonts w:asciiTheme="minorHAnsi" w:hAnsiTheme="minorHAnsi" w:cstheme="minorHAnsi"/>
          <w:color w:val="auto"/>
          <w:sz w:val="22"/>
          <w:szCs w:val="22"/>
          <w:lang w:val="es-PE"/>
        </w:rPr>
        <w:t>e</w:t>
      </w:r>
      <w:r>
        <w:rPr>
          <w:rFonts w:asciiTheme="minorHAnsi" w:hAnsiTheme="minorHAnsi" w:cstheme="minorHAnsi"/>
          <w:color w:val="auto"/>
          <w:sz w:val="22"/>
          <w:szCs w:val="22"/>
          <w:lang w:val="es-PE"/>
        </w:rPr>
        <w:t xml:space="preserve">l </w:t>
      </w:r>
      <w:r w:rsidRPr="005152D1">
        <w:rPr>
          <w:rFonts w:asciiTheme="minorHAnsi" w:hAnsiTheme="minorHAnsi" w:cstheme="minorHAnsi"/>
          <w:color w:val="auto"/>
          <w:sz w:val="22"/>
          <w:szCs w:val="22"/>
          <w:lang w:val="es-PE"/>
        </w:rPr>
        <w:t xml:space="preserve">marco </w:t>
      </w:r>
      <w:r w:rsidR="00D76708">
        <w:rPr>
          <w:rFonts w:asciiTheme="minorHAnsi" w:hAnsiTheme="minorHAnsi" w:cstheme="minorHAnsi"/>
          <w:color w:val="auto"/>
          <w:sz w:val="22"/>
          <w:szCs w:val="22"/>
          <w:lang w:val="es-PE"/>
        </w:rPr>
        <w:t xml:space="preserve">normativo y lineamientos emitidos </w:t>
      </w:r>
      <w:r w:rsidRPr="005152D1">
        <w:rPr>
          <w:rFonts w:asciiTheme="minorHAnsi" w:hAnsiTheme="minorHAnsi" w:cstheme="minorHAnsi"/>
          <w:color w:val="auto"/>
          <w:sz w:val="22"/>
          <w:szCs w:val="22"/>
          <w:lang w:val="es-PE"/>
        </w:rPr>
        <w:t xml:space="preserve">por el ente rector </w:t>
      </w:r>
      <w:r>
        <w:rPr>
          <w:rFonts w:asciiTheme="minorHAnsi" w:hAnsiTheme="minorHAnsi" w:cstheme="minorHAnsi"/>
          <w:color w:val="auto"/>
          <w:sz w:val="22"/>
          <w:szCs w:val="22"/>
          <w:lang w:val="es-PE"/>
        </w:rPr>
        <w:t>correspondiente</w:t>
      </w:r>
      <w:r w:rsidR="00D76708">
        <w:rPr>
          <w:rFonts w:asciiTheme="minorHAnsi" w:hAnsiTheme="minorHAnsi" w:cstheme="minorHAnsi"/>
          <w:color w:val="auto"/>
          <w:sz w:val="22"/>
          <w:szCs w:val="22"/>
          <w:lang w:val="es-PE"/>
        </w:rPr>
        <w:t xml:space="preserve"> en relación a la </w:t>
      </w:r>
      <w:r w:rsidR="00D76708" w:rsidRPr="005152D1">
        <w:rPr>
          <w:rFonts w:asciiTheme="minorHAnsi" w:hAnsiTheme="minorHAnsi" w:cstheme="minorHAnsi"/>
          <w:color w:val="auto"/>
          <w:sz w:val="22"/>
          <w:szCs w:val="22"/>
          <w:lang w:val="es-PE"/>
        </w:rPr>
        <w:t>Gestión del Riesgo de Desastres</w:t>
      </w:r>
      <w:r>
        <w:rPr>
          <w:rFonts w:asciiTheme="minorHAnsi" w:hAnsiTheme="minorHAnsi" w:cstheme="minorHAnsi"/>
          <w:color w:val="auto"/>
          <w:sz w:val="22"/>
          <w:szCs w:val="22"/>
          <w:lang w:val="es-PE"/>
        </w:rPr>
        <w:t xml:space="preserve">. </w:t>
      </w:r>
      <w:r w:rsidR="00254281" w:rsidRPr="00285D58">
        <w:rPr>
          <w:rFonts w:asciiTheme="minorHAnsi" w:hAnsiTheme="minorHAnsi" w:cstheme="minorHAnsi"/>
          <w:color w:val="auto"/>
          <w:sz w:val="22"/>
          <w:szCs w:val="22"/>
          <w:lang w:val="es-PE"/>
        </w:rPr>
        <w:t>E</w:t>
      </w:r>
      <w:r w:rsidR="009F2B65" w:rsidRPr="00285D58">
        <w:rPr>
          <w:rFonts w:asciiTheme="minorHAnsi" w:hAnsiTheme="minorHAnsi" w:cstheme="minorHAnsi"/>
          <w:color w:val="auto"/>
          <w:sz w:val="22"/>
          <w:szCs w:val="22"/>
          <w:lang w:val="es-PE"/>
        </w:rPr>
        <w:t xml:space="preserve">l CONCEDENTE contará con un plazo de treinta (30) </w:t>
      </w:r>
      <w:r w:rsidR="00242093" w:rsidRPr="00285D58">
        <w:rPr>
          <w:rFonts w:asciiTheme="minorHAnsi" w:hAnsiTheme="minorHAnsi" w:cstheme="minorHAnsi"/>
          <w:color w:val="auto"/>
          <w:sz w:val="22"/>
          <w:szCs w:val="22"/>
          <w:lang w:val="es-PE"/>
        </w:rPr>
        <w:t>D</w:t>
      </w:r>
      <w:r w:rsidR="009F2B65" w:rsidRPr="00285D58">
        <w:rPr>
          <w:rFonts w:asciiTheme="minorHAnsi" w:hAnsiTheme="minorHAnsi" w:cstheme="minorHAnsi"/>
          <w:color w:val="auto"/>
          <w:sz w:val="22"/>
          <w:szCs w:val="22"/>
          <w:lang w:val="es-PE"/>
        </w:rPr>
        <w:t xml:space="preserve">ías </w:t>
      </w:r>
      <w:r w:rsidR="00242093" w:rsidRPr="00285D58">
        <w:rPr>
          <w:rFonts w:asciiTheme="minorHAnsi" w:hAnsiTheme="minorHAnsi" w:cstheme="minorHAnsi"/>
          <w:color w:val="auto"/>
          <w:sz w:val="22"/>
          <w:szCs w:val="22"/>
          <w:lang w:val="es-PE"/>
        </w:rPr>
        <w:t>C</w:t>
      </w:r>
      <w:r w:rsidR="009F2B65" w:rsidRPr="00285D58">
        <w:rPr>
          <w:rFonts w:asciiTheme="minorHAnsi" w:hAnsiTheme="minorHAnsi" w:cstheme="minorHAnsi"/>
          <w:color w:val="auto"/>
          <w:sz w:val="22"/>
          <w:szCs w:val="22"/>
          <w:lang w:val="es-PE"/>
        </w:rPr>
        <w:t xml:space="preserve">alendario para pronunciarse, </w:t>
      </w:r>
      <w:r w:rsidR="00C100B2" w:rsidRPr="00285D58">
        <w:rPr>
          <w:rFonts w:asciiTheme="minorHAnsi" w:hAnsiTheme="minorHAnsi" w:cstheme="minorHAnsi"/>
          <w:color w:val="auto"/>
          <w:sz w:val="22"/>
          <w:szCs w:val="22"/>
          <w:lang w:val="es-PE"/>
        </w:rPr>
        <w:t>con anterioridad a la suscripción del Acta de Inicio de Operaciones respectiva</w:t>
      </w:r>
      <w:r w:rsidR="00845390">
        <w:rPr>
          <w:rFonts w:asciiTheme="minorHAnsi" w:hAnsiTheme="minorHAnsi" w:cstheme="minorHAnsi"/>
          <w:color w:val="auto"/>
          <w:sz w:val="22"/>
          <w:szCs w:val="22"/>
          <w:lang w:val="es-PE"/>
        </w:rPr>
        <w:t>, previa opinión del Supervisor</w:t>
      </w:r>
      <w:r w:rsidR="00C100B2" w:rsidRPr="00285D58">
        <w:rPr>
          <w:rFonts w:asciiTheme="minorHAnsi" w:hAnsiTheme="minorHAnsi" w:cstheme="minorHAnsi"/>
          <w:color w:val="auto"/>
          <w:sz w:val="22"/>
          <w:szCs w:val="22"/>
          <w:lang w:val="es-PE"/>
        </w:rPr>
        <w:t xml:space="preserve">. </w:t>
      </w:r>
      <w:r w:rsidR="009F2B65" w:rsidRPr="00285D58">
        <w:rPr>
          <w:rFonts w:asciiTheme="minorHAnsi" w:hAnsiTheme="minorHAnsi" w:cstheme="minorHAnsi"/>
          <w:color w:val="auto"/>
          <w:sz w:val="22"/>
          <w:szCs w:val="22"/>
          <w:lang w:val="es-PE"/>
        </w:rPr>
        <w:t xml:space="preserve">De no existir pronunciamiento por parte del CONCEDENTE dentro del plazo establecido, el plan se entenderá aprobado. </w:t>
      </w:r>
    </w:p>
    <w:p w14:paraId="4B8AF80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D590805" w14:textId="4AFA9882"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Los planes de contingencias serán actualizados con una frecuencia anual. Cualquier modificación deberá ser aprobada por el CONCEDENTE</w:t>
      </w:r>
      <w:r w:rsidR="00845390">
        <w:rPr>
          <w:rFonts w:asciiTheme="minorHAnsi" w:hAnsiTheme="minorHAnsi" w:cstheme="minorHAnsi"/>
          <w:color w:val="auto"/>
          <w:sz w:val="22"/>
          <w:szCs w:val="22"/>
          <w:lang w:val="es-PE"/>
        </w:rPr>
        <w:t xml:space="preserve"> previa opinión del Supervisor</w:t>
      </w:r>
      <w:r w:rsidR="00C100B2" w:rsidRPr="00285D58">
        <w:rPr>
          <w:rFonts w:asciiTheme="minorHAnsi" w:hAnsiTheme="minorHAnsi" w:cstheme="minorHAnsi"/>
          <w:color w:val="auto"/>
          <w:sz w:val="22"/>
          <w:szCs w:val="22"/>
          <w:lang w:val="es-PE"/>
        </w:rPr>
        <w:t xml:space="preserve">.  </w:t>
      </w:r>
      <w:r w:rsidRPr="00285D58">
        <w:rPr>
          <w:rFonts w:asciiTheme="minorHAnsi" w:hAnsiTheme="minorHAnsi" w:cstheme="minorHAnsi"/>
          <w:color w:val="auto"/>
          <w:sz w:val="22"/>
          <w:szCs w:val="22"/>
          <w:lang w:val="es-PE"/>
        </w:rPr>
        <w:t xml:space="preserve">  </w:t>
      </w:r>
    </w:p>
    <w:p w14:paraId="4B9570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F09995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plan de contingencias operativo contendrá como mínimo los siguientes procedimientos: </w:t>
      </w:r>
    </w:p>
    <w:p w14:paraId="6E4BA8D1"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Operación en condiciones atmosféricas excepcionales. </w:t>
      </w:r>
    </w:p>
    <w:p w14:paraId="67984572"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Operación en condiciones degradadas de los sistemas de electricidad, señalización, automatización y telecomunicaciones. </w:t>
      </w:r>
    </w:p>
    <w:p w14:paraId="57AD196E"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corte del suministro eléctrico, accidentes, sismos, incendios, inundaciones, choques y otros. </w:t>
      </w:r>
    </w:p>
    <w:p w14:paraId="26B563D5"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para la evacuación de las cabinas de acuerdo al “Plan de Evacuación” en caso de averías o detención total de los Teleféricos. </w:t>
      </w:r>
    </w:p>
    <w:p w14:paraId="17C3B82D"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Paralización del Servicio por actos vandálicos en las estaciones </w:t>
      </w:r>
    </w:p>
    <w:p w14:paraId="4A7D4900"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actos de sabotaje y terrorismo. </w:t>
      </w:r>
    </w:p>
    <w:p w14:paraId="436656BF" w14:textId="77777777" w:rsidR="009F2B65" w:rsidRPr="00285D58" w:rsidRDefault="009F2B65" w:rsidP="00A3732C">
      <w:pPr>
        <w:pStyle w:val="Default"/>
        <w:widowControl/>
        <w:numPr>
          <w:ilvl w:val="0"/>
          <w:numId w:val="244"/>
        </w:numPr>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Acciones ante bloqueo en las vías turísticas. </w:t>
      </w:r>
    </w:p>
    <w:p w14:paraId="481ABDBF" w14:textId="77777777" w:rsidR="009F2B65" w:rsidRPr="00285D58" w:rsidRDefault="009F2B65" w:rsidP="008D1FFF">
      <w:pPr>
        <w:pStyle w:val="Default"/>
        <w:spacing w:line="276" w:lineRule="auto"/>
        <w:ind w:left="720"/>
        <w:jc w:val="both"/>
        <w:rPr>
          <w:rFonts w:asciiTheme="minorHAnsi" w:hAnsiTheme="minorHAnsi" w:cstheme="minorHAnsi"/>
          <w:color w:val="auto"/>
          <w:sz w:val="22"/>
          <w:szCs w:val="22"/>
          <w:lang w:val="es-PE"/>
        </w:rPr>
      </w:pPr>
    </w:p>
    <w:p w14:paraId="44EE127E" w14:textId="77777777" w:rsidR="009F2B65" w:rsidRPr="00285D58" w:rsidRDefault="009F2B65" w:rsidP="008D1FFF">
      <w:pPr>
        <w:pStyle w:val="Default"/>
        <w:spacing w:line="276" w:lineRule="auto"/>
        <w:ind w:left="720"/>
        <w:jc w:val="both"/>
        <w:rPr>
          <w:rFonts w:asciiTheme="minorHAnsi" w:hAnsiTheme="minorHAnsi" w:cstheme="minorHAnsi"/>
          <w:color w:val="auto"/>
          <w:sz w:val="22"/>
          <w:szCs w:val="22"/>
          <w:lang w:val="es-PE"/>
        </w:rPr>
      </w:pPr>
    </w:p>
    <w:p w14:paraId="7C4837E6"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5: ADMINISTRACIÓN DE LOS SERVICIOS OBLIGATORIOS </w:t>
      </w:r>
    </w:p>
    <w:p w14:paraId="7995615F"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72C56C39"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5.1. PRINCIPIOS GENERALES </w:t>
      </w:r>
    </w:p>
    <w:p w14:paraId="1AD5CA82"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deberá garantizar la administración, control, registro y comunicación al Supervisor y CONCEDENTE sobre las actividades y ocurrencias relacionadas a la prestación de los servicios obligatorios contenidos en este anexo y el Contrato de Concesión.</w:t>
      </w:r>
    </w:p>
    <w:p w14:paraId="16C6A43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5D957970"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5.2. NIVELES DE SERVICIO DE LA ADMINISTRACIÓN DE LOS SERVICIOS OBLIGATORIOS </w:t>
      </w:r>
    </w:p>
    <w:p w14:paraId="4A6099C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mantener registro de las actividades diarias realizadas para la Conservación y Mantenimiento, Aseo y Limpieza, Servicio de Transporte por Teleférico, y Seguridad y Vigilancia en el SIDIG. De igual manera, deberán registrarse las anomalías o incidentes, las rectificaciones o incumplimientos de los niveles de servicio detectados, las solicitudes registradas y atendidas, las quejas y reclamos realizados por los Usuarios, y otras actividades relacionadas a la </w:t>
      </w:r>
      <w:r w:rsidRPr="00285D58">
        <w:rPr>
          <w:rFonts w:asciiTheme="minorHAnsi" w:hAnsiTheme="minorHAnsi" w:cstheme="minorHAnsi"/>
          <w:color w:val="auto"/>
          <w:sz w:val="22"/>
          <w:szCs w:val="22"/>
          <w:lang w:val="es-PE"/>
        </w:rPr>
        <w:lastRenderedPageBreak/>
        <w:t xml:space="preserve">prestación del servicio tales como reuniones, participantes, visitas, etc. </w:t>
      </w:r>
    </w:p>
    <w:p w14:paraId="76F823D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8839997"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De igual manera, el CONCESIONARIO deberá registrar diariamente en el SIDIG la información del Registro de Explotación de acuerdo a lo descrito en la sección 3 de este anexo. </w:t>
      </w:r>
    </w:p>
    <w:p w14:paraId="5BA80F6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596371D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A partir de la información registrada, el CONCESIONARIO deberá implementar una herramienta informática, que le permita calcular los valores de los Indicadores de los Niveles de Servicio de y registrarlas en el SIDIG durante el periodo de la Concesión.</w:t>
      </w:r>
    </w:p>
    <w:p w14:paraId="5713A21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273D5944"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En cualquier momento, el CONCEDENTE y Supervisor, podrán solicitar la información registrada en el SIDIG respecto a las actividades relacionadas al cumplimiento de los Servicios Obligatorios del CONCESIONARIO. </w:t>
      </w:r>
    </w:p>
    <w:p w14:paraId="5EDC292B"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Mensualmente, el CONCESIONARIO deberá presentar un informe de actividades (El Informe Mensual de Actividades), donde reporte las labores ejecutadas relacionadas a los Servicios Obligatorios de acuerdo a lo estipulado en los planes anuales. Asimismo, deberá incluir el cálculo de los Indicadores de los Niveles de Servicio de acuerdo a lo establecido en el Apéndice I del presente anexo.</w:t>
      </w:r>
    </w:p>
    <w:p w14:paraId="3F243029"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6A58710E"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r w:rsidRPr="00285D58">
        <w:rPr>
          <w:rFonts w:asciiTheme="minorHAnsi" w:hAnsiTheme="minorHAnsi" w:cstheme="minorHAnsi"/>
          <w:b/>
          <w:bCs/>
          <w:color w:val="auto"/>
          <w:sz w:val="23"/>
          <w:szCs w:val="23"/>
          <w:lang w:val="es-PE"/>
        </w:rPr>
        <w:t xml:space="preserve">5.3. PROCEDIMIENTOS GENERALES </w:t>
      </w:r>
    </w:p>
    <w:p w14:paraId="5DF60FF5"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43CF1D1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Informe Mensual de Actividades </w:t>
      </w:r>
    </w:p>
    <w:p w14:paraId="7B9BFB8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CONCESIONARIO deberá presentar el Informe Mensual de Actividades al Supervisor, con copia al CONCEDENTE, dentro de los diez (10) Días Calendario siguientes a la finalización del mes objeto del informe. En caso el Supervisor requiera mayor información respecto al reporte de actividades, podrá solicitar dicha información, estableciendo un plazo razonable para la respuesta del CONCESIONARIO.</w:t>
      </w:r>
    </w:p>
    <w:p w14:paraId="2A0E6E9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06B6A34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Informe Mensual de Actividades deberá contener como mínimo lo siguiente: </w:t>
      </w:r>
    </w:p>
    <w:p w14:paraId="27A39D2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actividades de los Servicios Obligatorios del CONCESIONARIO ejecutadas durante el periodo de acuerdo a los planes anuales. </w:t>
      </w:r>
    </w:p>
    <w:p w14:paraId="4AD00B3A"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respecto a rectificaciones de incumplimientos. </w:t>
      </w:r>
    </w:p>
    <w:p w14:paraId="2A4B7CC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solicitudes registrados y atendidos durante el período. </w:t>
      </w:r>
    </w:p>
    <w:p w14:paraId="2CFF77F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Reporte de las quejas y reclamos registrados por los Usuarios y atendidos por el CONCESIONARIO durante el período. </w:t>
      </w:r>
    </w:p>
    <w:p w14:paraId="5FA976F3"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Resumen de actividades realizadas durante el mes (reuniones, participantes, visitas, etc.). </w:t>
      </w:r>
    </w:p>
    <w:p w14:paraId="034521AC" w14:textId="77777777" w:rsidR="009F2B65" w:rsidRPr="00285D58" w:rsidRDefault="009F2B65" w:rsidP="00A3732C">
      <w:pPr>
        <w:pStyle w:val="Default"/>
        <w:widowControl/>
        <w:numPr>
          <w:ilvl w:val="0"/>
          <w:numId w:val="245"/>
        </w:numPr>
        <w:spacing w:line="276" w:lineRule="auto"/>
        <w:ind w:left="567" w:hanging="283"/>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Sobre los resultados de los niveles de servicio del mes, los mismos que serán insumo para la evaluación trimestral del Servicio. </w:t>
      </w:r>
    </w:p>
    <w:p w14:paraId="0E296B59"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66080116"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Informes Especiales Solicitados por el Supervisor </w:t>
      </w:r>
    </w:p>
    <w:p w14:paraId="5C1E8BF9"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A solicitud del Supervisor o el CONCEDENTE, el CONCESIONARIO deberá elaborar informes especiales que puedan ayudar a detallar, clarificar o explicar cualquier situación relacionada con la </w:t>
      </w:r>
      <w:r w:rsidRPr="00285D58">
        <w:rPr>
          <w:rFonts w:asciiTheme="minorHAnsi" w:hAnsiTheme="minorHAnsi" w:cstheme="minorHAnsi"/>
          <w:color w:val="auto"/>
          <w:sz w:val="22"/>
          <w:szCs w:val="22"/>
          <w:lang w:val="es-PE"/>
        </w:rPr>
        <w:lastRenderedPageBreak/>
        <w:t xml:space="preserve">prestación de los Servicios Obligatorios del Contrato de Concesión. </w:t>
      </w:r>
    </w:p>
    <w:p w14:paraId="1AECA74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3D9FDC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El CONCESIONARIO deberá presentar estos informes especiales dentro de los quince (15) Días Calendario después de realizada la solicitud por parte del Supervisor. </w:t>
      </w:r>
    </w:p>
    <w:p w14:paraId="5CE96A7F"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01A7749D" w14:textId="77777777" w:rsidR="009F2B65" w:rsidRPr="00285D58" w:rsidRDefault="009F2B65" w:rsidP="008D1FFF">
      <w:pPr>
        <w:spacing w:line="276" w:lineRule="auto"/>
        <w:rPr>
          <w:rFonts w:asciiTheme="minorHAnsi" w:eastAsia="Times New Roman" w:hAnsiTheme="minorHAnsi" w:cstheme="minorHAnsi"/>
          <w:b/>
          <w:caps/>
          <w:color w:val="000000"/>
          <w:sz w:val="24"/>
          <w:szCs w:val="24"/>
          <w:lang w:val="es-PE"/>
        </w:rPr>
      </w:pPr>
      <w:r w:rsidRPr="00285D58">
        <w:rPr>
          <w:rFonts w:asciiTheme="minorHAnsi" w:eastAsia="Times New Roman" w:hAnsiTheme="minorHAnsi" w:cstheme="minorHAnsi"/>
          <w:b/>
          <w:caps/>
          <w:color w:val="000000"/>
          <w:sz w:val="24"/>
          <w:szCs w:val="24"/>
          <w:lang w:val="es-PE"/>
        </w:rPr>
        <w:t xml:space="preserve">SECCIÓN 6: EVALUACIÓN DE LOS NIVELES DE SERVICIO E INDICADORES </w:t>
      </w:r>
    </w:p>
    <w:p w14:paraId="103162C9"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p>
    <w:p w14:paraId="51A771E4" w14:textId="77777777" w:rsidR="009F2B65" w:rsidRPr="00285D58" w:rsidRDefault="009F2B65" w:rsidP="008D1FFF">
      <w:pPr>
        <w:pStyle w:val="Default"/>
        <w:spacing w:line="276" w:lineRule="auto"/>
        <w:jc w:val="both"/>
        <w:rPr>
          <w:rFonts w:asciiTheme="minorHAnsi" w:hAnsiTheme="minorHAnsi" w:cstheme="minorHAnsi"/>
          <w:b/>
          <w:bCs/>
          <w:color w:val="auto"/>
          <w:sz w:val="23"/>
          <w:szCs w:val="23"/>
          <w:lang w:val="es-PE"/>
        </w:rPr>
      </w:pPr>
      <w:r w:rsidRPr="00285D58">
        <w:rPr>
          <w:rFonts w:asciiTheme="minorHAnsi" w:hAnsiTheme="minorHAnsi" w:cstheme="minorHAnsi"/>
          <w:b/>
          <w:bCs/>
          <w:color w:val="auto"/>
          <w:sz w:val="23"/>
          <w:szCs w:val="23"/>
          <w:lang w:val="es-PE"/>
        </w:rPr>
        <w:t xml:space="preserve">6.1. PROCEDIMIENTOS GENERALES </w:t>
      </w:r>
    </w:p>
    <w:p w14:paraId="1FC91800" w14:textId="77777777" w:rsidR="009F2B65" w:rsidRPr="00285D58" w:rsidRDefault="009F2B65" w:rsidP="008D1FFF">
      <w:pPr>
        <w:pStyle w:val="Default"/>
        <w:spacing w:line="276" w:lineRule="auto"/>
        <w:jc w:val="both"/>
        <w:rPr>
          <w:rFonts w:asciiTheme="minorHAnsi" w:hAnsiTheme="minorHAnsi" w:cstheme="minorHAnsi"/>
          <w:color w:val="auto"/>
          <w:sz w:val="23"/>
          <w:szCs w:val="23"/>
          <w:lang w:val="es-PE"/>
        </w:rPr>
      </w:pPr>
    </w:p>
    <w:p w14:paraId="00AA83D5"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Programa de Evaluación de la Prestación del Servicio </w:t>
      </w:r>
    </w:p>
    <w:p w14:paraId="28902EF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Para asegurarse que los Niveles de Prestación del Servicio que brinda el CONCESIONARIO se encuentre siempre dentro de los valores admisibles</w:t>
      </w:r>
      <w:r w:rsidRPr="00285D58">
        <w:rPr>
          <w:rFonts w:asciiTheme="minorHAnsi" w:hAnsiTheme="minorHAnsi" w:cstheme="minorHAnsi"/>
          <w:color w:val="C45911" w:themeColor="accent2" w:themeShade="BF"/>
          <w:kern w:val="2"/>
          <w:sz w:val="22"/>
          <w:szCs w:val="22"/>
          <w:lang w:val="es-PE"/>
        </w:rPr>
        <w:t xml:space="preserve">, </w:t>
      </w:r>
      <w:r w:rsidRPr="00285D58">
        <w:rPr>
          <w:rFonts w:asciiTheme="minorHAnsi" w:hAnsiTheme="minorHAnsi" w:cstheme="minorHAnsi"/>
          <w:color w:val="auto"/>
          <w:sz w:val="22"/>
          <w:szCs w:val="22"/>
          <w:lang w:val="es-PE"/>
        </w:rPr>
        <w:t>el Supervisor elaborará un Programa de Evaluación de la Prestación de los Servicios Obligatorios brindados por el CONCESIONARIO.</w:t>
      </w:r>
    </w:p>
    <w:p w14:paraId="3E66702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7AE88261"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Los objetivos específicos del programa son: </w:t>
      </w:r>
    </w:p>
    <w:p w14:paraId="44DECA69" w14:textId="77777777" w:rsidR="009F2B65" w:rsidRPr="00285D58" w:rsidRDefault="009F2B65" w:rsidP="00A3732C">
      <w:pPr>
        <w:pStyle w:val="Default"/>
        <w:widowControl/>
        <w:numPr>
          <w:ilvl w:val="0"/>
          <w:numId w:val="243"/>
        </w:numPr>
        <w:spacing w:line="276" w:lineRule="auto"/>
        <w:jc w:val="both"/>
        <w:rPr>
          <w:rFonts w:asciiTheme="minorHAnsi" w:hAnsiTheme="minorHAnsi" w:cstheme="minorHAnsi"/>
          <w:color w:val="auto"/>
          <w:sz w:val="22"/>
          <w:szCs w:val="22"/>
          <w:lang w:val="es-PE"/>
        </w:rPr>
      </w:pPr>
    </w:p>
    <w:p w14:paraId="3207EBB2"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Conservación y Mantenimiento elaborado por el CONCESIONARIO. </w:t>
      </w:r>
    </w:p>
    <w:p w14:paraId="74E9E56D"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Aseo y Limpieza elaborado por el CONCESIONARIO. </w:t>
      </w:r>
    </w:p>
    <w:p w14:paraId="4C1377AA"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Seguridad y Vigilancia elaborado por el CONCESIONARIO. </w:t>
      </w:r>
    </w:p>
    <w:p w14:paraId="21E29258"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el cumplimiento del Plan Anual de Operación elaborado por el CONCESIONARIO. </w:t>
      </w:r>
    </w:p>
    <w:p w14:paraId="0C150ECB"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Identificar el cumplimiento de los Niveles de Servicio y de los Indicadores.</w:t>
      </w:r>
    </w:p>
    <w:p w14:paraId="1EE5268A" w14:textId="77777777" w:rsidR="009F2B65" w:rsidRPr="00285D58" w:rsidRDefault="009F2B65" w:rsidP="00A3732C">
      <w:pPr>
        <w:pStyle w:val="Default"/>
        <w:widowControl/>
        <w:numPr>
          <w:ilvl w:val="0"/>
          <w:numId w:val="246"/>
        </w:numPr>
        <w:spacing w:line="276" w:lineRule="auto"/>
        <w:ind w:left="993" w:hanging="426"/>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Verificar la correcta y oportuna subsanación de los incumplimientos de los Niveles de Servicio encontrados. </w:t>
      </w:r>
    </w:p>
    <w:p w14:paraId="580436B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4B4590F"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lang w:val="es-PE"/>
        </w:rPr>
        <w:t xml:space="preserve">El Supervisor comunicará al CONCEDENTE y CONCESIONARIO con la debida anticipación la implementación del Programa de Evaluación de la Prestación del Servicio, para determinar los Indicadores de los Niveles de Servicio correspondientes al trimestre de evaluación. </w:t>
      </w:r>
    </w:p>
    <w:p w14:paraId="05C965FA"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p>
    <w:p w14:paraId="1A59CCE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b/>
          <w:bCs/>
          <w:color w:val="auto"/>
          <w:sz w:val="22"/>
          <w:szCs w:val="22"/>
          <w:lang w:val="es-PE"/>
        </w:rPr>
        <w:t xml:space="preserve">Evaluaciones </w:t>
      </w:r>
    </w:p>
    <w:p w14:paraId="0216DD1E"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El Supervisor realizará evaluaciones mensuales con el objetivo de verificar el cumplimiento de los Niveles de Servicio y de los Indicadores</w:t>
      </w:r>
      <w:r w:rsidRPr="00285D58">
        <w:rPr>
          <w:rFonts w:asciiTheme="minorHAnsi" w:hAnsiTheme="minorHAnsi" w:cstheme="minorHAnsi"/>
          <w:sz w:val="22"/>
          <w:szCs w:val="22"/>
          <w:lang w:val="es-PE"/>
        </w:rPr>
        <w:t xml:space="preserve"> para el control de la prestación de los Servicios Obligatorios</w:t>
      </w:r>
      <w:r w:rsidRPr="00285D58">
        <w:rPr>
          <w:rFonts w:asciiTheme="minorHAnsi" w:hAnsiTheme="minorHAnsi" w:cstheme="minorHAnsi"/>
          <w:color w:val="auto"/>
          <w:sz w:val="22"/>
          <w:szCs w:val="22"/>
          <w:lang w:val="es-PE"/>
        </w:rPr>
        <w:t>. El Supervisor también podrá fiscalizar las condiciones o prácticas de trabajo del CONCESIONARIO para que no resulten inseguras para los Usuarios y su propio personal, y podrá fiscalizar los procedimientos empleados y las demás obligaciones contractuales.</w:t>
      </w:r>
    </w:p>
    <w:p w14:paraId="422D6C8A"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63A9BD27"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r w:rsidRPr="00285D58">
        <w:rPr>
          <w:rFonts w:asciiTheme="minorHAnsi" w:hAnsiTheme="minorHAnsi" w:cstheme="minorHAnsi"/>
          <w:color w:val="auto"/>
          <w:sz w:val="22"/>
          <w:szCs w:val="22"/>
          <w:lang w:val="es-PE"/>
        </w:rPr>
        <w:t xml:space="preserve">El Supervisor efectuará las evaluaciones sin necesidad de previo aviso al CONCESIONARIO. También podrá emplear la información proporcionada por el CONCEDENTE y/o la información registrada en el SIDIG para detectar el eventual incumplimiento de los Niveles de Servicio. </w:t>
      </w:r>
    </w:p>
    <w:p w14:paraId="01CA7BE8" w14:textId="77777777" w:rsidR="009F2B65" w:rsidRPr="00285D58" w:rsidRDefault="009F2B65" w:rsidP="008D1FFF">
      <w:pPr>
        <w:pStyle w:val="Default"/>
        <w:spacing w:line="276" w:lineRule="auto"/>
        <w:jc w:val="both"/>
        <w:rPr>
          <w:rFonts w:asciiTheme="minorHAnsi" w:hAnsiTheme="minorHAnsi" w:cstheme="minorHAnsi"/>
          <w:color w:val="C45911" w:themeColor="accent2" w:themeShade="BF"/>
          <w:kern w:val="2"/>
          <w:sz w:val="22"/>
          <w:szCs w:val="22"/>
          <w:lang w:val="es-PE"/>
        </w:rPr>
      </w:pPr>
    </w:p>
    <w:p w14:paraId="500014A0"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De la evaluación realizada se elaborará un acta con un (1) original y dos (2) copias, en donde se detallarán los incumplimientos de los Niveles de Servicio, localización de los mismos, y las observaciones que pueda realizar el Supervisor. El Supervisor y el CONCESIONARIO conservarán una copia del Acta, quedando el original para el CONCEDENTE. La ausencia del personal designado por el CONCESIONARIO y/o la falta de descargos en el Acta, se tomará como conformidad del mismo con el resultado de la evaluación realizada.</w:t>
      </w:r>
    </w:p>
    <w:p w14:paraId="2E241173"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p>
    <w:p w14:paraId="38BE32A8"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Si en una evaluación cualquiera, se detectan incumplimiento de los Niveles de Servicio, el Supervisor emitirá una “Notificación de Incumplimiento de Niveles de Servicio”.</w:t>
      </w:r>
    </w:p>
    <w:p w14:paraId="73AA349D"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Una vez recibida una “Notificación de Incumplimiento de Niveles de Servicio”, el CONCESIONARIO deberá ejecutar los trabajos que eleven nuevamente la calidad a los Niveles de Servicio exigidos, en el plazo que fije el Supervisor.</w:t>
      </w:r>
    </w:p>
    <w:p w14:paraId="63B16637" w14:textId="77777777" w:rsidR="009F2B65" w:rsidRPr="00285D58" w:rsidRDefault="009F2B65" w:rsidP="008D1FFF">
      <w:pPr>
        <w:pStyle w:val="Default"/>
        <w:spacing w:line="276" w:lineRule="auto"/>
        <w:jc w:val="both"/>
        <w:rPr>
          <w:rFonts w:asciiTheme="minorHAnsi" w:hAnsiTheme="minorHAnsi" w:cstheme="minorHAnsi"/>
          <w:color w:val="auto"/>
          <w:sz w:val="22"/>
          <w:szCs w:val="22"/>
          <w:lang w:val="es-PE"/>
        </w:rPr>
      </w:pPr>
      <w:r w:rsidRPr="00285D58">
        <w:rPr>
          <w:rFonts w:asciiTheme="minorHAnsi" w:hAnsiTheme="minorHAnsi" w:cstheme="minorHAnsi"/>
          <w:color w:val="auto"/>
          <w:sz w:val="22"/>
          <w:szCs w:val="22"/>
          <w:lang w:val="es-PE"/>
        </w:rPr>
        <w:t xml:space="preserve"> </w:t>
      </w:r>
    </w:p>
    <w:p w14:paraId="27AB3D80" w14:textId="77777777" w:rsidR="009F2B65" w:rsidRPr="00285D58" w:rsidRDefault="009F2B65" w:rsidP="008D1FFF">
      <w:pPr>
        <w:spacing w:line="276" w:lineRule="auto"/>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Cuando el CONCESIONARIO subsane completamente los incumplimientos detallados en la “Notificación de Incumplimiento de Niveles de Servicio”, comunicará al Supervisor informando la finalización de la subsanación.  </w:t>
      </w:r>
    </w:p>
    <w:p w14:paraId="380D76DA" w14:textId="77777777" w:rsidR="00D55B7A" w:rsidRPr="00285D58" w:rsidRDefault="00D55B7A" w:rsidP="008D1FFF">
      <w:pPr>
        <w:spacing w:line="276" w:lineRule="auto"/>
        <w:jc w:val="both"/>
        <w:rPr>
          <w:rFonts w:asciiTheme="minorHAnsi" w:eastAsia="Calibri" w:hAnsiTheme="minorHAnsi" w:cstheme="minorHAnsi"/>
          <w:lang w:val="es-PE"/>
        </w:rPr>
      </w:pPr>
    </w:p>
    <w:p w14:paraId="6F631217" w14:textId="77777777" w:rsidR="009F2B65" w:rsidRPr="00285D58" w:rsidRDefault="009F2B65" w:rsidP="008D1FFF">
      <w:pPr>
        <w:pStyle w:val="Default"/>
        <w:spacing w:line="276" w:lineRule="auto"/>
        <w:jc w:val="both"/>
        <w:rPr>
          <w:rFonts w:asciiTheme="minorHAnsi" w:hAnsiTheme="minorHAnsi" w:cstheme="minorHAnsi"/>
          <w:b/>
          <w:bCs/>
          <w:color w:val="auto"/>
          <w:sz w:val="22"/>
          <w:szCs w:val="22"/>
          <w:lang w:val="es-PE"/>
        </w:rPr>
      </w:pPr>
      <w:r w:rsidRPr="00285D58">
        <w:rPr>
          <w:rFonts w:asciiTheme="minorHAnsi" w:hAnsiTheme="minorHAnsi" w:cstheme="minorHAnsi"/>
          <w:b/>
          <w:bCs/>
          <w:color w:val="auto"/>
          <w:sz w:val="22"/>
          <w:szCs w:val="22"/>
          <w:lang w:val="es-PE"/>
        </w:rPr>
        <w:t>Deducciones</w:t>
      </w:r>
    </w:p>
    <w:p w14:paraId="5C7C9B8A" w14:textId="6D521F61" w:rsidR="009F2B65" w:rsidRDefault="009F2B65" w:rsidP="008D1FFF">
      <w:pPr>
        <w:pStyle w:val="Default"/>
        <w:spacing w:line="276" w:lineRule="auto"/>
        <w:jc w:val="both"/>
        <w:rPr>
          <w:rFonts w:asciiTheme="minorHAnsi" w:eastAsia="Calibri" w:hAnsiTheme="minorHAnsi" w:cstheme="minorHAnsi"/>
          <w:color w:val="auto"/>
          <w:kern w:val="2"/>
          <w:sz w:val="22"/>
          <w:szCs w:val="22"/>
          <w:lang w:val="es-PE"/>
        </w:rPr>
      </w:pPr>
      <w:bookmarkStart w:id="225" w:name="_Hlk178714565"/>
      <w:r w:rsidRPr="00285D58">
        <w:rPr>
          <w:rFonts w:asciiTheme="minorHAnsi" w:eastAsia="Calibri" w:hAnsiTheme="minorHAnsi" w:cstheme="minorHAnsi"/>
          <w:color w:val="auto"/>
          <w:kern w:val="2"/>
          <w:sz w:val="22"/>
          <w:szCs w:val="22"/>
          <w:lang w:val="es-PE"/>
        </w:rPr>
        <w:t>Los Pagos por Disponibilidad (PPD) trimestrales que reciba el CONCESIONARIO estarán condicionados al cumplimiento periódico, sostenido y verificable de los Niveles de Servicio a partir de los Indicadores calculados para el periodo de evaluación durante la Operación</w:t>
      </w:r>
      <w:bookmarkEnd w:id="225"/>
      <w:r w:rsidRPr="00285D58">
        <w:rPr>
          <w:rFonts w:asciiTheme="minorHAnsi" w:eastAsia="Calibri" w:hAnsiTheme="minorHAnsi" w:cstheme="minorHAnsi"/>
          <w:color w:val="auto"/>
          <w:kern w:val="2"/>
          <w:sz w:val="22"/>
          <w:szCs w:val="22"/>
          <w:lang w:val="es-PE"/>
        </w:rPr>
        <w:t xml:space="preserve">.  </w:t>
      </w:r>
      <w:r w:rsidRPr="00285D58">
        <w:rPr>
          <w:rFonts w:asciiTheme="minorHAnsi" w:eastAsia="Calibri" w:hAnsiTheme="minorHAnsi" w:cstheme="minorHAnsi"/>
          <w:lang w:val="es-PE"/>
        </w:rPr>
        <w:t xml:space="preserve"> </w:t>
      </w:r>
      <w:r w:rsidRPr="00285D58">
        <w:rPr>
          <w:rFonts w:asciiTheme="minorHAnsi" w:eastAsia="Calibri" w:hAnsiTheme="minorHAnsi" w:cstheme="minorHAnsi"/>
          <w:color w:val="auto"/>
          <w:kern w:val="2"/>
          <w:sz w:val="22"/>
          <w:szCs w:val="22"/>
          <w:lang w:val="es-PE"/>
        </w:rPr>
        <w:t xml:space="preserve"> </w:t>
      </w:r>
    </w:p>
    <w:p w14:paraId="61E01381" w14:textId="77777777" w:rsidR="00B013BD" w:rsidRDefault="00B013BD" w:rsidP="008D1FFF">
      <w:pPr>
        <w:pStyle w:val="Default"/>
        <w:spacing w:line="276" w:lineRule="auto"/>
        <w:jc w:val="both"/>
        <w:rPr>
          <w:rFonts w:asciiTheme="minorHAnsi" w:eastAsia="Calibri" w:hAnsiTheme="minorHAnsi" w:cstheme="minorHAnsi"/>
          <w:color w:val="auto"/>
          <w:kern w:val="2"/>
          <w:sz w:val="22"/>
          <w:szCs w:val="22"/>
          <w:lang w:val="es-PE"/>
        </w:rPr>
      </w:pPr>
    </w:p>
    <w:p w14:paraId="2C0E91C9" w14:textId="4576B18E" w:rsidR="007037E8" w:rsidRDefault="007037E8">
      <w:pPr>
        <w:rPr>
          <w:rFonts w:asciiTheme="minorHAnsi" w:eastAsia="Calibri" w:hAnsiTheme="minorHAnsi" w:cstheme="minorHAnsi"/>
          <w:kern w:val="2"/>
          <w:lang w:val="es-PE"/>
        </w:rPr>
      </w:pPr>
      <w:r>
        <w:rPr>
          <w:rFonts w:asciiTheme="minorHAnsi" w:eastAsia="Calibri" w:hAnsiTheme="minorHAnsi" w:cstheme="minorHAnsi"/>
          <w:kern w:val="2"/>
          <w:lang w:val="es-PE"/>
        </w:rPr>
        <w:br w:type="page"/>
      </w:r>
    </w:p>
    <w:p w14:paraId="3367E296" w14:textId="2A0CE5D2"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26" w:name="_Toc193979288"/>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1: INDICADORES DE NIVELES DE SERVICIO</w:t>
      </w:r>
      <w:bookmarkEnd w:id="226"/>
      <w:r w:rsidRPr="00285D58">
        <w:rPr>
          <w:rFonts w:asciiTheme="minorHAnsi" w:eastAsia="Arial" w:hAnsiTheme="minorHAnsi" w:cstheme="minorHAnsi"/>
          <w:b/>
          <w:color w:val="1F4E79" w:themeColor="accent5" w:themeShade="80"/>
          <w:sz w:val="22"/>
          <w:szCs w:val="22"/>
          <w:lang w:val="es-PE"/>
        </w:rPr>
        <w:t xml:space="preserve"> </w:t>
      </w:r>
    </w:p>
    <w:p w14:paraId="336C6C16" w14:textId="77777777" w:rsidR="009F2B65" w:rsidRPr="00285D58" w:rsidRDefault="009F2B65" w:rsidP="008D1FFF">
      <w:pPr>
        <w:spacing w:line="276" w:lineRule="auto"/>
        <w:jc w:val="both"/>
        <w:rPr>
          <w:rFonts w:asciiTheme="minorHAnsi" w:hAnsiTheme="minorHAnsi" w:cstheme="minorHAnsi"/>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5244"/>
        <w:gridCol w:w="1276"/>
        <w:gridCol w:w="1276"/>
      </w:tblGrid>
      <w:tr w:rsidR="009F2B65" w:rsidRPr="00285D58" w14:paraId="6CC959E9" w14:textId="77777777" w:rsidTr="00242093">
        <w:trPr>
          <w:trHeight w:val="227"/>
          <w:tblHeader/>
        </w:trPr>
        <w:tc>
          <w:tcPr>
            <w:tcW w:w="1271" w:type="dxa"/>
            <w:shd w:val="clear" w:color="auto" w:fill="000000"/>
            <w:vAlign w:val="center"/>
          </w:tcPr>
          <w:p w14:paraId="617B486E"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bookmarkStart w:id="227" w:name="_Hlk176467525"/>
            <w:r w:rsidRPr="00285D58">
              <w:rPr>
                <w:rFonts w:asciiTheme="minorHAnsi" w:eastAsia="Times New Roman" w:hAnsiTheme="minorHAnsi" w:cstheme="minorHAnsi"/>
                <w:b/>
                <w:bCs/>
                <w:color w:val="FFFFFF"/>
                <w:sz w:val="18"/>
                <w:szCs w:val="18"/>
                <w:lang w:val="it-IT" w:eastAsia="it-IT"/>
              </w:rPr>
              <w:t>Servicio</w:t>
            </w:r>
          </w:p>
        </w:tc>
        <w:tc>
          <w:tcPr>
            <w:tcW w:w="851" w:type="dxa"/>
            <w:shd w:val="clear" w:color="auto" w:fill="000000"/>
            <w:vAlign w:val="center"/>
            <w:hideMark/>
          </w:tcPr>
          <w:p w14:paraId="519685E4"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r w:rsidRPr="00285D58">
              <w:rPr>
                <w:rFonts w:asciiTheme="minorHAnsi" w:eastAsia="Times New Roman" w:hAnsiTheme="minorHAnsi" w:cstheme="minorHAnsi"/>
                <w:b/>
                <w:bCs/>
                <w:color w:val="FFFFFF"/>
                <w:sz w:val="18"/>
                <w:szCs w:val="18"/>
                <w:lang w:val="it-IT" w:eastAsia="it-IT"/>
              </w:rPr>
              <w:t>Cod</w:t>
            </w:r>
          </w:p>
        </w:tc>
        <w:tc>
          <w:tcPr>
            <w:tcW w:w="5244" w:type="dxa"/>
            <w:shd w:val="clear" w:color="auto" w:fill="000000"/>
            <w:vAlign w:val="center"/>
            <w:hideMark/>
          </w:tcPr>
          <w:p w14:paraId="169B652E"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it-IT" w:eastAsia="it-IT"/>
              </w:rPr>
            </w:pPr>
            <w:r w:rsidRPr="00285D58">
              <w:rPr>
                <w:rFonts w:asciiTheme="minorHAnsi" w:eastAsia="Times New Roman" w:hAnsiTheme="minorHAnsi" w:cstheme="minorHAnsi"/>
                <w:b/>
                <w:bCs/>
                <w:color w:val="FFFFFF"/>
                <w:sz w:val="18"/>
                <w:szCs w:val="18"/>
                <w:lang w:val="it-IT" w:eastAsia="it-IT"/>
              </w:rPr>
              <w:t>Indicador</w:t>
            </w:r>
          </w:p>
        </w:tc>
        <w:tc>
          <w:tcPr>
            <w:tcW w:w="1276" w:type="dxa"/>
            <w:shd w:val="clear" w:color="auto" w:fill="000000"/>
          </w:tcPr>
          <w:p w14:paraId="62855805"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es-PE" w:eastAsia="it-IT"/>
              </w:rPr>
            </w:pPr>
            <w:r w:rsidRPr="00285D58">
              <w:rPr>
                <w:rFonts w:asciiTheme="minorHAnsi" w:eastAsia="Times New Roman" w:hAnsiTheme="minorHAnsi" w:cstheme="minorHAnsi"/>
                <w:b/>
                <w:bCs/>
                <w:color w:val="FFFFFF"/>
                <w:sz w:val="18"/>
                <w:szCs w:val="18"/>
                <w:lang w:val="es-PE" w:eastAsia="it-IT"/>
              </w:rPr>
              <w:t>Frecuencia de  registro de la actividad</w:t>
            </w:r>
          </w:p>
        </w:tc>
        <w:tc>
          <w:tcPr>
            <w:tcW w:w="1276" w:type="dxa"/>
            <w:shd w:val="clear" w:color="auto" w:fill="000000"/>
            <w:vAlign w:val="center"/>
          </w:tcPr>
          <w:p w14:paraId="308EAE81" w14:textId="77777777" w:rsidR="009F2B65" w:rsidRPr="00285D58" w:rsidRDefault="009F2B65" w:rsidP="008D1FFF">
            <w:pPr>
              <w:spacing w:line="276" w:lineRule="auto"/>
              <w:contextualSpacing/>
              <w:jc w:val="center"/>
              <w:rPr>
                <w:rFonts w:asciiTheme="minorHAnsi" w:eastAsia="Times New Roman" w:hAnsiTheme="minorHAnsi" w:cstheme="minorHAnsi"/>
                <w:b/>
                <w:bCs/>
                <w:color w:val="FFFFFF"/>
                <w:sz w:val="18"/>
                <w:szCs w:val="18"/>
                <w:lang w:val="es-PE" w:eastAsia="it-IT"/>
              </w:rPr>
            </w:pPr>
            <w:r w:rsidRPr="00285D58">
              <w:rPr>
                <w:rFonts w:asciiTheme="minorHAnsi" w:eastAsia="Times New Roman" w:hAnsiTheme="minorHAnsi" w:cstheme="minorHAnsi"/>
                <w:b/>
                <w:bCs/>
                <w:color w:val="FFFFFF"/>
                <w:sz w:val="18"/>
                <w:szCs w:val="18"/>
                <w:lang w:val="es-PE" w:eastAsia="it-IT"/>
              </w:rPr>
              <w:t>Periodo de calculo del indicador</w:t>
            </w:r>
          </w:p>
        </w:tc>
      </w:tr>
      <w:tr w:rsidR="009F2B65" w:rsidRPr="00285D58" w14:paraId="0069B653" w14:textId="77777777" w:rsidTr="00242093">
        <w:trPr>
          <w:trHeight w:val="227"/>
        </w:trPr>
        <w:tc>
          <w:tcPr>
            <w:tcW w:w="1271" w:type="dxa"/>
            <w:vMerge w:val="restart"/>
            <w:shd w:val="clear" w:color="auto" w:fill="auto"/>
            <w:textDirection w:val="btLr"/>
            <w:vAlign w:val="center"/>
          </w:tcPr>
          <w:p w14:paraId="038B31B0"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CONSERVACIÓN Y MANTENIMIENTO</w:t>
            </w:r>
          </w:p>
        </w:tc>
        <w:tc>
          <w:tcPr>
            <w:tcW w:w="851" w:type="dxa"/>
            <w:shd w:val="clear" w:color="auto" w:fill="auto"/>
            <w:vAlign w:val="center"/>
          </w:tcPr>
          <w:p w14:paraId="0DFDF21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CM.1</w:t>
            </w:r>
          </w:p>
        </w:tc>
        <w:tc>
          <w:tcPr>
            <w:tcW w:w="5244" w:type="dxa"/>
            <w:shd w:val="clear" w:color="auto" w:fill="auto"/>
            <w:vAlign w:val="center"/>
          </w:tcPr>
          <w:p w14:paraId="623D75A8"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las Actividades de Conservación y Mantenimiento Programadas en el Plan de Conservación Anual.</w:t>
            </w:r>
          </w:p>
        </w:tc>
        <w:tc>
          <w:tcPr>
            <w:tcW w:w="1276" w:type="dxa"/>
            <w:vAlign w:val="center"/>
          </w:tcPr>
          <w:p w14:paraId="6AD7A04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6D2D5D8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7FB16B99" w14:textId="77777777" w:rsidTr="00242093">
        <w:trPr>
          <w:trHeight w:val="497"/>
        </w:trPr>
        <w:tc>
          <w:tcPr>
            <w:tcW w:w="1271" w:type="dxa"/>
            <w:vMerge/>
            <w:shd w:val="clear" w:color="auto" w:fill="auto"/>
            <w:vAlign w:val="center"/>
          </w:tcPr>
          <w:p w14:paraId="72843D21"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62A16E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CM.2</w:t>
            </w:r>
          </w:p>
        </w:tc>
        <w:tc>
          <w:tcPr>
            <w:tcW w:w="5244" w:type="dxa"/>
            <w:shd w:val="clear" w:color="auto" w:fill="auto"/>
            <w:vAlign w:val="center"/>
          </w:tcPr>
          <w:p w14:paraId="27BE2E3B"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las obras.</w:t>
            </w:r>
          </w:p>
        </w:tc>
        <w:tc>
          <w:tcPr>
            <w:tcW w:w="1276" w:type="dxa"/>
            <w:vAlign w:val="center"/>
          </w:tcPr>
          <w:p w14:paraId="460066C0"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18729B02"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08DE361B" w14:textId="77777777" w:rsidTr="00242093">
        <w:trPr>
          <w:trHeight w:val="644"/>
        </w:trPr>
        <w:tc>
          <w:tcPr>
            <w:tcW w:w="1271" w:type="dxa"/>
            <w:vMerge/>
            <w:shd w:val="clear" w:color="auto" w:fill="auto"/>
            <w:vAlign w:val="center"/>
          </w:tcPr>
          <w:p w14:paraId="5479BE8C"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D8FE556"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CM.3</w:t>
            </w:r>
          </w:p>
        </w:tc>
        <w:tc>
          <w:tcPr>
            <w:tcW w:w="5244" w:type="dxa"/>
            <w:shd w:val="clear" w:color="auto" w:fill="auto"/>
            <w:vAlign w:val="center"/>
          </w:tcPr>
          <w:p w14:paraId="745E0455"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el Equipamiento Electromecánico de los Teleféricos.</w:t>
            </w:r>
          </w:p>
        </w:tc>
        <w:tc>
          <w:tcPr>
            <w:tcW w:w="1276" w:type="dxa"/>
            <w:vAlign w:val="center"/>
          </w:tcPr>
          <w:p w14:paraId="55D926E4"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06B5D5F8"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220EF30D" w14:textId="77777777" w:rsidTr="00242093">
        <w:trPr>
          <w:trHeight w:val="644"/>
        </w:trPr>
        <w:tc>
          <w:tcPr>
            <w:tcW w:w="1271" w:type="dxa"/>
            <w:vMerge/>
            <w:shd w:val="clear" w:color="auto" w:fill="auto"/>
            <w:vAlign w:val="center"/>
          </w:tcPr>
          <w:p w14:paraId="4FCE675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C5EB9D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CM.4</w:t>
            </w:r>
          </w:p>
        </w:tc>
        <w:tc>
          <w:tcPr>
            <w:tcW w:w="5244" w:type="dxa"/>
            <w:shd w:val="clear" w:color="auto" w:fill="auto"/>
            <w:vAlign w:val="center"/>
          </w:tcPr>
          <w:p w14:paraId="190D1D8B"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de las solicitudes de anomalías o incidentes en los Buses.</w:t>
            </w:r>
          </w:p>
        </w:tc>
        <w:tc>
          <w:tcPr>
            <w:tcW w:w="1276" w:type="dxa"/>
            <w:vAlign w:val="center"/>
          </w:tcPr>
          <w:p w14:paraId="27331133"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6D2791B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20"/>
                <w:lang w:val="it-IT" w:eastAsia="it-IT"/>
              </w:rPr>
            </w:pPr>
            <w:r w:rsidRPr="00285D58">
              <w:rPr>
                <w:rFonts w:asciiTheme="minorHAnsi" w:eastAsia="Times New Roman" w:hAnsiTheme="minorHAnsi" w:cstheme="minorHAnsi"/>
                <w:color w:val="000000"/>
                <w:sz w:val="18"/>
                <w:szCs w:val="20"/>
                <w:lang w:val="it-IT" w:eastAsia="it-IT"/>
              </w:rPr>
              <w:t>Mensual</w:t>
            </w:r>
          </w:p>
        </w:tc>
      </w:tr>
      <w:tr w:rsidR="009F2B65" w:rsidRPr="00285D58" w14:paraId="02223A6B" w14:textId="77777777" w:rsidTr="00242093">
        <w:trPr>
          <w:trHeight w:val="227"/>
        </w:trPr>
        <w:tc>
          <w:tcPr>
            <w:tcW w:w="1271" w:type="dxa"/>
            <w:vMerge w:val="restart"/>
            <w:shd w:val="clear" w:color="auto" w:fill="auto"/>
            <w:textDirection w:val="btLr"/>
            <w:vAlign w:val="center"/>
          </w:tcPr>
          <w:p w14:paraId="328F0913"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ASEO Y LIMPIEZA</w:t>
            </w:r>
          </w:p>
        </w:tc>
        <w:tc>
          <w:tcPr>
            <w:tcW w:w="851" w:type="dxa"/>
            <w:shd w:val="clear" w:color="auto" w:fill="auto"/>
            <w:vAlign w:val="center"/>
          </w:tcPr>
          <w:p w14:paraId="345BDF17"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AL.1</w:t>
            </w:r>
          </w:p>
        </w:tc>
        <w:tc>
          <w:tcPr>
            <w:tcW w:w="5244" w:type="dxa"/>
            <w:shd w:val="clear" w:color="auto" w:fill="auto"/>
            <w:vAlign w:val="center"/>
          </w:tcPr>
          <w:p w14:paraId="438A503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las Actividades de Aseo y Limpieza según frecuencia y procedimientos establecidos en el Plan Anual de Aseo y Limpieza.</w:t>
            </w:r>
          </w:p>
        </w:tc>
        <w:tc>
          <w:tcPr>
            <w:tcW w:w="1276" w:type="dxa"/>
            <w:vAlign w:val="center"/>
          </w:tcPr>
          <w:p w14:paraId="2C354107"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120C6F9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126EC717" w14:textId="77777777" w:rsidTr="00242093">
        <w:trPr>
          <w:trHeight w:val="227"/>
        </w:trPr>
        <w:tc>
          <w:tcPr>
            <w:tcW w:w="1271" w:type="dxa"/>
            <w:vMerge/>
            <w:shd w:val="clear" w:color="auto" w:fill="auto"/>
            <w:textDirection w:val="btLr"/>
            <w:vAlign w:val="center"/>
          </w:tcPr>
          <w:p w14:paraId="7627DBAE"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7223A6FC"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AL.2</w:t>
            </w:r>
          </w:p>
        </w:tc>
        <w:tc>
          <w:tcPr>
            <w:tcW w:w="5244" w:type="dxa"/>
            <w:shd w:val="clear" w:color="auto" w:fill="auto"/>
            <w:vAlign w:val="center"/>
          </w:tcPr>
          <w:p w14:paraId="5CC9FD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 la gestión de residuos sólidos de acuerdo a la normativa vigente aplicable.</w:t>
            </w:r>
          </w:p>
        </w:tc>
        <w:tc>
          <w:tcPr>
            <w:tcW w:w="1276" w:type="dxa"/>
            <w:vAlign w:val="center"/>
          </w:tcPr>
          <w:p w14:paraId="4C09E7A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33099A3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4966A3E9" w14:textId="77777777" w:rsidTr="00242093">
        <w:trPr>
          <w:trHeight w:val="227"/>
        </w:trPr>
        <w:tc>
          <w:tcPr>
            <w:tcW w:w="1271" w:type="dxa"/>
            <w:vMerge/>
            <w:shd w:val="clear" w:color="auto" w:fill="auto"/>
            <w:textDirection w:val="btLr"/>
            <w:vAlign w:val="center"/>
          </w:tcPr>
          <w:p w14:paraId="3ED88849"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13F1249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AL.3</w:t>
            </w:r>
          </w:p>
        </w:tc>
        <w:tc>
          <w:tcPr>
            <w:tcW w:w="5244" w:type="dxa"/>
            <w:shd w:val="clear" w:color="auto" w:fill="auto"/>
            <w:vAlign w:val="center"/>
          </w:tcPr>
          <w:p w14:paraId="2514DCE4"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Cumplimiento del control de plagas de acuerdo a la normativa vigente aplicable.</w:t>
            </w:r>
          </w:p>
        </w:tc>
        <w:tc>
          <w:tcPr>
            <w:tcW w:w="1276" w:type="dxa"/>
            <w:vAlign w:val="center"/>
          </w:tcPr>
          <w:p w14:paraId="2C6AE73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Trimestral</w:t>
            </w:r>
          </w:p>
        </w:tc>
        <w:tc>
          <w:tcPr>
            <w:tcW w:w="1276" w:type="dxa"/>
            <w:shd w:val="clear" w:color="auto" w:fill="auto"/>
            <w:vAlign w:val="center"/>
          </w:tcPr>
          <w:p w14:paraId="1C357217"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398749E0" w14:textId="77777777" w:rsidTr="00242093">
        <w:trPr>
          <w:trHeight w:val="227"/>
        </w:trPr>
        <w:tc>
          <w:tcPr>
            <w:tcW w:w="1271" w:type="dxa"/>
            <w:vMerge/>
            <w:shd w:val="clear" w:color="auto" w:fill="auto"/>
            <w:textDirection w:val="btLr"/>
            <w:vAlign w:val="center"/>
          </w:tcPr>
          <w:p w14:paraId="01AB0D65"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1A2D96D0"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AL.4</w:t>
            </w:r>
          </w:p>
        </w:tc>
        <w:tc>
          <w:tcPr>
            <w:tcW w:w="5244" w:type="dxa"/>
            <w:shd w:val="clear" w:color="auto" w:fill="auto"/>
            <w:vAlign w:val="center"/>
          </w:tcPr>
          <w:p w14:paraId="61FF691A"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El CONCESIONARIO se encarga de proporcionar y mantener todos los consumibles en los servicios higiénicos.</w:t>
            </w:r>
          </w:p>
        </w:tc>
        <w:tc>
          <w:tcPr>
            <w:tcW w:w="1276" w:type="dxa"/>
            <w:vAlign w:val="center"/>
          </w:tcPr>
          <w:p w14:paraId="1E6FFC7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Diario</w:t>
            </w:r>
          </w:p>
        </w:tc>
        <w:tc>
          <w:tcPr>
            <w:tcW w:w="1276" w:type="dxa"/>
            <w:shd w:val="clear" w:color="auto" w:fill="auto"/>
            <w:vAlign w:val="center"/>
          </w:tcPr>
          <w:p w14:paraId="49360C6B"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6C9DDF08" w14:textId="77777777" w:rsidTr="00242093">
        <w:trPr>
          <w:trHeight w:val="524"/>
        </w:trPr>
        <w:tc>
          <w:tcPr>
            <w:tcW w:w="1271" w:type="dxa"/>
            <w:vMerge/>
            <w:shd w:val="clear" w:color="auto" w:fill="auto"/>
            <w:textDirection w:val="btLr"/>
            <w:vAlign w:val="center"/>
          </w:tcPr>
          <w:p w14:paraId="1629EA86"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116C97B"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AL.5</w:t>
            </w:r>
          </w:p>
        </w:tc>
        <w:tc>
          <w:tcPr>
            <w:tcW w:w="5244" w:type="dxa"/>
            <w:shd w:val="clear" w:color="auto" w:fill="auto"/>
            <w:vAlign w:val="center"/>
          </w:tcPr>
          <w:p w14:paraId="423C53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a las solicitudes de limpieza y control de plagas.</w:t>
            </w:r>
          </w:p>
        </w:tc>
        <w:tc>
          <w:tcPr>
            <w:tcW w:w="1276" w:type="dxa"/>
            <w:vAlign w:val="center"/>
          </w:tcPr>
          <w:p w14:paraId="1F571544"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20"/>
                <w:lang w:val="it-IT" w:eastAsia="it-IT"/>
              </w:rPr>
              <w:t>Según ocurrencia</w:t>
            </w:r>
          </w:p>
        </w:tc>
        <w:tc>
          <w:tcPr>
            <w:tcW w:w="1276" w:type="dxa"/>
            <w:shd w:val="clear" w:color="auto" w:fill="auto"/>
            <w:vAlign w:val="center"/>
          </w:tcPr>
          <w:p w14:paraId="6AD79C8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2A8BB9A6" w14:textId="77777777" w:rsidTr="00242093">
        <w:trPr>
          <w:trHeight w:val="223"/>
        </w:trPr>
        <w:tc>
          <w:tcPr>
            <w:tcW w:w="1271" w:type="dxa"/>
            <w:vMerge w:val="restart"/>
            <w:shd w:val="clear" w:color="auto" w:fill="auto"/>
            <w:textDirection w:val="btLr"/>
            <w:vAlign w:val="center"/>
          </w:tcPr>
          <w:p w14:paraId="7F822206"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TRANSPORTE POR TELEFÉRICO</w:t>
            </w:r>
          </w:p>
        </w:tc>
        <w:tc>
          <w:tcPr>
            <w:tcW w:w="851" w:type="dxa"/>
            <w:shd w:val="clear" w:color="auto" w:fill="auto"/>
            <w:vAlign w:val="center"/>
          </w:tcPr>
          <w:p w14:paraId="3E60449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STT.1</w:t>
            </w:r>
          </w:p>
        </w:tc>
        <w:tc>
          <w:tcPr>
            <w:tcW w:w="5244" w:type="dxa"/>
            <w:shd w:val="clear" w:color="auto" w:fill="auto"/>
            <w:vAlign w:val="center"/>
          </w:tcPr>
          <w:p w14:paraId="0E33BA1C"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del Servicio de Transporte por Teleférico</w:t>
            </w:r>
          </w:p>
        </w:tc>
        <w:tc>
          <w:tcPr>
            <w:tcW w:w="1276" w:type="dxa"/>
            <w:vAlign w:val="center"/>
          </w:tcPr>
          <w:p w14:paraId="71777D90"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101902C3"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237826" w:rsidRPr="00285D58" w14:paraId="49999DE0" w14:textId="77777777" w:rsidTr="00242093">
        <w:trPr>
          <w:trHeight w:val="241"/>
        </w:trPr>
        <w:tc>
          <w:tcPr>
            <w:tcW w:w="1271" w:type="dxa"/>
            <w:vMerge/>
            <w:shd w:val="clear" w:color="auto" w:fill="auto"/>
            <w:textDirection w:val="btLr"/>
            <w:vAlign w:val="center"/>
          </w:tcPr>
          <w:p w14:paraId="4D5DE1BB"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25A9A74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STT.2</w:t>
            </w:r>
          </w:p>
        </w:tc>
        <w:tc>
          <w:tcPr>
            <w:tcW w:w="5244" w:type="dxa"/>
            <w:shd w:val="clear" w:color="auto" w:fill="auto"/>
            <w:vAlign w:val="center"/>
          </w:tcPr>
          <w:p w14:paraId="7882977E"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del Servicio de Transporte en Bus</w:t>
            </w:r>
          </w:p>
        </w:tc>
        <w:tc>
          <w:tcPr>
            <w:tcW w:w="1276" w:type="dxa"/>
            <w:vAlign w:val="center"/>
          </w:tcPr>
          <w:p w14:paraId="44FABB07"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61E5D7EE"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237826" w:rsidRPr="00285D58" w14:paraId="29B8E3D5" w14:textId="77777777" w:rsidTr="00242093">
        <w:trPr>
          <w:trHeight w:val="201"/>
        </w:trPr>
        <w:tc>
          <w:tcPr>
            <w:tcW w:w="1271" w:type="dxa"/>
            <w:vMerge/>
            <w:shd w:val="clear" w:color="auto" w:fill="auto"/>
            <w:textDirection w:val="btLr"/>
            <w:vAlign w:val="center"/>
          </w:tcPr>
          <w:p w14:paraId="254A811B"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6479D69"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STT.3</w:t>
            </w:r>
          </w:p>
        </w:tc>
        <w:tc>
          <w:tcPr>
            <w:tcW w:w="5244" w:type="dxa"/>
            <w:shd w:val="clear" w:color="auto" w:fill="auto"/>
            <w:vAlign w:val="center"/>
          </w:tcPr>
          <w:p w14:paraId="746E8C40"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Nivel de Satisfacción del Usuario</w:t>
            </w:r>
          </w:p>
        </w:tc>
        <w:tc>
          <w:tcPr>
            <w:tcW w:w="1276" w:type="dxa"/>
            <w:vAlign w:val="center"/>
          </w:tcPr>
          <w:p w14:paraId="50075B8D"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45500411"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5FB5E6DE" w14:textId="77777777" w:rsidTr="00242093">
        <w:trPr>
          <w:trHeight w:val="219"/>
        </w:trPr>
        <w:tc>
          <w:tcPr>
            <w:tcW w:w="1271" w:type="dxa"/>
            <w:vMerge/>
            <w:shd w:val="clear" w:color="auto" w:fill="auto"/>
            <w:textDirection w:val="btLr"/>
            <w:vAlign w:val="center"/>
          </w:tcPr>
          <w:p w14:paraId="35092C2F"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3BF0DDB1"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STT.4</w:t>
            </w:r>
          </w:p>
        </w:tc>
        <w:tc>
          <w:tcPr>
            <w:tcW w:w="5244" w:type="dxa"/>
            <w:shd w:val="clear" w:color="auto" w:fill="auto"/>
            <w:vAlign w:val="center"/>
          </w:tcPr>
          <w:p w14:paraId="2275A83E"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El Concesionario debe contar con una Oficina de Información y Atención al Usuario</w:t>
            </w:r>
          </w:p>
        </w:tc>
        <w:tc>
          <w:tcPr>
            <w:tcW w:w="1276" w:type="dxa"/>
            <w:vAlign w:val="center"/>
          </w:tcPr>
          <w:p w14:paraId="16C41D4E"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7CA4F773"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533DB58C" w14:textId="77777777" w:rsidTr="00242093">
        <w:trPr>
          <w:trHeight w:val="451"/>
        </w:trPr>
        <w:tc>
          <w:tcPr>
            <w:tcW w:w="1271" w:type="dxa"/>
            <w:vMerge/>
            <w:shd w:val="clear" w:color="auto" w:fill="auto"/>
            <w:textDirection w:val="btLr"/>
            <w:vAlign w:val="center"/>
          </w:tcPr>
          <w:p w14:paraId="6066C8A9"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22CD874" w14:textId="7777777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STT.5</w:t>
            </w:r>
          </w:p>
        </w:tc>
        <w:tc>
          <w:tcPr>
            <w:tcW w:w="5244" w:type="dxa"/>
            <w:shd w:val="clear" w:color="auto" w:fill="auto"/>
            <w:vAlign w:val="center"/>
          </w:tcPr>
          <w:p w14:paraId="6D78CAE8" w14:textId="77777777"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debe atender los reclamos realizados por los usuarios en el Libro de Reclamaciones o Plataformas Web oficiales. </w:t>
            </w:r>
          </w:p>
        </w:tc>
        <w:tc>
          <w:tcPr>
            <w:tcW w:w="1276" w:type="dxa"/>
            <w:vAlign w:val="center"/>
          </w:tcPr>
          <w:p w14:paraId="4E0D0E48"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shd w:val="clear" w:color="auto" w:fill="auto"/>
            <w:vAlign w:val="center"/>
          </w:tcPr>
          <w:p w14:paraId="65E9BE7D" w14:textId="77777777"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237826" w:rsidRPr="00285D58" w14:paraId="108FA99D" w14:textId="77777777" w:rsidTr="00242093">
        <w:trPr>
          <w:trHeight w:val="451"/>
        </w:trPr>
        <w:tc>
          <w:tcPr>
            <w:tcW w:w="1271" w:type="dxa"/>
            <w:vMerge/>
            <w:shd w:val="clear" w:color="auto" w:fill="auto"/>
            <w:textDirection w:val="btLr"/>
            <w:vAlign w:val="center"/>
          </w:tcPr>
          <w:p w14:paraId="0F3A5355" w14:textId="77777777" w:rsidR="00237826" w:rsidRPr="00285D58" w:rsidRDefault="00237826"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4B9B95DB" w14:textId="6438C007" w:rsidR="00237826" w:rsidRPr="00285D58" w:rsidRDefault="00237826"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STT.6</w:t>
            </w:r>
          </w:p>
        </w:tc>
        <w:tc>
          <w:tcPr>
            <w:tcW w:w="5244" w:type="dxa"/>
            <w:shd w:val="clear" w:color="auto" w:fill="auto"/>
            <w:vAlign w:val="center"/>
          </w:tcPr>
          <w:p w14:paraId="2AD0D252" w14:textId="3FEE542E" w:rsidR="00237826" w:rsidRPr="00285D58" w:rsidRDefault="00237826"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 Plataformas Web oficiales.</w:t>
            </w:r>
          </w:p>
        </w:tc>
        <w:tc>
          <w:tcPr>
            <w:tcW w:w="1276" w:type="dxa"/>
            <w:vAlign w:val="center"/>
          </w:tcPr>
          <w:p w14:paraId="28214C83" w14:textId="2AB967D2"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20810453" w14:textId="6C518D39" w:rsidR="00237826" w:rsidRPr="00285D58" w:rsidRDefault="00237826"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0950C4C4" w14:textId="77777777" w:rsidTr="00242093">
        <w:trPr>
          <w:trHeight w:val="451"/>
        </w:trPr>
        <w:tc>
          <w:tcPr>
            <w:tcW w:w="1271" w:type="dxa"/>
            <w:vMerge w:val="restart"/>
            <w:shd w:val="clear" w:color="auto" w:fill="auto"/>
            <w:textDirection w:val="btLr"/>
            <w:vAlign w:val="center"/>
          </w:tcPr>
          <w:p w14:paraId="016AAA88"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it-IT" w:eastAsia="it-IT"/>
              </w:rPr>
            </w:pPr>
            <w:r w:rsidRPr="00285D58">
              <w:rPr>
                <w:rFonts w:asciiTheme="minorHAnsi" w:eastAsia="Times New Roman" w:hAnsiTheme="minorHAnsi" w:cstheme="minorHAnsi"/>
                <w:b/>
                <w:bCs/>
                <w:color w:val="000000"/>
                <w:sz w:val="18"/>
                <w:szCs w:val="18"/>
                <w:lang w:val="it-IT" w:eastAsia="it-IT"/>
              </w:rPr>
              <w:t>SEGURIDAD Y VIGILANCIA</w:t>
            </w:r>
          </w:p>
        </w:tc>
        <w:tc>
          <w:tcPr>
            <w:tcW w:w="851" w:type="dxa"/>
            <w:shd w:val="clear" w:color="auto" w:fill="auto"/>
            <w:vAlign w:val="center"/>
          </w:tcPr>
          <w:p w14:paraId="741CE1BE"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SV.1</w:t>
            </w:r>
          </w:p>
        </w:tc>
        <w:tc>
          <w:tcPr>
            <w:tcW w:w="5244" w:type="dxa"/>
            <w:shd w:val="clear" w:color="auto" w:fill="auto"/>
            <w:vAlign w:val="center"/>
          </w:tcPr>
          <w:p w14:paraId="130D3B07"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debe prestar el servicio de seguridad dentro de las estaciones. </w:t>
            </w:r>
          </w:p>
        </w:tc>
        <w:tc>
          <w:tcPr>
            <w:tcW w:w="1276" w:type="dxa"/>
            <w:vAlign w:val="center"/>
          </w:tcPr>
          <w:p w14:paraId="7D9E2413"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c>
          <w:tcPr>
            <w:tcW w:w="1276" w:type="dxa"/>
            <w:shd w:val="clear" w:color="auto" w:fill="auto"/>
            <w:vAlign w:val="center"/>
          </w:tcPr>
          <w:p w14:paraId="36DAF75F"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7840D049" w14:textId="77777777" w:rsidTr="00242093">
        <w:trPr>
          <w:trHeight w:val="414"/>
        </w:trPr>
        <w:tc>
          <w:tcPr>
            <w:tcW w:w="1271" w:type="dxa"/>
            <w:vMerge/>
            <w:shd w:val="clear" w:color="auto" w:fill="auto"/>
            <w:vAlign w:val="center"/>
          </w:tcPr>
          <w:p w14:paraId="7A995117"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6C8E0E8"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SV.2</w:t>
            </w:r>
          </w:p>
        </w:tc>
        <w:tc>
          <w:tcPr>
            <w:tcW w:w="5244" w:type="dxa"/>
            <w:shd w:val="clear" w:color="auto" w:fill="auto"/>
            <w:vAlign w:val="center"/>
          </w:tcPr>
          <w:p w14:paraId="4369005E"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Disponibilidad de cámaras de video vigilancia.</w:t>
            </w:r>
          </w:p>
        </w:tc>
        <w:tc>
          <w:tcPr>
            <w:tcW w:w="1276" w:type="dxa"/>
            <w:vAlign w:val="center"/>
          </w:tcPr>
          <w:p w14:paraId="2E3FF90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67425EE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133C9F72" w14:textId="77777777" w:rsidTr="00242093">
        <w:trPr>
          <w:trHeight w:val="294"/>
        </w:trPr>
        <w:tc>
          <w:tcPr>
            <w:tcW w:w="1271" w:type="dxa"/>
            <w:vMerge/>
            <w:shd w:val="clear" w:color="auto" w:fill="auto"/>
            <w:vAlign w:val="center"/>
          </w:tcPr>
          <w:p w14:paraId="69837C13"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743BD2F8"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SV.3</w:t>
            </w:r>
          </w:p>
        </w:tc>
        <w:tc>
          <w:tcPr>
            <w:tcW w:w="5244" w:type="dxa"/>
            <w:shd w:val="clear" w:color="auto" w:fill="auto"/>
            <w:vAlign w:val="center"/>
          </w:tcPr>
          <w:p w14:paraId="36196DC7"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Atención a las situaciones de riesgo suscitadas dentro del Área de la Concesión.</w:t>
            </w:r>
          </w:p>
        </w:tc>
        <w:tc>
          <w:tcPr>
            <w:tcW w:w="1276" w:type="dxa"/>
            <w:shd w:val="clear" w:color="auto" w:fill="auto"/>
            <w:vAlign w:val="center"/>
          </w:tcPr>
          <w:p w14:paraId="08954489"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vAlign w:val="center"/>
          </w:tcPr>
          <w:p w14:paraId="6172FC0E"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2A2AC06D" w14:textId="77777777" w:rsidTr="00242093">
        <w:trPr>
          <w:trHeight w:val="1018"/>
        </w:trPr>
        <w:tc>
          <w:tcPr>
            <w:tcW w:w="1271" w:type="dxa"/>
            <w:vMerge/>
            <w:shd w:val="clear" w:color="auto" w:fill="auto"/>
            <w:vAlign w:val="center"/>
          </w:tcPr>
          <w:p w14:paraId="17BDA3A5" w14:textId="77777777" w:rsidR="009F2B65" w:rsidRPr="00285D58" w:rsidRDefault="009F2B65" w:rsidP="008D1FFF">
            <w:pPr>
              <w:spacing w:line="276" w:lineRule="auto"/>
              <w:contextualSpacing/>
              <w:jc w:val="center"/>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613BB281"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SV.4</w:t>
            </w:r>
          </w:p>
        </w:tc>
        <w:tc>
          <w:tcPr>
            <w:tcW w:w="5244" w:type="dxa"/>
            <w:shd w:val="clear" w:color="auto" w:fill="auto"/>
            <w:vAlign w:val="center"/>
          </w:tcPr>
          <w:p w14:paraId="4A3BD63B" w14:textId="77777777" w:rsidR="009F2B65" w:rsidRPr="00285D58" w:rsidRDefault="009F2B65" w:rsidP="008D1FFF">
            <w:pPr>
              <w:spacing w:line="276" w:lineRule="auto"/>
              <w:contextualSpacing/>
              <w:jc w:val="both"/>
              <w:rPr>
                <w:rFonts w:asciiTheme="minorHAnsi" w:eastAsia="Times New Roman" w:hAnsiTheme="minorHAnsi" w:cstheme="minorHAnsi"/>
                <w:bCs/>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El CONCESIONARIO se encarga de proporcionar, reponer y mantener en correcto estado todos los equipos y materiales dentro de las estaciones para la atención a situaciones de riesgo suscitadas dentro del Area de la Concesión. </w:t>
            </w:r>
          </w:p>
        </w:tc>
        <w:tc>
          <w:tcPr>
            <w:tcW w:w="1276" w:type="dxa"/>
            <w:shd w:val="clear" w:color="auto" w:fill="auto"/>
            <w:vAlign w:val="center"/>
          </w:tcPr>
          <w:p w14:paraId="74966754"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Mensual</w:t>
            </w:r>
          </w:p>
        </w:tc>
        <w:tc>
          <w:tcPr>
            <w:tcW w:w="1276" w:type="dxa"/>
            <w:vAlign w:val="center"/>
          </w:tcPr>
          <w:p w14:paraId="4906EFCF" w14:textId="77777777" w:rsidR="009F2B65" w:rsidRPr="00285D58" w:rsidRDefault="009F2B65" w:rsidP="008D1FFF">
            <w:pPr>
              <w:spacing w:line="276" w:lineRule="auto"/>
              <w:contextualSpacing/>
              <w:jc w:val="center"/>
              <w:rPr>
                <w:rFonts w:asciiTheme="minorHAnsi" w:eastAsia="Times New Roman" w:hAnsiTheme="minorHAnsi" w:cstheme="minorHAnsi"/>
                <w:bCs/>
                <w:sz w:val="18"/>
                <w:szCs w:val="18"/>
                <w:lang w:val="it-IT" w:eastAsia="it-IT"/>
              </w:rPr>
            </w:pPr>
            <w:r w:rsidRPr="00285D58">
              <w:rPr>
                <w:rFonts w:asciiTheme="minorHAnsi" w:eastAsia="Times New Roman" w:hAnsiTheme="minorHAnsi" w:cstheme="minorHAnsi"/>
                <w:bCs/>
                <w:sz w:val="18"/>
                <w:szCs w:val="18"/>
                <w:lang w:val="it-IT" w:eastAsia="it-IT"/>
              </w:rPr>
              <w:t>Mensual</w:t>
            </w:r>
          </w:p>
        </w:tc>
      </w:tr>
      <w:tr w:rsidR="009F2B65" w:rsidRPr="00285D58" w14:paraId="4168A8E1" w14:textId="77777777" w:rsidTr="00242093">
        <w:trPr>
          <w:trHeight w:val="522"/>
        </w:trPr>
        <w:tc>
          <w:tcPr>
            <w:tcW w:w="1271" w:type="dxa"/>
            <w:vMerge w:val="restart"/>
            <w:shd w:val="clear" w:color="auto" w:fill="auto"/>
            <w:textDirection w:val="btLr"/>
            <w:vAlign w:val="center"/>
          </w:tcPr>
          <w:p w14:paraId="4524E279" w14:textId="77777777" w:rsidR="009F2B65" w:rsidRPr="00285D58" w:rsidRDefault="009F2B65" w:rsidP="008D1FFF">
            <w:pPr>
              <w:spacing w:line="276" w:lineRule="auto"/>
              <w:ind w:left="113" w:right="113"/>
              <w:contextualSpacing/>
              <w:jc w:val="center"/>
              <w:rPr>
                <w:rFonts w:asciiTheme="minorHAnsi" w:eastAsia="Times New Roman" w:hAnsiTheme="minorHAnsi" w:cstheme="minorHAnsi"/>
                <w:b/>
                <w:bCs/>
                <w:color w:val="000000"/>
                <w:sz w:val="18"/>
                <w:szCs w:val="18"/>
                <w:lang w:val="es-PE" w:eastAsia="it-IT"/>
              </w:rPr>
            </w:pPr>
            <w:r w:rsidRPr="00285D58">
              <w:rPr>
                <w:rFonts w:asciiTheme="minorHAnsi" w:eastAsia="Times New Roman" w:hAnsiTheme="minorHAnsi" w:cstheme="minorHAnsi"/>
                <w:b/>
                <w:bCs/>
                <w:color w:val="000000"/>
                <w:sz w:val="18"/>
                <w:szCs w:val="18"/>
                <w:lang w:val="es-PE" w:eastAsia="it-IT"/>
              </w:rPr>
              <w:t>ADMINISTRACIÓN DE LOS SERVICIOS OBLIGATORIOS</w:t>
            </w:r>
          </w:p>
        </w:tc>
        <w:tc>
          <w:tcPr>
            <w:tcW w:w="851" w:type="dxa"/>
            <w:shd w:val="clear" w:color="auto" w:fill="auto"/>
            <w:vAlign w:val="center"/>
          </w:tcPr>
          <w:p w14:paraId="331123BC"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ADM.1</w:t>
            </w:r>
          </w:p>
        </w:tc>
        <w:tc>
          <w:tcPr>
            <w:tcW w:w="5244" w:type="dxa"/>
            <w:shd w:val="clear" w:color="auto" w:fill="auto"/>
            <w:vAlign w:val="center"/>
          </w:tcPr>
          <w:p w14:paraId="3394ACBA"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entrega oportuna del Informe Mensual de Actividades </w:t>
            </w:r>
          </w:p>
        </w:tc>
        <w:tc>
          <w:tcPr>
            <w:tcW w:w="1276" w:type="dxa"/>
            <w:vAlign w:val="center"/>
          </w:tcPr>
          <w:p w14:paraId="69B335B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c>
          <w:tcPr>
            <w:tcW w:w="1276" w:type="dxa"/>
            <w:shd w:val="clear" w:color="auto" w:fill="auto"/>
            <w:vAlign w:val="center"/>
          </w:tcPr>
          <w:p w14:paraId="1B204E4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Mensual</w:t>
            </w:r>
          </w:p>
        </w:tc>
      </w:tr>
      <w:tr w:rsidR="009F2B65" w:rsidRPr="00285D58" w14:paraId="46C76A99" w14:textId="77777777" w:rsidTr="00242093">
        <w:trPr>
          <w:trHeight w:val="729"/>
        </w:trPr>
        <w:tc>
          <w:tcPr>
            <w:tcW w:w="1271" w:type="dxa"/>
            <w:vMerge/>
            <w:shd w:val="clear" w:color="auto" w:fill="auto"/>
            <w:vAlign w:val="center"/>
          </w:tcPr>
          <w:p w14:paraId="67238F76" w14:textId="77777777" w:rsidR="009F2B65" w:rsidRPr="00285D58" w:rsidRDefault="009F2B65" w:rsidP="008D1FFF">
            <w:pPr>
              <w:spacing w:line="276" w:lineRule="auto"/>
              <w:contextualSpacing/>
              <w:jc w:val="both"/>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5A4385E5"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ADM.2</w:t>
            </w:r>
          </w:p>
        </w:tc>
        <w:tc>
          <w:tcPr>
            <w:tcW w:w="5244" w:type="dxa"/>
            <w:shd w:val="clear" w:color="auto" w:fill="auto"/>
            <w:vAlign w:val="center"/>
          </w:tcPr>
          <w:p w14:paraId="6B748ED6"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entrega oportuna de los Informes Especiales solicitados por el Supervisor </w:t>
            </w:r>
          </w:p>
        </w:tc>
        <w:tc>
          <w:tcPr>
            <w:tcW w:w="1276" w:type="dxa"/>
            <w:vAlign w:val="center"/>
          </w:tcPr>
          <w:p w14:paraId="7198901D"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Según ocurrencia</w:t>
            </w:r>
          </w:p>
        </w:tc>
        <w:tc>
          <w:tcPr>
            <w:tcW w:w="1276" w:type="dxa"/>
            <w:shd w:val="clear" w:color="auto" w:fill="auto"/>
            <w:vAlign w:val="center"/>
          </w:tcPr>
          <w:p w14:paraId="04DDA9CA"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r w:rsidR="009F2B65" w:rsidRPr="00285D58" w14:paraId="63EDDD30" w14:textId="77777777" w:rsidTr="00242093">
        <w:trPr>
          <w:trHeight w:val="623"/>
        </w:trPr>
        <w:tc>
          <w:tcPr>
            <w:tcW w:w="1271" w:type="dxa"/>
            <w:vMerge/>
            <w:shd w:val="clear" w:color="auto" w:fill="auto"/>
            <w:vAlign w:val="center"/>
          </w:tcPr>
          <w:p w14:paraId="6B513C9B" w14:textId="77777777" w:rsidR="009F2B65" w:rsidRPr="00285D58" w:rsidRDefault="009F2B65" w:rsidP="008D1FFF">
            <w:pPr>
              <w:spacing w:line="276" w:lineRule="auto"/>
              <w:contextualSpacing/>
              <w:jc w:val="both"/>
              <w:rPr>
                <w:rFonts w:asciiTheme="minorHAnsi" w:eastAsia="Times New Roman" w:hAnsiTheme="minorHAnsi" w:cstheme="minorHAnsi"/>
                <w:b/>
                <w:bCs/>
                <w:color w:val="000000"/>
                <w:sz w:val="18"/>
                <w:szCs w:val="18"/>
                <w:lang w:val="it-IT" w:eastAsia="it-IT"/>
              </w:rPr>
            </w:pPr>
          </w:p>
        </w:tc>
        <w:tc>
          <w:tcPr>
            <w:tcW w:w="851" w:type="dxa"/>
            <w:shd w:val="clear" w:color="auto" w:fill="auto"/>
            <w:vAlign w:val="center"/>
          </w:tcPr>
          <w:p w14:paraId="268EFC06"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ADM.3</w:t>
            </w:r>
          </w:p>
        </w:tc>
        <w:tc>
          <w:tcPr>
            <w:tcW w:w="5244" w:type="dxa"/>
            <w:shd w:val="clear" w:color="auto" w:fill="auto"/>
            <w:vAlign w:val="center"/>
          </w:tcPr>
          <w:p w14:paraId="56673371" w14:textId="77777777" w:rsidR="009F2B65" w:rsidRPr="00285D58" w:rsidRDefault="009F2B65" w:rsidP="008D1FFF">
            <w:pPr>
              <w:spacing w:line="276" w:lineRule="auto"/>
              <w:contextualSpacing/>
              <w:jc w:val="both"/>
              <w:rPr>
                <w:rFonts w:asciiTheme="minorHAnsi" w:eastAsia="Times New Roman" w:hAnsiTheme="minorHAnsi" w:cstheme="minorHAnsi"/>
                <w:color w:val="000000"/>
                <w:sz w:val="18"/>
                <w:szCs w:val="18"/>
                <w:lang w:val="es-PE" w:eastAsia="it-IT"/>
              </w:rPr>
            </w:pPr>
            <w:r w:rsidRPr="00285D58">
              <w:rPr>
                <w:rFonts w:asciiTheme="minorHAnsi" w:eastAsia="Times New Roman" w:hAnsiTheme="minorHAnsi" w:cstheme="minorHAnsi"/>
                <w:color w:val="000000"/>
                <w:sz w:val="18"/>
                <w:szCs w:val="18"/>
                <w:lang w:val="es-PE" w:eastAsia="it-IT"/>
              </w:rPr>
              <w:t xml:space="preserve">La documentación oportuna de todas las actividades ejecutadas dentro del Contrato durante la Operación.  </w:t>
            </w:r>
          </w:p>
        </w:tc>
        <w:tc>
          <w:tcPr>
            <w:tcW w:w="1276" w:type="dxa"/>
            <w:vAlign w:val="center"/>
          </w:tcPr>
          <w:p w14:paraId="502D57E8"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Diario</w:t>
            </w:r>
          </w:p>
        </w:tc>
        <w:tc>
          <w:tcPr>
            <w:tcW w:w="1276" w:type="dxa"/>
            <w:shd w:val="clear" w:color="auto" w:fill="auto"/>
            <w:vAlign w:val="center"/>
          </w:tcPr>
          <w:p w14:paraId="769241A9" w14:textId="77777777" w:rsidR="009F2B65" w:rsidRPr="00285D58" w:rsidRDefault="009F2B65" w:rsidP="008D1FFF">
            <w:pPr>
              <w:spacing w:line="276" w:lineRule="auto"/>
              <w:contextualSpacing/>
              <w:jc w:val="center"/>
              <w:rPr>
                <w:rFonts w:asciiTheme="minorHAnsi" w:eastAsia="Times New Roman" w:hAnsiTheme="minorHAnsi" w:cstheme="minorHAnsi"/>
                <w:color w:val="000000"/>
                <w:sz w:val="18"/>
                <w:szCs w:val="18"/>
                <w:lang w:val="it-IT" w:eastAsia="it-IT"/>
              </w:rPr>
            </w:pPr>
            <w:r w:rsidRPr="00285D58">
              <w:rPr>
                <w:rFonts w:asciiTheme="minorHAnsi" w:eastAsia="Times New Roman" w:hAnsiTheme="minorHAnsi" w:cstheme="minorHAnsi"/>
                <w:color w:val="000000"/>
                <w:sz w:val="18"/>
                <w:szCs w:val="18"/>
                <w:lang w:val="it-IT" w:eastAsia="it-IT"/>
              </w:rPr>
              <w:t>Trimestral</w:t>
            </w:r>
          </w:p>
        </w:tc>
      </w:tr>
    </w:tbl>
    <w:p w14:paraId="68E9ADCB" w14:textId="77777777" w:rsidR="005D3BD8" w:rsidRPr="00285D58" w:rsidRDefault="005D3BD8" w:rsidP="008D1FFF">
      <w:pPr>
        <w:pStyle w:val="Ttulo3"/>
        <w:spacing w:before="1" w:line="276" w:lineRule="auto"/>
        <w:jc w:val="both"/>
        <w:rPr>
          <w:rFonts w:asciiTheme="minorHAnsi" w:eastAsia="Arial" w:hAnsiTheme="minorHAnsi" w:cstheme="minorHAnsi"/>
          <w:b/>
          <w:color w:val="1F4E79" w:themeColor="accent5" w:themeShade="80"/>
          <w:sz w:val="22"/>
          <w:szCs w:val="22"/>
          <w:lang w:val="es-PE"/>
        </w:rPr>
      </w:pPr>
      <w:bookmarkStart w:id="228" w:name="_Toc174098013"/>
      <w:bookmarkStart w:id="229" w:name="_Toc180162665"/>
      <w:bookmarkStart w:id="230" w:name="_Toc182582268"/>
      <w:bookmarkEnd w:id="227"/>
    </w:p>
    <w:p w14:paraId="374B70C0" w14:textId="0664175C"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r w:rsidRPr="00285D58">
        <w:rPr>
          <w:rFonts w:asciiTheme="minorHAnsi" w:hAnsiTheme="minorHAnsi" w:cstheme="minorHAnsi"/>
          <w:b/>
          <w:color w:val="1F4E79" w:themeColor="accent5" w:themeShade="80"/>
          <w:sz w:val="22"/>
          <w:szCs w:val="22"/>
          <w:lang w:val="es-PE"/>
        </w:rPr>
        <w:t>SERVICIO DE CONSERVACIÓN Y MANTENIMIENTO</w:t>
      </w:r>
      <w:bookmarkEnd w:id="228"/>
      <w:bookmarkEnd w:id="229"/>
      <w:bookmarkEnd w:id="230"/>
    </w:p>
    <w:p w14:paraId="48E0E216" w14:textId="77777777" w:rsidR="00C81BF7" w:rsidRPr="00285D58" w:rsidRDefault="00C81BF7" w:rsidP="00E82B67">
      <w:pPr>
        <w:pStyle w:val="Default"/>
        <w:spacing w:line="276" w:lineRule="auto"/>
        <w:jc w:val="both"/>
        <w:rPr>
          <w:rFonts w:asciiTheme="minorHAnsi" w:hAnsiTheme="minorHAnsi" w:cstheme="minorHAnsi"/>
          <w:b/>
          <w:color w:val="1F4E79" w:themeColor="accent5" w:themeShade="80"/>
          <w:sz w:val="22"/>
          <w:szCs w:val="22"/>
          <w:lang w:val="es-PE"/>
        </w:rPr>
      </w:pPr>
    </w:p>
    <w:tbl>
      <w:tblPr>
        <w:tblW w:w="8436" w:type="dxa"/>
        <w:jc w:val="center"/>
        <w:tblCellMar>
          <w:left w:w="70" w:type="dxa"/>
          <w:right w:w="70" w:type="dxa"/>
        </w:tblCellMar>
        <w:tblLook w:val="04A0" w:firstRow="1" w:lastRow="0" w:firstColumn="1" w:lastColumn="0" w:noHBand="0" w:noVBand="1"/>
      </w:tblPr>
      <w:tblGrid>
        <w:gridCol w:w="1266"/>
        <w:gridCol w:w="791"/>
        <w:gridCol w:w="2268"/>
        <w:gridCol w:w="1216"/>
        <w:gridCol w:w="2895"/>
      </w:tblGrid>
      <w:tr w:rsidR="009F2B65" w:rsidRPr="00285D58" w14:paraId="51B05212" w14:textId="77777777" w:rsidTr="00242093">
        <w:trPr>
          <w:trHeight w:val="209"/>
          <w:jc w:val="center"/>
        </w:trPr>
        <w:tc>
          <w:tcPr>
            <w:tcW w:w="8436"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431485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7E2B18E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44966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059" w:type="dxa"/>
            <w:gridSpan w:val="2"/>
            <w:tcBorders>
              <w:top w:val="single" w:sz="4" w:space="0" w:color="auto"/>
              <w:left w:val="nil"/>
              <w:bottom w:val="single" w:sz="4" w:space="0" w:color="auto"/>
              <w:right w:val="single" w:sz="4" w:space="0" w:color="auto"/>
            </w:tcBorders>
            <w:shd w:val="clear" w:color="FFFFCC" w:fill="FFFFFF"/>
            <w:vAlign w:val="center"/>
            <w:hideMark/>
          </w:tcPr>
          <w:p w14:paraId="3EDC5DE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270A6F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565B0DB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AA3B653"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667187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059"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C21FF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CM.1</w:t>
            </w:r>
          </w:p>
        </w:tc>
        <w:tc>
          <w:tcPr>
            <w:tcW w:w="1216" w:type="dxa"/>
            <w:tcBorders>
              <w:top w:val="nil"/>
              <w:left w:val="nil"/>
              <w:bottom w:val="single" w:sz="4" w:space="0" w:color="auto"/>
              <w:right w:val="single" w:sz="4" w:space="0" w:color="auto"/>
            </w:tcBorders>
            <w:shd w:val="clear" w:color="FFFFCC" w:fill="FFFFFF"/>
            <w:vAlign w:val="center"/>
            <w:hideMark/>
          </w:tcPr>
          <w:p w14:paraId="4F4EA2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6B14B5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0B18E33D"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5965B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170" w:type="dxa"/>
            <w:gridSpan w:val="4"/>
            <w:tcBorders>
              <w:top w:val="single" w:sz="4" w:space="0" w:color="auto"/>
              <w:left w:val="nil"/>
              <w:bottom w:val="single" w:sz="4" w:space="0" w:color="auto"/>
              <w:right w:val="single" w:sz="8" w:space="0" w:color="000000"/>
            </w:tcBorders>
            <w:shd w:val="clear" w:color="auto" w:fill="auto"/>
            <w:vAlign w:val="center"/>
            <w:hideMark/>
          </w:tcPr>
          <w:p w14:paraId="5448E22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eastAsia="it-IT"/>
              </w:rPr>
              <w:t>Cumplimiento de las Actividades de Conservación y Mantenimiento Programadas en el Plan de Conservación Anual.</w:t>
            </w:r>
          </w:p>
        </w:tc>
      </w:tr>
      <w:tr w:rsidR="009F2B65" w:rsidRPr="00285D58" w14:paraId="23AC6E8D" w14:textId="77777777" w:rsidTr="00242093">
        <w:trPr>
          <w:trHeight w:val="360"/>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4D2524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0534FD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919E6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61AC76B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verificar el cumplimiento de las actividades de conservación y mantenimiento de las obras y equipamiento electromecánico de los teleféricos programadas por el CONCESIONARIO de acuerdo al Plan Anual de Conservación, elaborado a partir de la normativa nacional e internacional, manuales de fabricantes, entre otros.</w:t>
            </w:r>
          </w:p>
        </w:tc>
      </w:tr>
      <w:tr w:rsidR="009F2B65" w:rsidRPr="00285D58" w14:paraId="761ABD07"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72B44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170" w:type="dxa"/>
            <w:gridSpan w:val="4"/>
            <w:tcBorders>
              <w:top w:val="nil"/>
              <w:left w:val="nil"/>
              <w:bottom w:val="nil"/>
              <w:right w:val="single" w:sz="8" w:space="0" w:color="000000"/>
            </w:tcBorders>
            <w:shd w:val="clear" w:color="auto" w:fill="auto"/>
            <w:noWrap/>
            <w:vAlign w:val="bottom"/>
            <w:hideMark/>
          </w:tcPr>
          <w:p w14:paraId="21E8E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s-PE"/>
              </w:rPr>
              <mc:AlternateContent>
                <mc:Choice Requires="wps">
                  <w:drawing>
                    <wp:anchor distT="0" distB="0" distL="114300" distR="114300" simplePos="0" relativeHeight="251665920" behindDoc="0" locked="0" layoutInCell="1" allowOverlap="1" wp14:anchorId="0612233E" wp14:editId="00DEB3F4">
                      <wp:simplePos x="0" y="0"/>
                      <wp:positionH relativeFrom="column">
                        <wp:posOffset>348615</wp:posOffset>
                      </wp:positionH>
                      <wp:positionV relativeFrom="paragraph">
                        <wp:posOffset>29845</wp:posOffset>
                      </wp:positionV>
                      <wp:extent cx="5349240" cy="36576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5349240" cy="365760"/>
                              </a:xfrm>
                              <a:prstGeom prst="rect">
                                <a:avLst/>
                              </a:prstGeom>
                              <a:noFill/>
                              <a:ln>
                                <a:noFill/>
                              </a:ln>
                              <a:effectLst/>
                            </wps:spPr>
                            <wps:txbx>
                              <w:txbxContent>
                                <w:p w14:paraId="4928F126" w14:textId="77777777" w:rsidR="00F237EF" w:rsidRPr="00DE14D9" w:rsidRDefault="00000000" w:rsidP="009F2B65">
                                  <w:pPr>
                                    <w:pStyle w:val="NormalWeb"/>
                                    <w:spacing w:before="0" w:beforeAutospacing="0" w:after="0" w:afterAutospacing="0"/>
                                    <w:rPr>
                                      <w:sz w:val="20"/>
                                    </w:rPr>
                                  </w:pPr>
                                  <m:oMath>
                                    <m:f>
                                      <m:fPr>
                                        <m:ctrlPr>
                                          <w:rPr>
                                            <w:rFonts w:ascii="Cambria Math" w:hAnsi="Cambria Math"/>
                                            <w:i/>
                                            <w:iCs/>
                                            <w:color w:val="000000"/>
                                            <w:sz w:val="18"/>
                                          </w:rPr>
                                        </m:ctrlPr>
                                      </m:fPr>
                                      <m:num>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de actividades de conservacion y mantenimiento ejecutadas </m:t>
                                        </m:r>
                                      </m:num>
                                      <m:den>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 xml:space="preserve">de actividades de conservacion y mantenimiento programadas </m:t>
                                        </m:r>
                                      </m:den>
                                    </m:f>
                                    <m:r>
                                      <w:rPr>
                                        <w:rFonts w:ascii="Cambria Math" w:hAnsi="Cambria Math"/>
                                        <w:color w:val="000000"/>
                                        <w:sz w:val="18"/>
                                      </w:rPr>
                                      <m:t xml:space="preserve"> x 100</m:t>
                                    </m:r>
                                  </m:oMath>
                                  <w:r w:rsidR="00F237EF" w:rsidRPr="00383D20">
                                    <w:rPr>
                                      <w:rFonts w:ascii="Cambria" w:hAnsi="Calibri"/>
                                      <w:color w:val="000000"/>
                                      <w:sz w:val="20"/>
                                    </w:rPr>
                                    <w:t xml:space="preserve"> </w:t>
                                  </w:r>
                                </w:p>
                              </w:txbxContent>
                            </wps:txbx>
                            <wps:bodyPr vertOverflow="clip" horzOverflow="clip" wrap="none" lIns="0" tIns="0" rIns="0" bIns="0" rtlCol="0" anchor="ctr" anchorCtr="0">
                              <a:noAutofit/>
                            </wps:bodyPr>
                          </wps:wsp>
                        </a:graphicData>
                      </a:graphic>
                      <wp14:sizeRelH relativeFrom="page">
                        <wp14:pctWidth>0</wp14:pctWidth>
                      </wp14:sizeRelH>
                      <wp14:sizeRelV relativeFrom="page">
                        <wp14:pctHeight>0</wp14:pctHeight>
                      </wp14:sizeRelV>
                    </wp:anchor>
                  </w:drawing>
                </mc:Choice>
                <mc:Fallback>
                  <w:pict>
                    <v:shapetype w14:anchorId="0612233E" id="_x0000_t202" coordsize="21600,21600" o:spt="202" path="m,l,21600r21600,l21600,xe">
                      <v:stroke joinstyle="miter"/>
                      <v:path gradientshapeok="t" o:connecttype="rect"/>
                    </v:shapetype>
                    <v:shape id="Cuadro de texto 11" o:spid="_x0000_s1026" type="#_x0000_t202" style="position:absolute;margin-left:27.45pt;margin-top:2.35pt;width:421.2pt;height:28.8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" filled="f" stroked="f">
                      <v:textbox inset="0,0,0,0">
                        <w:txbxContent>
                          <w:p w14:paraId="4928F126" w14:textId="77777777" w:rsidR="00F237EF" w:rsidRPr="00DE14D9" w:rsidRDefault="00F237EF" w:rsidP="009F2B65">
                            <w:pPr>
                              <w:pStyle w:val="NormalWeb"/>
                              <w:spacing w:before="0" w:beforeAutospacing="0" w:after="0" w:afterAutospacing="0"/>
                              <w:rPr>
                                <w:sz w:val="20"/>
                              </w:rPr>
                            </w:pPr>
                            <m:oMath>
                              <m:f>
                                <m:fPr>
                                  <m:ctrlPr>
                                    <w:rPr>
                                      <w:rFonts w:ascii="Cambria Math" w:hAnsi="Cambria Math"/>
                                      <w:i/>
                                      <w:iCs/>
                                      <w:color w:val="000000"/>
                                      <w:sz w:val="18"/>
                                    </w:rPr>
                                  </m:ctrlPr>
                                </m:fPr>
                                <m:num>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de actividades de conservacion y mantenimiento ejecutadas </m:t>
                                  </m:r>
                                </m:num>
                                <m:den>
                                  <m:r>
                                    <w:rPr>
                                      <w:rFonts w:ascii="Cambria Math" w:hAnsi="Cambria Math"/>
                                      <w:color w:val="000000"/>
                                      <w:sz w:val="18"/>
                                    </w:rPr>
                                    <m:t>N</m:t>
                                  </m:r>
                                  <m:r>
                                    <w:rPr>
                                      <w:rFonts w:ascii="Cambria Math" w:hAnsi="+mn-ea" w:hint="eastAsia"/>
                                      <w:color w:val="000000"/>
                                      <w:sz w:val="18"/>
                                    </w:rPr>
                                    <m:t>°</m:t>
                                  </m:r>
                                  <m:r>
                                    <w:rPr>
                                      <w:rFonts w:ascii="Cambria Math" w:hAnsi="+mn-ea" w:hint="eastAsia"/>
                                      <w:color w:val="000000"/>
                                      <w:sz w:val="18"/>
                                    </w:rPr>
                                    <m:t> </m:t>
                                  </m:r>
                                  <m:r>
                                    <w:rPr>
                                      <w:rFonts w:ascii="Cambria Math" w:hAnsi="Cambria Math"/>
                                      <w:color w:val="000000"/>
                                      <w:sz w:val="18"/>
                                    </w:rPr>
                                    <m:t xml:space="preserve">de actividades de conservacion y mantenimiento programadas </m:t>
                                  </m:r>
                                </m:den>
                              </m:f>
                              <m:r>
                                <w:rPr>
                                  <w:rFonts w:ascii="Cambria Math" w:hAnsi="Cambria Math"/>
                                  <w:color w:val="000000"/>
                                  <w:sz w:val="18"/>
                                </w:rPr>
                                <m:t xml:space="preserve"> x 100</m:t>
                              </m:r>
                            </m:oMath>
                            <w:r w:rsidRPr="00383D20">
                              <w:rPr>
                                <w:rFonts w:ascii="Cambria" w:hAnsi="Calibri"/>
                                <w:color w:val="000000"/>
                                <w:sz w:val="20"/>
                              </w:rPr>
                              <w:t xml:space="preserve"> </w:t>
                            </w:r>
                          </w:p>
                        </w:txbxContent>
                      </v:textbox>
                    </v:shape>
                  </w:pict>
                </mc:Fallback>
              </mc:AlternateContent>
            </w:r>
          </w:p>
          <w:p w14:paraId="7FF5070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E8DCA67"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7AD2A58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7E264E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Documentación: Revisión de la documentación registrada en el SIDIG por el </w:t>
            </w:r>
            <w:r w:rsidRPr="00285D58">
              <w:rPr>
                <w:rFonts w:asciiTheme="minorHAnsi" w:eastAsia="Times New Roman" w:hAnsiTheme="minorHAnsi" w:cstheme="minorHAnsi"/>
                <w:color w:val="000000"/>
                <w:sz w:val="16"/>
                <w:szCs w:val="16"/>
                <w:lang w:val="es-PE"/>
              </w:rPr>
              <w:t xml:space="preserve">CONCESIONARIO </w:t>
            </w:r>
            <w:r w:rsidRPr="00285D58">
              <w:rPr>
                <w:rFonts w:asciiTheme="minorHAnsi" w:eastAsia="Times New Roman" w:hAnsiTheme="minorHAnsi" w:cstheme="minorHAnsi"/>
                <w:sz w:val="16"/>
                <w:szCs w:val="16"/>
                <w:lang w:val="es-PE"/>
              </w:rPr>
              <w:t>respecto a la ejecución de actividades de conservación y mantenimiento.</w:t>
            </w:r>
          </w:p>
        </w:tc>
      </w:tr>
      <w:tr w:rsidR="009F2B65" w:rsidRPr="00285D58" w14:paraId="38A39880"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409A9E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06BA6AE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Inspección de auditoría técnica in situ del cumplimiento de las actividades de conservación y mantenimiento programadas en el Plan Anual de Conservación. </w:t>
            </w:r>
          </w:p>
        </w:tc>
      </w:tr>
      <w:tr w:rsidR="009F2B65" w:rsidRPr="00285D58" w14:paraId="13E81821" w14:textId="77777777" w:rsidTr="00242093">
        <w:trPr>
          <w:trHeight w:val="4605"/>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71E41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170" w:type="dxa"/>
            <w:gridSpan w:val="4"/>
            <w:tcBorders>
              <w:top w:val="single" w:sz="4" w:space="0" w:color="auto"/>
              <w:left w:val="nil"/>
              <w:bottom w:val="single" w:sz="4" w:space="0" w:color="auto"/>
              <w:right w:val="single" w:sz="8" w:space="0" w:color="000000"/>
            </w:tcBorders>
            <w:shd w:val="clear" w:color="FFFFCC" w:fill="FFFFFF"/>
            <w:vAlign w:val="center"/>
            <w:hideMark/>
          </w:tcPr>
          <w:p w14:paraId="5EB0FA1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mantenimiento de lo siguiente:</w:t>
            </w:r>
          </w:p>
          <w:p w14:paraId="46780546" w14:textId="6E1C6EBC"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Equipamiento Electromecánico de los Teleféricos.</w:t>
            </w:r>
          </w:p>
          <w:p w14:paraId="53D11996" w14:textId="62502F33" w:rsidR="003E4A98" w:rsidRPr="00285D58" w:rsidRDefault="003E4A98"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Vías Turísticas</w:t>
            </w:r>
          </w:p>
          <w:p w14:paraId="680AF4F0" w14:textId="3B4C0B52" w:rsidR="003E4A98" w:rsidRPr="00285D58" w:rsidRDefault="003E4A98"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Caminos Peatonales</w:t>
            </w:r>
          </w:p>
          <w:p w14:paraId="056F2700"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Buses</w:t>
            </w:r>
          </w:p>
          <w:p w14:paraId="1437D2F1"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Arquitectura (pisos, muros, cielorrasos, pavimentos, coberturas, carpintería, cerrajería, vidrios y similares, pintura, señalización).</w:t>
            </w:r>
          </w:p>
          <w:p w14:paraId="3CA413E9"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Estructuras (columnas, muros, vigas, losas, escaleras, cisternas, tanques elevados, estructuras metálicas, estructuras de madera, juntas).</w:t>
            </w:r>
          </w:p>
          <w:p w14:paraId="7D9C997F"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sanitarias (red de distribución de agua potable (agua fría y caliente), red de desagüe de aguas residuales, baterías sanitarias).</w:t>
            </w:r>
          </w:p>
          <w:p w14:paraId="7BB9A4C1"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eléctricas (líneas generales de alimentación, sistema de puesta a tierra, tablero general de distribución y protección, interruptor principal, cajas de protección, fusiles de protección, tomacorrientes, instalaciones interiores, grupo electrógeno).</w:t>
            </w:r>
          </w:p>
          <w:p w14:paraId="1BF277A0"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mecánicas (sistema climatización, ventilación).</w:t>
            </w:r>
          </w:p>
          <w:p w14:paraId="3FE4042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Instalaciones de telecomunicaciones (sistema de cableado estructurado, sistema de sonido, sistema de acceso a internet, sistema de video vigilancia, sistema de alarma contra robo).</w:t>
            </w:r>
          </w:p>
          <w:p w14:paraId="2980FE0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Sistema de emergencias (sistema de extinción, sistema de detección y alarma contra incendio).</w:t>
            </w:r>
          </w:p>
          <w:p w14:paraId="549E178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Sistema de riego.</w:t>
            </w:r>
          </w:p>
          <w:p w14:paraId="4FFA613A"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Mobiliario y equipamiento.</w:t>
            </w:r>
          </w:p>
          <w:p w14:paraId="5370C23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Áreas exteriores (pavimentos, estacionamiento, veredas, sardineles, patios, área de ingreso, cunetas, escaleras y rampas exteriores).</w:t>
            </w:r>
          </w:p>
          <w:p w14:paraId="27D79126"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Áreas verdes.</w:t>
            </w:r>
          </w:p>
        </w:tc>
      </w:tr>
      <w:tr w:rsidR="009F2B65" w:rsidRPr="00285D58" w14:paraId="19467F8F"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49F25BB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170" w:type="dxa"/>
            <w:gridSpan w:val="4"/>
            <w:tcBorders>
              <w:top w:val="single" w:sz="4" w:space="0" w:color="auto"/>
              <w:left w:val="nil"/>
              <w:bottom w:val="single" w:sz="4" w:space="0" w:color="auto"/>
              <w:right w:val="single" w:sz="8" w:space="0" w:color="000000"/>
            </w:tcBorders>
            <w:shd w:val="clear" w:color="auto" w:fill="auto"/>
            <w:vAlign w:val="center"/>
            <w:hideMark/>
          </w:tcPr>
          <w:p w14:paraId="71B652E0" w14:textId="77777777" w:rsidR="009F2B65" w:rsidRPr="00285D58" w:rsidRDefault="009F2B65" w:rsidP="008D1FFF">
            <w:pPr>
              <w:spacing w:line="276" w:lineRule="auto"/>
              <w:ind w:left="-8"/>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CONCESIONARIO deberá registrar en el SIDIG las actividades de mantenimiento ejecutadas por el personal técnico.</w:t>
            </w:r>
          </w:p>
          <w:p w14:paraId="7A9646D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Los documentos en los que se apoyará el Supervisor para la medición del indicador son los siguientes:</w:t>
            </w:r>
          </w:p>
          <w:p w14:paraId="7227D268"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Plan Anual de Conservación y Mantenimiento del CONCESIONARIO.</w:t>
            </w:r>
          </w:p>
          <w:p w14:paraId="7CBFE42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Reportes de incumplimientos registrados en el SIDIG y su documentación.</w:t>
            </w:r>
          </w:p>
          <w:p w14:paraId="68A1910D"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Programación de actividades de conservación mantenimiento, fecha y hora registrada por el CONCESIONARIO en el SIDIG.</w:t>
            </w:r>
          </w:p>
        </w:tc>
      </w:tr>
      <w:tr w:rsidR="009F2B65" w:rsidRPr="00285D58" w14:paraId="2A09CAC8"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09850A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059" w:type="dxa"/>
            <w:gridSpan w:val="2"/>
            <w:tcBorders>
              <w:top w:val="single" w:sz="4" w:space="0" w:color="auto"/>
              <w:left w:val="nil"/>
              <w:bottom w:val="single" w:sz="4" w:space="0" w:color="auto"/>
              <w:right w:val="single" w:sz="4" w:space="0" w:color="auto"/>
            </w:tcBorders>
            <w:shd w:val="clear" w:color="CCCCFF" w:fill="5B9BD5"/>
            <w:vAlign w:val="center"/>
            <w:hideMark/>
          </w:tcPr>
          <w:p w14:paraId="2E5A663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D0F2BA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A0687D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4B527D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0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C5F3A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921A0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95</w:t>
            </w:r>
          </w:p>
        </w:tc>
      </w:tr>
      <w:tr w:rsidR="009F2B65" w:rsidRPr="00285D58" w14:paraId="7D7D8742" w14:textId="77777777" w:rsidTr="00242093">
        <w:trPr>
          <w:trHeight w:val="255"/>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0795161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473D519" w14:textId="77777777" w:rsidTr="00242093">
        <w:trPr>
          <w:trHeight w:val="296"/>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3BAE86F"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140C0F25" w14:textId="77777777" w:rsidTr="00242093">
        <w:trPr>
          <w:trHeight w:val="276"/>
          <w:jc w:val="center"/>
        </w:trPr>
        <w:tc>
          <w:tcPr>
            <w:tcW w:w="843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AC2F3B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296A78BF" w14:textId="77777777" w:rsidTr="00242093">
        <w:trPr>
          <w:trHeight w:val="255"/>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DADAE3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B027C60"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2F9714B" w14:textId="77777777" w:rsidTr="00242093">
        <w:trPr>
          <w:trHeight w:val="300"/>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4A6F34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43CEE37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Hasta 2 Días Calendario</w:t>
            </w:r>
          </w:p>
        </w:tc>
      </w:tr>
      <w:tr w:rsidR="009F2B65" w:rsidRPr="00285D58" w14:paraId="62EF5545"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67C50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A24056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713A9D1"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12A71BA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FDC722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6AC1DBF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8668F7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91" w:type="dxa"/>
            <w:tcBorders>
              <w:top w:val="nil"/>
              <w:left w:val="nil"/>
              <w:bottom w:val="single" w:sz="4" w:space="0" w:color="auto"/>
              <w:right w:val="single" w:sz="4" w:space="0" w:color="auto"/>
            </w:tcBorders>
            <w:shd w:val="clear" w:color="FFFFCC" w:fill="FFFFFF"/>
            <w:noWrap/>
            <w:vAlign w:val="center"/>
            <w:hideMark/>
          </w:tcPr>
          <w:p w14:paraId="619BA3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ACBE2A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AFC0DCA"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A210D7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91" w:type="dxa"/>
            <w:tcBorders>
              <w:top w:val="nil"/>
              <w:left w:val="nil"/>
              <w:bottom w:val="single" w:sz="8" w:space="0" w:color="auto"/>
              <w:right w:val="single" w:sz="4" w:space="0" w:color="auto"/>
            </w:tcBorders>
            <w:shd w:val="clear" w:color="FFFFCC" w:fill="FFFFFF"/>
            <w:noWrap/>
            <w:vAlign w:val="center"/>
            <w:hideMark/>
          </w:tcPr>
          <w:p w14:paraId="510D79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0CE9A8C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2A9ED21" w14:textId="77777777" w:rsidR="009F2B65" w:rsidRPr="00285D58" w:rsidRDefault="009F2B65" w:rsidP="008D1FFF">
      <w:pPr>
        <w:spacing w:line="276" w:lineRule="auto"/>
        <w:rPr>
          <w:rFonts w:asciiTheme="minorHAnsi" w:hAnsiTheme="minorHAnsi" w:cstheme="minorHAnsi"/>
          <w:lang w:val="es-PE"/>
        </w:rPr>
      </w:pPr>
    </w:p>
    <w:p w14:paraId="3BFAD073" w14:textId="77777777" w:rsidR="009F2B65" w:rsidRPr="00285D58" w:rsidRDefault="009F2B65" w:rsidP="008D1FFF">
      <w:pPr>
        <w:spacing w:line="276" w:lineRule="auto"/>
        <w:rPr>
          <w:rFonts w:asciiTheme="minorHAnsi" w:hAnsiTheme="minorHAnsi" w:cstheme="minorHAnsi"/>
          <w:lang w:val="es-PE"/>
        </w:rPr>
      </w:pPr>
    </w:p>
    <w:p w14:paraId="0E801C97" w14:textId="77777777" w:rsidR="009F2B65" w:rsidRPr="00285D58" w:rsidRDefault="009F2B65" w:rsidP="008D1FFF">
      <w:pPr>
        <w:spacing w:line="276" w:lineRule="auto"/>
        <w:rPr>
          <w:rFonts w:asciiTheme="minorHAnsi" w:hAnsiTheme="minorHAnsi" w:cstheme="minorHAnsi"/>
          <w:lang w:val="es-PE"/>
        </w:rPr>
      </w:pPr>
    </w:p>
    <w:p w14:paraId="63D59768"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D5776EF"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141E66B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369FBC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F7AA3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2EE764B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7E10AE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111D0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04559F4"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3EC8B7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74AFE27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CM.2</w:t>
            </w:r>
          </w:p>
        </w:tc>
        <w:tc>
          <w:tcPr>
            <w:tcW w:w="1216" w:type="dxa"/>
            <w:tcBorders>
              <w:top w:val="nil"/>
              <w:left w:val="nil"/>
              <w:bottom w:val="single" w:sz="4" w:space="0" w:color="auto"/>
              <w:right w:val="single" w:sz="4" w:space="0" w:color="auto"/>
            </w:tcBorders>
            <w:shd w:val="clear" w:color="FFFFCC" w:fill="FFFFFF"/>
            <w:vAlign w:val="center"/>
            <w:hideMark/>
          </w:tcPr>
          <w:p w14:paraId="1A9102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8250B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76284AAC"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0F98CD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7418CAC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incidentes en las obras.</w:t>
            </w:r>
          </w:p>
        </w:tc>
      </w:tr>
      <w:tr w:rsidR="009F2B65" w:rsidRPr="00285D58" w14:paraId="7155D72B"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C5979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F5B1FA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52C7F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73219C7" w14:textId="57A5EE2F"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Este indicador tiene por objetivo garantizar la atención de las solicitudes de incidentes en las obras, que comprenden: Las edificaciones (estaciones)</w:t>
            </w:r>
            <w:r w:rsidR="003E4A98" w:rsidRPr="00285D5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 xml:space="preserve"> las vías turísticas</w:t>
            </w:r>
            <w:r w:rsidR="003E4A98" w:rsidRPr="00285D58">
              <w:rPr>
                <w:rFonts w:asciiTheme="minorHAnsi" w:eastAsia="Times New Roman" w:hAnsiTheme="minorHAnsi" w:cstheme="minorHAnsi"/>
                <w:sz w:val="16"/>
                <w:szCs w:val="16"/>
                <w:lang w:val="es-PE"/>
              </w:rPr>
              <w:t xml:space="preserve"> y los caminos peatonales</w:t>
            </w:r>
            <w:r w:rsidRPr="00285D58">
              <w:rPr>
                <w:rFonts w:asciiTheme="minorHAnsi" w:eastAsia="Times New Roman" w:hAnsiTheme="minorHAnsi" w:cstheme="minorHAnsi"/>
                <w:sz w:val="16"/>
                <w:szCs w:val="16"/>
                <w:lang w:val="es-PE"/>
              </w:rPr>
              <w:t>.</w:t>
            </w:r>
          </w:p>
          <w:p w14:paraId="7813AE9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261F06F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la edificación, sus componentes, instalaciones eléctricas o sanitarias, de las vías turísticas, el pavimento, drenaje y obras de arte, en condiciones de seguridad, habitabilidad y funcionalidad esperados.</w:t>
            </w:r>
          </w:p>
        </w:tc>
      </w:tr>
      <w:tr w:rsidR="009F2B65" w:rsidRPr="00285D58" w14:paraId="26F1F5C9"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5DA0F0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0980473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19387B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tc>
      </w:tr>
      <w:tr w:rsidR="009F2B65" w:rsidRPr="00285D58" w14:paraId="746335C5"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B6EEE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9B0F2E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las solicitudes de atención de incidentes, análisis de los casos registrados.</w:t>
            </w:r>
          </w:p>
        </w:tc>
      </w:tr>
      <w:tr w:rsidR="009F2B65" w:rsidRPr="00285D58" w14:paraId="5B6AAD3C"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1D12CD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551BA7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555844AD"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84C0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DDA9378"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la edificación y de las vías turísticas. </w:t>
            </w:r>
          </w:p>
        </w:tc>
      </w:tr>
      <w:tr w:rsidR="009F2B65" w:rsidRPr="00285D58" w14:paraId="542AD8E8"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364F71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20CC73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5E6498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 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79082C24"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0AD02B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6F20B01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40FB1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7497948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9925AE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B683F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AF1AD7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38E5C59"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62AD08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4EF5607"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6779C10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7C7DCC38"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CC429A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4573468"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1106C2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E126FC8"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3873A98"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0825C9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27BC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06D7FFB"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5DFAE0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12480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1EF0EF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3D3757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024DE8F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DBDB34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B1D0AC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343302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3F4B4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036BEED"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1943CC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EED8EB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5A88E1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F47600A" w14:textId="77777777" w:rsidR="009F2B65" w:rsidRPr="00285D58" w:rsidRDefault="009F2B65" w:rsidP="008D1FFF">
      <w:pPr>
        <w:spacing w:line="276" w:lineRule="auto"/>
        <w:rPr>
          <w:rFonts w:asciiTheme="minorHAnsi" w:hAnsiTheme="minorHAnsi" w:cstheme="minorHAnsi"/>
          <w:lang w:val="es-PE"/>
        </w:rPr>
      </w:pPr>
    </w:p>
    <w:p w14:paraId="503C4695" w14:textId="77777777" w:rsidR="009F2B65" w:rsidRPr="00285D58" w:rsidRDefault="009F2B65" w:rsidP="008D1FFF">
      <w:pPr>
        <w:spacing w:line="276" w:lineRule="auto"/>
        <w:rPr>
          <w:rFonts w:asciiTheme="minorHAnsi" w:hAnsiTheme="minorHAnsi" w:cstheme="minorHAnsi"/>
          <w:lang w:val="es-PE"/>
        </w:rPr>
      </w:pPr>
    </w:p>
    <w:p w14:paraId="336CB1FF"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4026B673"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BF564B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49BEF84"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83223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267AA2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49B9B9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7520C1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4BDB4B62"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D4046E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5EE309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CM.3</w:t>
            </w:r>
          </w:p>
        </w:tc>
        <w:tc>
          <w:tcPr>
            <w:tcW w:w="1216" w:type="dxa"/>
            <w:tcBorders>
              <w:top w:val="nil"/>
              <w:left w:val="nil"/>
              <w:bottom w:val="single" w:sz="4" w:space="0" w:color="auto"/>
              <w:right w:val="single" w:sz="4" w:space="0" w:color="auto"/>
            </w:tcBorders>
            <w:shd w:val="clear" w:color="FFFFCC" w:fill="FFFFFF"/>
            <w:vAlign w:val="center"/>
            <w:hideMark/>
          </w:tcPr>
          <w:p w14:paraId="2DC9FA5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38951F3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3C1787EF"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6E7D69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7720B04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anomalías o incidentes en el Equipamiento Electromecánico de los Teleféricos.</w:t>
            </w:r>
          </w:p>
        </w:tc>
      </w:tr>
      <w:tr w:rsidR="009F2B65" w:rsidRPr="00285D58" w14:paraId="78992A6E"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DC6A44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6EC80B2"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FDBA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6EF6A8B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Este indicador tiene por objetivo garantizar la atención de las solicitudes de anomalías o incidentes en los componentes de los teleféricos y su equipamiento electromecánico. </w:t>
            </w:r>
          </w:p>
          <w:p w14:paraId="07B28A89"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6779638A"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los teleféricos en condiciones de seguridad, y funcionalidad esperados.</w:t>
            </w:r>
          </w:p>
        </w:tc>
      </w:tr>
      <w:tr w:rsidR="009F2B65" w:rsidRPr="00285D58" w14:paraId="6AFA605F"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1205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105C96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4B14732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p w14:paraId="6A9180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FD25C5E"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25002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26DF80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solitudes de atención de incidentes, análisis de los casos registrados.</w:t>
            </w:r>
          </w:p>
        </w:tc>
      </w:tr>
      <w:tr w:rsidR="009F2B65" w:rsidRPr="00285D58" w14:paraId="68BFDA49"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442E8B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8A478E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0DE0EE7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326199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07B034A9"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los teleféricos. </w:t>
            </w:r>
          </w:p>
        </w:tc>
      </w:tr>
      <w:tr w:rsidR="009F2B65" w:rsidRPr="00285D58" w14:paraId="64FC2977"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0929387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0D6873B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7B2C13AF"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2BE9092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38CFB50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3610F5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0D9518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7F9A170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61199C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44408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16B61F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3971C2B9"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5730A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FD39D71"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C47F6C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6B21D09C"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44BCDC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5A4E049"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B4CECE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1293A0E"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CD1491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13D290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025B1F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0E46007"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3ED4BC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17FDA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236FD93"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444CEC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EBD60CA"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9B8191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2AAC23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0BE9EC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810DB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3CE9FB9"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6A858D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364C16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5B5CD7C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8D2390C" w14:textId="77777777" w:rsidR="009F2B65" w:rsidRPr="00285D58" w:rsidRDefault="009F2B65" w:rsidP="008D1FFF">
      <w:pPr>
        <w:spacing w:line="276" w:lineRule="auto"/>
        <w:rPr>
          <w:rFonts w:asciiTheme="minorHAnsi" w:hAnsiTheme="minorHAnsi" w:cstheme="minorHAnsi"/>
          <w:lang w:val="es-PE"/>
        </w:rPr>
      </w:pPr>
    </w:p>
    <w:p w14:paraId="33E36E15" w14:textId="77777777" w:rsidR="009F2B65" w:rsidRPr="00285D58" w:rsidRDefault="009F2B65" w:rsidP="008D1FFF">
      <w:pPr>
        <w:spacing w:line="276" w:lineRule="auto"/>
        <w:rPr>
          <w:rFonts w:asciiTheme="minorHAnsi" w:hAnsiTheme="minorHAnsi" w:cstheme="minorHAnsi"/>
          <w:lang w:val="es-PE"/>
        </w:rPr>
      </w:pPr>
    </w:p>
    <w:p w14:paraId="3702E4AF"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354C3896"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50BEB3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D37098E"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82399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18C58B0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Conservación y Mantenimiento</w:t>
            </w:r>
          </w:p>
        </w:tc>
        <w:tc>
          <w:tcPr>
            <w:tcW w:w="1216" w:type="dxa"/>
            <w:tcBorders>
              <w:top w:val="nil"/>
              <w:left w:val="nil"/>
              <w:bottom w:val="single" w:sz="4" w:space="0" w:color="auto"/>
              <w:right w:val="single" w:sz="4" w:space="0" w:color="auto"/>
            </w:tcBorders>
            <w:shd w:val="clear" w:color="FFFFCC" w:fill="FFFFFF"/>
            <w:vAlign w:val="center"/>
            <w:hideMark/>
          </w:tcPr>
          <w:p w14:paraId="6D72CA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7BE5E5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4A27B9D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37632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386AEFA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CM.4</w:t>
            </w:r>
          </w:p>
        </w:tc>
        <w:tc>
          <w:tcPr>
            <w:tcW w:w="1216" w:type="dxa"/>
            <w:tcBorders>
              <w:top w:val="nil"/>
              <w:left w:val="nil"/>
              <w:bottom w:val="single" w:sz="4" w:space="0" w:color="auto"/>
              <w:right w:val="single" w:sz="4" w:space="0" w:color="auto"/>
            </w:tcBorders>
            <w:shd w:val="clear" w:color="FFFFCC" w:fill="FFFFFF"/>
            <w:vAlign w:val="center"/>
            <w:hideMark/>
          </w:tcPr>
          <w:p w14:paraId="79794F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3DFA65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1.25 %</w:t>
            </w:r>
          </w:p>
        </w:tc>
      </w:tr>
      <w:tr w:rsidR="009F2B65" w:rsidRPr="00285D58" w14:paraId="37415E6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711104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4DA56D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de las solicitudes de anomalías o incidentes en los Buses.</w:t>
            </w:r>
          </w:p>
        </w:tc>
      </w:tr>
      <w:tr w:rsidR="009F2B65" w:rsidRPr="00285D58" w14:paraId="46B36C62"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1CE698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34E91410"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C51CD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949A3A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Este indicador tiene por objetivo garantizar la atención de las solicitudes de anomalías o incidentes en los buses. </w:t>
            </w:r>
          </w:p>
          <w:p w14:paraId="391715C1"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 causa de un accidente circunstancial, uso inadecuado, la falta de mantenimiento preventivo, entre otros, se pueden presentar averías o fallas que conllevarán a la realización de labores de mantenimiento correctivo. </w:t>
            </w:r>
          </w:p>
          <w:p w14:paraId="45AA64C8"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mantenimiento correctivo considera trabajos de reparación de carácter puntual y están orientados a corregir averías o fallas que no permiten el funcionamiento de los buses en condiciones de seguridad, y funcionalidad esperados.</w:t>
            </w:r>
          </w:p>
        </w:tc>
      </w:tr>
      <w:tr w:rsidR="009F2B65" w:rsidRPr="00285D58" w14:paraId="39FDC07B"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CB3879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3E66C87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Cuando todas las solicitudes de incidentes registradas en el SIDIG sean atendidas en el plazo previsto se puntuará como 100; caso contrario, de no atender alguna solicitud de incidente en el plazo previsto se puntuará como 0.</w:t>
            </w:r>
          </w:p>
          <w:p w14:paraId="0826224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Si en el periodo de evaluación, no se registraron solicitudes de incidentes, se considerará un puntaje de 100.</w:t>
            </w:r>
          </w:p>
        </w:tc>
      </w:tr>
      <w:tr w:rsidR="009F2B65" w:rsidRPr="00285D58" w14:paraId="2002331D"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56CDFB7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735A4D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El Supervisor revisará la documentación registrada en el SIDIG respecto a solitudes de atención de incidentes, análisis de los casos registrados.</w:t>
            </w:r>
          </w:p>
        </w:tc>
      </w:tr>
      <w:tr w:rsidR="009F2B65" w:rsidRPr="00285D58" w14:paraId="23EEC757"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0F6F92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664CBE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Inspección visual aleatoria del Supervisor.</w:t>
            </w:r>
          </w:p>
        </w:tc>
      </w:tr>
      <w:tr w:rsidR="009F2B65" w:rsidRPr="00285D58" w14:paraId="7E40FFDF"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62227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41D0B1C7"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todas las solicitudes de atención de incidentes registradas en el SIDIG respecto a componentes de los teleféricos. </w:t>
            </w:r>
          </w:p>
        </w:tc>
      </w:tr>
      <w:tr w:rsidR="009F2B65" w:rsidRPr="00285D58" w14:paraId="116818AB"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A513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3DE57CB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r w:rsidRPr="00285D58">
              <w:rPr>
                <w:rFonts w:asciiTheme="minorHAnsi" w:eastAsia="Times New Roman" w:hAnsiTheme="minorHAnsi" w:cstheme="minorHAnsi"/>
                <w:sz w:val="16"/>
                <w:szCs w:val="16"/>
                <w:lang w:val="es-PE"/>
              </w:rPr>
              <w:br/>
              <w:t>- Reportes de solicitudes de servicio registrados en el SIDIG y su documentación.</w:t>
            </w:r>
          </w:p>
          <w:p w14:paraId="27EEDB8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 Reporte de inspección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p>
        </w:tc>
      </w:tr>
      <w:tr w:rsidR="009F2B65" w:rsidRPr="00285D58" w14:paraId="7296EC9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87170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68C8A7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8A8E64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3076B13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3000D1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020A5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D5351D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2DA4EAF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4787E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73C7536"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AD7E36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62E28A5"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5695D5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C6A9529"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3DA269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30686B5"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3E242FB0"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FE923B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E0B9A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6704018"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46550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E3871B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A05ECF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B57A9C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D1998C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04C95E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05FC8A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25A2304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A22B37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287D4BCE"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51EBFE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7B5526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379" w:type="dxa"/>
            <w:gridSpan w:val="3"/>
            <w:vMerge/>
            <w:tcBorders>
              <w:top w:val="nil"/>
              <w:left w:val="nil"/>
              <w:bottom w:val="single" w:sz="8" w:space="0" w:color="auto"/>
              <w:right w:val="single" w:sz="4" w:space="0" w:color="auto"/>
            </w:tcBorders>
            <w:vAlign w:val="center"/>
            <w:hideMark/>
          </w:tcPr>
          <w:p w14:paraId="6227B5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69D1EDB5" w14:textId="77777777" w:rsidR="009F2B65" w:rsidRPr="00285D58" w:rsidRDefault="009F2B65" w:rsidP="008D1FFF">
      <w:pPr>
        <w:spacing w:line="276" w:lineRule="auto"/>
        <w:rPr>
          <w:rFonts w:asciiTheme="minorHAnsi" w:hAnsiTheme="minorHAnsi" w:cstheme="minorHAnsi"/>
          <w:lang w:val="es-PE"/>
        </w:rPr>
      </w:pPr>
    </w:p>
    <w:p w14:paraId="35992AB9" w14:textId="77777777" w:rsidR="009F2B65" w:rsidRPr="00285D58" w:rsidRDefault="009F2B65" w:rsidP="008D1FFF">
      <w:pPr>
        <w:spacing w:line="276" w:lineRule="auto"/>
        <w:rPr>
          <w:rFonts w:asciiTheme="minorHAnsi" w:hAnsiTheme="minorHAnsi" w:cstheme="minorHAnsi"/>
          <w:lang w:val="es-PE"/>
        </w:rPr>
      </w:pPr>
    </w:p>
    <w:p w14:paraId="5008B93F" w14:textId="77777777" w:rsidR="009F2B65" w:rsidRPr="00285D58" w:rsidRDefault="009F2B65" w:rsidP="008D1FFF">
      <w:pPr>
        <w:spacing w:line="276" w:lineRule="auto"/>
        <w:rPr>
          <w:rFonts w:asciiTheme="minorHAnsi" w:hAnsiTheme="minorHAnsi" w:cstheme="minorHAnsi"/>
          <w:lang w:val="es-PE"/>
        </w:rPr>
      </w:pPr>
    </w:p>
    <w:p w14:paraId="11F639DD"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31" w:name="_Toc174098014"/>
      <w:bookmarkStart w:id="232" w:name="_Toc180162666"/>
      <w:bookmarkStart w:id="233" w:name="_Toc182582269"/>
      <w:r w:rsidRPr="00285D58">
        <w:rPr>
          <w:rFonts w:asciiTheme="minorHAnsi" w:hAnsiTheme="minorHAnsi" w:cstheme="minorHAnsi"/>
          <w:b/>
          <w:color w:val="1F4E79" w:themeColor="accent5" w:themeShade="80"/>
          <w:sz w:val="22"/>
          <w:szCs w:val="22"/>
          <w:lang w:val="es-PE"/>
        </w:rPr>
        <w:t>SERVICIO DE ASEO Y LIMPIEZA</w:t>
      </w:r>
      <w:bookmarkEnd w:id="231"/>
      <w:bookmarkEnd w:id="232"/>
      <w:bookmarkEnd w:id="233"/>
    </w:p>
    <w:p w14:paraId="2E1689C2"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3C7FDE9B"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31AFB35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6C526D6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08BBD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BF26FA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216" w:type="dxa"/>
            <w:tcBorders>
              <w:top w:val="nil"/>
              <w:left w:val="nil"/>
              <w:bottom w:val="single" w:sz="4" w:space="0" w:color="auto"/>
              <w:right w:val="single" w:sz="4" w:space="0" w:color="auto"/>
            </w:tcBorders>
            <w:shd w:val="clear" w:color="FFFFCC" w:fill="FFFFFF"/>
            <w:vAlign w:val="center"/>
            <w:hideMark/>
          </w:tcPr>
          <w:p w14:paraId="7EB25F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C11A7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6109FD87"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13BD4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F6146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AL.1</w:t>
            </w:r>
          </w:p>
        </w:tc>
        <w:tc>
          <w:tcPr>
            <w:tcW w:w="1216" w:type="dxa"/>
            <w:tcBorders>
              <w:top w:val="nil"/>
              <w:left w:val="nil"/>
              <w:bottom w:val="single" w:sz="4" w:space="0" w:color="auto"/>
              <w:right w:val="single" w:sz="4" w:space="0" w:color="auto"/>
            </w:tcBorders>
            <w:shd w:val="clear" w:color="FFFFCC" w:fill="FFFFFF"/>
            <w:vAlign w:val="center"/>
            <w:hideMark/>
          </w:tcPr>
          <w:p w14:paraId="31E5E2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B2622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0999122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7501B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749650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Cumplimiento de las Actividades de Aseo y Limpieza según frecuencia y procedimientos establecidos en el Plan Anual de Aseo y Limpieza.</w:t>
            </w:r>
          </w:p>
          <w:p w14:paraId="15B63196" w14:textId="77777777"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024081D0"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05905C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E06525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C0B11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56F03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los ambientes en las estaciones, cabinas y buses se encuentren limpios, ordenados y desinfectados.</w:t>
            </w:r>
          </w:p>
          <w:p w14:paraId="084945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CONCESIONARIO deberá presentar en el Plan Anual de Aseo y Limpieza que contenga el programa de las actividades de aseo y limpieza por ambientes, y componentes como cabinas y buses. </w:t>
            </w:r>
          </w:p>
        </w:tc>
      </w:tr>
      <w:tr w:rsidR="009F2B65" w:rsidRPr="00285D58" w14:paraId="2F4FEC32"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3926B5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332BB87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s-PE"/>
              </w:rPr>
              <mc:AlternateContent>
                <mc:Choice Requires="wps">
                  <w:drawing>
                    <wp:anchor distT="0" distB="0" distL="114300" distR="114300" simplePos="0" relativeHeight="251663872" behindDoc="0" locked="0" layoutInCell="1" allowOverlap="1" wp14:anchorId="7AAA547B" wp14:editId="7377DF67">
                      <wp:simplePos x="0" y="0"/>
                      <wp:positionH relativeFrom="column">
                        <wp:posOffset>121920</wp:posOffset>
                      </wp:positionH>
                      <wp:positionV relativeFrom="paragraph">
                        <wp:posOffset>-307975</wp:posOffset>
                      </wp:positionV>
                      <wp:extent cx="4171950" cy="323850"/>
                      <wp:effectExtent l="0" t="0" r="0" b="0"/>
                      <wp:wrapNone/>
                      <wp:docPr id="20" name="Cuadro de texto 20"/>
                      <wp:cNvGraphicFramePr/>
                      <a:graphic xmlns:a="http://schemas.openxmlformats.org/drawingml/2006/main">
                        <a:graphicData uri="http://schemas.microsoft.com/office/word/2010/wordprocessingShape">
                          <wps:wsp>
                            <wps:cNvSpPr txBox="1"/>
                            <wps:spPr>
                              <a:xfrm>
                                <a:off x="0" y="0"/>
                                <a:ext cx="4171950" cy="323850"/>
                              </a:xfrm>
                              <a:prstGeom prst="rect">
                                <a:avLst/>
                              </a:prstGeom>
                              <a:noFill/>
                              <a:ln>
                                <a:noFill/>
                              </a:ln>
                              <a:effectLst/>
                            </wps:spPr>
                            <wps:txbx>
                              <w:txbxContent>
                                <w:p w14:paraId="42B814E6" w14:textId="77777777" w:rsidR="00F237EF" w:rsidRPr="00FE6F70" w:rsidRDefault="00F237EF" w:rsidP="009F2B65">
                                  <w:pPr>
                                    <w:pStyle w:val="NormalWeb"/>
                                    <w:spacing w:before="0" w:beforeAutospacing="0" w:after="0" w:afterAutospacing="0"/>
                                    <w:rPr>
                                      <w:sz w:val="16"/>
                                      <w:szCs w:val="16"/>
                                    </w:rPr>
                                  </w:pPr>
                                  <m:oMathPara>
                                    <m:oMathParaPr>
                                      <m:jc m:val="centerGroup"/>
                                    </m:oMathParaPr>
                                    <m:oMath>
                                      <m:r>
                                        <w:rPr>
                                          <w:rFonts w:ascii="Cambria Math" w:hAnsi="Cambria Math"/>
                                          <w:color w:val="000000"/>
                                          <w:sz w:val="14"/>
                                          <w:szCs w:val="16"/>
                                        </w:rPr>
                                        <m:t>  </m:t>
                                      </m:r>
                                      <m:f>
                                        <m:fPr>
                                          <m:ctrlPr>
                                            <w:rPr>
                                              <w:rFonts w:ascii="Cambria Math" w:hAnsi="Cambria Math"/>
                                              <w:i/>
                                              <w:iCs/>
                                              <w:color w:val="000000"/>
                                              <w:sz w:val="14"/>
                                              <w:szCs w:val="16"/>
                                            </w:rPr>
                                          </m:ctrlPr>
                                        </m:fPr>
                                        <m:num>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que cumplen con los criterios de limpieza</m:t>
                                          </m:r>
                                        </m:num>
                                        <m:den>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para limpieza</m:t>
                                          </m:r>
                                        </m:den>
                                      </m:f>
                                      <m:r>
                                        <m:rPr>
                                          <m:sty m:val="p"/>
                                        </m:rPr>
                                        <w:rPr>
                                          <w:rFonts w:ascii="Cambria Math" w:hAnsi="Cambria Math"/>
                                          <w:color w:val="000000"/>
                                          <w:sz w:val="14"/>
                                          <w:szCs w:val="16"/>
                                        </w:rPr>
                                        <m:t xml:space="preserve"> x 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7AAA547B" id="Cuadro de texto 20" o:spid="_x0000_s1027" type="#_x0000_t202" style="position:absolute;margin-left:9.6pt;margin-top:-24.25pt;width:328.5pt;height:2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" filled="f" stroked="f">
                      <v:textbox style="mso-fit-shape-to-text:t" inset="0,0,0,0">
                        <w:txbxContent>
                          <w:p w14:paraId="42B814E6" w14:textId="77777777" w:rsidR="00F237EF" w:rsidRPr="00FE6F70" w:rsidRDefault="00F237EF" w:rsidP="009F2B65">
                            <w:pPr>
                              <w:pStyle w:val="NormalWeb"/>
                              <w:spacing w:before="0" w:beforeAutospacing="0" w:after="0" w:afterAutospacing="0"/>
                              <w:rPr>
                                <w:sz w:val="16"/>
                                <w:szCs w:val="16"/>
                              </w:rPr>
                            </w:pPr>
                            <m:oMathPara>
                              <m:oMathParaPr>
                                <m:jc m:val="centerGroup"/>
                              </m:oMathParaPr>
                              <m:oMath>
                                <m:r>
                                  <w:rPr>
                                    <w:rFonts w:ascii="Cambria Math" w:hAnsi="Cambria Math"/>
                                    <w:color w:val="000000"/>
                                    <w:sz w:val="14"/>
                                    <w:szCs w:val="16"/>
                                  </w:rPr>
                                  <m:t>  </m:t>
                                </m:r>
                                <m:f>
                                  <m:fPr>
                                    <m:ctrlPr>
                                      <w:rPr>
                                        <w:rFonts w:ascii="Cambria Math" w:hAnsi="Cambria Math"/>
                                        <w:i/>
                                        <w:iCs/>
                                        <w:color w:val="000000"/>
                                        <w:sz w:val="14"/>
                                        <w:szCs w:val="16"/>
                                      </w:rPr>
                                    </m:ctrlPr>
                                  </m:fPr>
                                  <m:num>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que cumplen con los criterios de limpieza</m:t>
                                    </m:r>
                                  </m:num>
                                  <m:den>
                                    <m:r>
                                      <w:rPr>
                                        <w:rFonts w:ascii="Cambria Math" w:hAnsi="Cambria Math"/>
                                        <w:color w:val="000000"/>
                                        <w:sz w:val="14"/>
                                        <w:szCs w:val="16"/>
                                      </w:rPr>
                                      <m:t>N</m:t>
                                    </m:r>
                                    <m:r>
                                      <w:rPr>
                                        <w:rFonts w:ascii="Cambria Math" w:hAnsi="+mn-ea" w:hint="eastAsia"/>
                                        <w:color w:val="000000"/>
                                        <w:sz w:val="14"/>
                                        <w:szCs w:val="16"/>
                                      </w:rPr>
                                      <m:t>°</m:t>
                                    </m:r>
                                    <m:r>
                                      <w:rPr>
                                        <w:rFonts w:ascii="Cambria Math" w:hAnsi="+mn-ea" w:hint="eastAsia"/>
                                        <w:color w:val="000000"/>
                                        <w:sz w:val="14"/>
                                        <w:szCs w:val="16"/>
                                      </w:rPr>
                                      <m:t> </m:t>
                                    </m:r>
                                    <m:r>
                                      <w:rPr>
                                        <w:rFonts w:ascii="Cambria Math" w:hAnsi="Cambria Math"/>
                                        <w:color w:val="000000"/>
                                        <w:sz w:val="14"/>
                                        <w:szCs w:val="16"/>
                                      </w:rPr>
                                      <m:t>de ambientes evaluados para limpieza</m:t>
                                    </m:r>
                                  </m:den>
                                </m:f>
                                <m:r>
                                  <m:rPr>
                                    <m:sty m:val="p"/>
                                  </m:rPr>
                                  <w:rPr>
                                    <w:rFonts w:ascii="Cambria Math" w:hAnsi="Cambria Math"/>
                                    <w:color w:val="000000"/>
                                    <w:sz w:val="14"/>
                                    <w:szCs w:val="16"/>
                                  </w:rPr>
                                  <m:t xml:space="preserve"> x 100</m:t>
                                </m:r>
                              </m:oMath>
                            </m:oMathPara>
                          </w:p>
                        </w:txbxContent>
                      </v:textbox>
                    </v:shape>
                  </w:pict>
                </mc:Fallback>
              </mc:AlternateContent>
            </w:r>
          </w:p>
        </w:tc>
      </w:tr>
      <w:tr w:rsidR="009F2B65" w:rsidRPr="00285D58" w14:paraId="36F05BD6"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2824FA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DABE80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Análisis de registros de las actividades de aseo y limpieza en el SIDIG, respecto a lo consignado en el Plan Anual de Aseo y Limpieza.</w:t>
            </w:r>
          </w:p>
        </w:tc>
      </w:tr>
      <w:tr w:rsidR="009F2B65" w:rsidRPr="00285D58" w14:paraId="0ED576B6"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3DFFE2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CA8010F" w14:textId="77777777" w:rsidR="009F2B65" w:rsidRPr="00285D58" w:rsidRDefault="009F2B65" w:rsidP="008D1FFF">
            <w:pPr>
              <w:spacing w:before="120"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El Supervisor realizará la verificación in situ, de manera aleatoria durante la semana, del estado de aseo y limpieza de los ambientes. </w:t>
            </w:r>
          </w:p>
          <w:p w14:paraId="743D59B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Tamaño de la muestra: El número de ambientes supervisados en cada medición será una muestra aleatoria de al menos el 25% del total de ambientes.</w:t>
            </w:r>
          </w:p>
          <w:p w14:paraId="70A897D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Además de los ambientes supervisados, el Supervisor verificará el estado de las cabinas y buses. </w:t>
            </w:r>
          </w:p>
        </w:tc>
      </w:tr>
      <w:tr w:rsidR="009F2B65" w:rsidRPr="00285D58" w14:paraId="7ECDF640"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E37DDB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04269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servicio de aseo y limpieza incluye todos los ambientes de las estaciones, el interior y exterior de las cabinas de los teleféricos y los buses. </w:t>
            </w:r>
          </w:p>
        </w:tc>
      </w:tr>
      <w:tr w:rsidR="009F2B65" w:rsidRPr="00285D58" w14:paraId="7B795ACA"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3E6CE23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22E763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Los Criterios de Aseo y Limpieza se muestran en el Apéndice 3 del presente anexo. </w:t>
            </w:r>
          </w:p>
        </w:tc>
      </w:tr>
      <w:tr w:rsidR="009F2B65" w:rsidRPr="00285D58" w14:paraId="3702C8D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99CF6A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5B088C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07C98E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3F6BA28"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0E06B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95579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84D2E5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95</w:t>
            </w:r>
          </w:p>
        </w:tc>
      </w:tr>
      <w:tr w:rsidR="009F2B65" w:rsidRPr="00285D58" w14:paraId="19EA8F35"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3B507D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B2A6B29"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684AE9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E5AD818"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55DE65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5EDB89E"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E2102E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379779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41B0FFC"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BD05A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324C1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3 horas</w:t>
            </w:r>
          </w:p>
        </w:tc>
      </w:tr>
      <w:tr w:rsidR="009F2B65" w:rsidRPr="00285D58" w14:paraId="314DACA7"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D41126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346C14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3B3E32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BE55B0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8E13B7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BE067F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71D562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1B7F2F6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94A20F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9236B51"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B00874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3E51A8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tcBorders>
              <w:top w:val="nil"/>
              <w:left w:val="nil"/>
              <w:bottom w:val="single" w:sz="8" w:space="0" w:color="auto"/>
              <w:right w:val="single" w:sz="4" w:space="0" w:color="auto"/>
            </w:tcBorders>
            <w:vAlign w:val="center"/>
            <w:hideMark/>
          </w:tcPr>
          <w:p w14:paraId="5DB523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2ED8C7E3" w14:textId="77777777" w:rsidR="009F2B65" w:rsidRPr="00285D58" w:rsidRDefault="009F2B65" w:rsidP="008D1FFF">
      <w:pPr>
        <w:spacing w:line="276" w:lineRule="auto"/>
        <w:rPr>
          <w:rFonts w:asciiTheme="minorHAnsi" w:hAnsiTheme="minorHAnsi" w:cstheme="minorHAnsi"/>
          <w:lang w:val="es-PE"/>
        </w:rPr>
      </w:pPr>
    </w:p>
    <w:p w14:paraId="4D79118D" w14:textId="77777777" w:rsidR="009F2B65" w:rsidRPr="00285D58" w:rsidRDefault="009F2B65" w:rsidP="008D1FFF">
      <w:pPr>
        <w:spacing w:line="276" w:lineRule="auto"/>
        <w:rPr>
          <w:rFonts w:asciiTheme="minorHAnsi" w:hAnsiTheme="minorHAnsi" w:cstheme="minorHAnsi"/>
          <w:lang w:val="es-PE"/>
        </w:rPr>
      </w:pPr>
    </w:p>
    <w:p w14:paraId="38A33001" w14:textId="77777777" w:rsidR="009F2B65" w:rsidRPr="00285D58" w:rsidRDefault="009F2B65" w:rsidP="008D1FFF">
      <w:pPr>
        <w:spacing w:line="276" w:lineRule="auto"/>
        <w:rPr>
          <w:rFonts w:asciiTheme="minorHAnsi" w:hAnsiTheme="minorHAnsi" w:cstheme="minorHAnsi"/>
          <w:lang w:val="es-PE"/>
        </w:rPr>
      </w:pPr>
    </w:p>
    <w:tbl>
      <w:tblPr>
        <w:tblW w:w="8906" w:type="dxa"/>
        <w:jc w:val="center"/>
        <w:tblCellMar>
          <w:left w:w="70" w:type="dxa"/>
          <w:right w:w="70" w:type="dxa"/>
        </w:tblCellMar>
        <w:tblLook w:val="04A0" w:firstRow="1" w:lastRow="0" w:firstColumn="1" w:lastColumn="0" w:noHBand="0" w:noVBand="1"/>
      </w:tblPr>
      <w:tblGrid>
        <w:gridCol w:w="1266"/>
        <w:gridCol w:w="764"/>
        <w:gridCol w:w="2445"/>
        <w:gridCol w:w="1311"/>
        <w:gridCol w:w="3120"/>
      </w:tblGrid>
      <w:tr w:rsidR="009F2B65" w:rsidRPr="00285D58" w14:paraId="1F9AA9D9" w14:textId="77777777" w:rsidTr="00242093">
        <w:trPr>
          <w:trHeight w:val="209"/>
          <w:jc w:val="center"/>
        </w:trPr>
        <w:tc>
          <w:tcPr>
            <w:tcW w:w="8906"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77571C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52D0092"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B72B96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09" w:type="dxa"/>
            <w:gridSpan w:val="2"/>
            <w:tcBorders>
              <w:top w:val="single" w:sz="4" w:space="0" w:color="auto"/>
              <w:left w:val="nil"/>
              <w:bottom w:val="single" w:sz="4" w:space="0" w:color="auto"/>
              <w:right w:val="single" w:sz="4" w:space="0" w:color="auto"/>
            </w:tcBorders>
            <w:shd w:val="clear" w:color="FFFFCC" w:fill="FFFFFF"/>
            <w:vAlign w:val="center"/>
            <w:hideMark/>
          </w:tcPr>
          <w:p w14:paraId="4B3FA0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1" w:type="dxa"/>
            <w:tcBorders>
              <w:top w:val="nil"/>
              <w:left w:val="nil"/>
              <w:bottom w:val="single" w:sz="4" w:space="0" w:color="auto"/>
              <w:right w:val="single" w:sz="4" w:space="0" w:color="auto"/>
            </w:tcBorders>
            <w:shd w:val="clear" w:color="FFFFCC" w:fill="FFFFFF"/>
            <w:vAlign w:val="center"/>
            <w:hideMark/>
          </w:tcPr>
          <w:p w14:paraId="630B7F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20" w:type="dxa"/>
            <w:tcBorders>
              <w:top w:val="single" w:sz="4" w:space="0" w:color="000000"/>
              <w:left w:val="nil"/>
              <w:bottom w:val="nil"/>
              <w:right w:val="single" w:sz="8" w:space="0" w:color="000000"/>
            </w:tcBorders>
            <w:shd w:val="clear" w:color="FFFFCC" w:fill="FFFFFF"/>
            <w:vAlign w:val="center"/>
            <w:hideMark/>
          </w:tcPr>
          <w:p w14:paraId="4B3682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E1992AE"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7B9D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09"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3450E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AL.2</w:t>
            </w:r>
          </w:p>
        </w:tc>
        <w:tc>
          <w:tcPr>
            <w:tcW w:w="1311" w:type="dxa"/>
            <w:tcBorders>
              <w:top w:val="nil"/>
              <w:left w:val="nil"/>
              <w:bottom w:val="single" w:sz="4" w:space="0" w:color="auto"/>
              <w:right w:val="single" w:sz="4" w:space="0" w:color="auto"/>
            </w:tcBorders>
            <w:shd w:val="clear" w:color="FFFFCC" w:fill="FFFFFF"/>
            <w:vAlign w:val="center"/>
            <w:hideMark/>
          </w:tcPr>
          <w:p w14:paraId="6B58C4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20" w:type="dxa"/>
            <w:tcBorders>
              <w:top w:val="single" w:sz="4" w:space="0" w:color="auto"/>
              <w:left w:val="nil"/>
              <w:bottom w:val="single" w:sz="4" w:space="0" w:color="auto"/>
              <w:right w:val="single" w:sz="8" w:space="0" w:color="000000"/>
            </w:tcBorders>
            <w:shd w:val="clear" w:color="FFFFCC" w:fill="FFFFFF"/>
            <w:vAlign w:val="center"/>
            <w:hideMark/>
          </w:tcPr>
          <w:p w14:paraId="4765F9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527BB9DF"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61CEE4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40" w:type="dxa"/>
            <w:gridSpan w:val="4"/>
            <w:tcBorders>
              <w:top w:val="single" w:sz="4" w:space="0" w:color="auto"/>
              <w:left w:val="nil"/>
              <w:bottom w:val="single" w:sz="4" w:space="0" w:color="auto"/>
              <w:right w:val="single" w:sz="8" w:space="0" w:color="000000"/>
            </w:tcBorders>
            <w:shd w:val="clear" w:color="auto" w:fill="auto"/>
            <w:vAlign w:val="center"/>
            <w:hideMark/>
          </w:tcPr>
          <w:p w14:paraId="3EEE2E8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eastAsia="it-IT"/>
              </w:rPr>
              <w:t>Cumplimiento de la gestión de residuos sólidos de acuerdo a la normativa vigente aplicable.</w:t>
            </w:r>
          </w:p>
        </w:tc>
      </w:tr>
      <w:tr w:rsidR="009F2B65" w:rsidRPr="00285D58" w14:paraId="7DFDCD23" w14:textId="77777777" w:rsidTr="00242093">
        <w:trPr>
          <w:trHeight w:val="360"/>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F968F2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4B3A5A2"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CB3A4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62ACA64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los procesos para la gestión de residuos sólidos se realicen en cumplimiento con la normativa vigente aplicable y en aplicación de los protocolos y procedimientos aprobados en Plan Anual de Aseo y Limpieza. </w:t>
            </w:r>
          </w:p>
          <w:p w14:paraId="1473202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control de los residuos generados en estaciones, cabinas y buses tiene como fin de reducir sus efectos sobre la salud y el medio ambiente.</w:t>
            </w:r>
          </w:p>
          <w:p w14:paraId="1FA41F8D" w14:textId="77777777" w:rsidR="009F2B65" w:rsidRPr="00285D58" w:rsidRDefault="009F2B65" w:rsidP="008D1FFF">
            <w:pPr>
              <w:spacing w:line="276" w:lineRule="auto"/>
              <w:rPr>
                <w:rFonts w:asciiTheme="minorHAnsi" w:eastAsia="Times New Roman" w:hAnsiTheme="minorHAnsi" w:cstheme="minorHAnsi"/>
                <w:sz w:val="8"/>
                <w:szCs w:val="8"/>
                <w:lang w:val="es-PE"/>
              </w:rPr>
            </w:pPr>
          </w:p>
          <w:p w14:paraId="765B3957" w14:textId="77777777"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0D7BD368"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E608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640" w:type="dxa"/>
            <w:gridSpan w:val="4"/>
            <w:tcBorders>
              <w:top w:val="nil"/>
              <w:left w:val="nil"/>
              <w:bottom w:val="nil"/>
              <w:right w:val="single" w:sz="8" w:space="0" w:color="000000"/>
            </w:tcBorders>
            <w:shd w:val="clear" w:color="auto" w:fill="auto"/>
            <w:noWrap/>
            <w:vAlign w:val="bottom"/>
            <w:hideMark/>
          </w:tcPr>
          <w:p w14:paraId="05DD1503" w14:textId="77777777" w:rsidR="009F2B65" w:rsidRPr="00285D58" w:rsidRDefault="0000000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N° de actividades de gestión de resiudos que cumplen con la normativa vigente</m:t>
                    </m:r>
                  </m:num>
                  <m:den>
                    <m:r>
                      <w:rPr>
                        <w:rFonts w:ascii="Cambria Math" w:eastAsia="Times New Roman" w:hAnsi="Cambria Math" w:cstheme="minorHAnsi"/>
                        <w:sz w:val="16"/>
                        <w:szCs w:val="16"/>
                        <w:lang w:val="es-PE"/>
                      </w:rPr>
                      <m:t>N° total de actividades de gestión de residuos</m:t>
                    </m:r>
                  </m:den>
                </m:f>
                <m:r>
                  <w:rPr>
                    <w:rFonts w:ascii="Cambria Math" w:eastAsia="Times New Roman" w:hAnsi="Cambria Math" w:cstheme="minorHAnsi"/>
                    <w:sz w:val="16"/>
                    <w:szCs w:val="16"/>
                    <w:lang w:val="es-PE"/>
                  </w:rPr>
                  <m:t>x 100</m:t>
                </m:r>
              </m:oMath>
            </m:oMathPara>
          </w:p>
        </w:tc>
      </w:tr>
      <w:tr w:rsidR="009F2B65" w:rsidRPr="00285D58" w14:paraId="1F1DE979"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626A02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17FEA57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 la documentación que debe realizar el CONCESIONARIO de acuerdo a la normativa vigente aplicable, deberá estar siempre actualizada.</w:t>
            </w:r>
          </w:p>
        </w:tc>
      </w:tr>
      <w:tr w:rsidR="009F2B65" w:rsidRPr="00285D58" w14:paraId="4032EDCF"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59927F6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642D7D7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El Supervisor realizará la verificación in situ, de manera aleatoria durante el mes, de la ejecución de las actividades programadas para la adecuada gestión de residuos.</w:t>
            </w:r>
          </w:p>
        </w:tc>
      </w:tr>
      <w:tr w:rsidR="009F2B65" w:rsidRPr="00285D58" w14:paraId="127A14A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CDA05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40" w:type="dxa"/>
            <w:gridSpan w:val="4"/>
            <w:tcBorders>
              <w:top w:val="single" w:sz="4" w:space="0" w:color="auto"/>
              <w:left w:val="nil"/>
              <w:bottom w:val="single" w:sz="4" w:space="0" w:color="auto"/>
              <w:right w:val="single" w:sz="8" w:space="0" w:color="000000"/>
            </w:tcBorders>
            <w:shd w:val="clear" w:color="FFFFCC" w:fill="FFFFFF"/>
            <w:vAlign w:val="center"/>
            <w:hideMark/>
          </w:tcPr>
          <w:p w14:paraId="530472A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del indicador aplica a los procesos de gestión de residuo solidos en las estaciones, cabinas y buses.</w:t>
            </w:r>
          </w:p>
          <w:p w14:paraId="6CB011A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servicio de manejo de residuos sólidos debe cumplir con la siguiente normativa y sus actualizaciones:</w:t>
            </w:r>
          </w:p>
          <w:p w14:paraId="39A29727"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Ley de Gestión integral de Residuos Sólidos, aprobado por Decreto Legislativo N° 1218 y su reglamento.</w:t>
            </w:r>
          </w:p>
          <w:p w14:paraId="2D8D7854"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Gestión de Residuos Peligrosos en el Perú. DIGESA.</w:t>
            </w:r>
          </w:p>
          <w:p w14:paraId="274DFB18" w14:textId="77777777" w:rsidR="009F2B65" w:rsidRPr="00285D58" w:rsidRDefault="009F2B65" w:rsidP="00A3732C">
            <w:pPr>
              <w:widowControl/>
              <w:numPr>
                <w:ilvl w:val="0"/>
                <w:numId w:val="253"/>
              </w:numPr>
              <w:spacing w:line="276" w:lineRule="auto"/>
              <w:ind w:left="74" w:hanging="74"/>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Resolución N° 027-2013/SBN: Directiva N° 003-2013/SBN, que aprueba el Procedimiento para la gestión adecuada de los bienes muebles estatales calificados como residuos de aparatos eléctricos y electrónicos – RAEE.</w:t>
            </w:r>
          </w:p>
          <w:p w14:paraId="75A6939E"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Norma Técnica Peruana de Colores. NTP 900.058.2019.</w:t>
            </w:r>
          </w:p>
        </w:tc>
      </w:tr>
      <w:tr w:rsidR="009F2B65" w:rsidRPr="00285D58" w14:paraId="5F213643" w14:textId="77777777" w:rsidTr="00242093">
        <w:trPr>
          <w:trHeight w:val="1560"/>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7078097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640" w:type="dxa"/>
            <w:gridSpan w:val="4"/>
            <w:tcBorders>
              <w:top w:val="single" w:sz="4" w:space="0" w:color="auto"/>
              <w:left w:val="nil"/>
              <w:bottom w:val="single" w:sz="4" w:space="0" w:color="auto"/>
              <w:right w:val="single" w:sz="8" w:space="0" w:color="000000"/>
            </w:tcBorders>
            <w:shd w:val="clear" w:color="auto" w:fill="auto"/>
            <w:vAlign w:val="center"/>
          </w:tcPr>
          <w:p w14:paraId="4810D5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Ante parámetros que difieran de los contractuales, prevalecen los de mayor calidad o mayor exigencia para la medición del indicador.</w:t>
            </w:r>
          </w:p>
          <w:p w14:paraId="48E242F6" w14:textId="77777777" w:rsidR="009F2B65" w:rsidRPr="00285D58" w:rsidRDefault="009F2B65" w:rsidP="008D1FFF">
            <w:pPr>
              <w:spacing w:line="276" w:lineRule="auto"/>
              <w:ind w:left="211"/>
              <w:contextualSpacing/>
              <w:rPr>
                <w:rFonts w:asciiTheme="minorHAnsi" w:eastAsia="Times New Roman" w:hAnsiTheme="minorHAnsi" w:cstheme="minorHAnsi"/>
                <w:sz w:val="16"/>
                <w:szCs w:val="16"/>
                <w:lang w:val="es-PE"/>
              </w:rPr>
            </w:pPr>
          </w:p>
          <w:p w14:paraId="2B2FAD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documentación:</w:t>
            </w:r>
            <w:r w:rsidRPr="00285D58">
              <w:rPr>
                <w:rFonts w:asciiTheme="minorHAnsi" w:eastAsia="Times New Roman" w:hAnsiTheme="minorHAnsi" w:cstheme="minorHAnsi"/>
                <w:sz w:val="16"/>
                <w:szCs w:val="16"/>
                <w:lang w:val="es-PE"/>
              </w:rPr>
              <w:br/>
              <w:t>- Plan Anual de Aseo y Limpieza del CONCESIONARIO.</w:t>
            </w:r>
            <w:r w:rsidRPr="00285D58">
              <w:rPr>
                <w:rFonts w:asciiTheme="minorHAnsi" w:eastAsia="Times New Roman" w:hAnsiTheme="minorHAnsi" w:cstheme="minorHAnsi"/>
                <w:sz w:val="16"/>
                <w:szCs w:val="16"/>
                <w:lang w:val="es-PE"/>
              </w:rPr>
              <w:br/>
              <w:t xml:space="preserve">- Programación de actividades, registrados según fecha y hora por el CONCESIONARIO en el SIDIG. </w:t>
            </w:r>
            <w:r w:rsidRPr="00285D58">
              <w:rPr>
                <w:rFonts w:asciiTheme="minorHAnsi" w:eastAsia="Times New Roman" w:hAnsiTheme="minorHAnsi" w:cstheme="minorHAnsi"/>
                <w:sz w:val="16"/>
                <w:szCs w:val="16"/>
                <w:lang w:val="es-PE"/>
              </w:rPr>
              <w:br/>
              <w:t>- Documentos de gestión de residuos, elaborados por el CONCESIONARIO y registrados en el SIDIG.</w:t>
            </w:r>
          </w:p>
        </w:tc>
      </w:tr>
      <w:tr w:rsidR="009F2B65" w:rsidRPr="00285D58" w14:paraId="6A1920A7"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82B8BD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09" w:type="dxa"/>
            <w:gridSpan w:val="2"/>
            <w:tcBorders>
              <w:top w:val="single" w:sz="4" w:space="0" w:color="auto"/>
              <w:left w:val="nil"/>
              <w:bottom w:val="single" w:sz="4" w:space="0" w:color="auto"/>
              <w:right w:val="single" w:sz="4" w:space="0" w:color="auto"/>
            </w:tcBorders>
            <w:shd w:val="clear" w:color="CCCCFF" w:fill="5B9BD5"/>
            <w:vAlign w:val="center"/>
            <w:hideMark/>
          </w:tcPr>
          <w:p w14:paraId="59A0BFB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31" w:type="dxa"/>
            <w:gridSpan w:val="2"/>
            <w:tcBorders>
              <w:top w:val="single" w:sz="4" w:space="0" w:color="auto"/>
              <w:left w:val="nil"/>
              <w:bottom w:val="single" w:sz="4" w:space="0" w:color="auto"/>
              <w:right w:val="single" w:sz="8" w:space="0" w:color="000000"/>
            </w:tcBorders>
            <w:shd w:val="clear" w:color="CCCCFF" w:fill="5B9BD5"/>
            <w:vAlign w:val="center"/>
            <w:hideMark/>
          </w:tcPr>
          <w:p w14:paraId="06E714E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A943043"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1069ED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09"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08F88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3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132F2A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5AE43E77" w14:textId="77777777" w:rsidTr="00242093">
        <w:trPr>
          <w:trHeight w:val="255"/>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20C3F4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23F047CD" w14:textId="77777777" w:rsidTr="00242093">
        <w:trPr>
          <w:trHeight w:val="296"/>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013D3393"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1B51C67" w14:textId="77777777" w:rsidTr="00242093">
        <w:trPr>
          <w:trHeight w:val="276"/>
          <w:jc w:val="center"/>
        </w:trPr>
        <w:tc>
          <w:tcPr>
            <w:tcW w:w="8906"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3FF3C3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5C5CD18" w14:textId="77777777" w:rsidTr="00242093">
        <w:trPr>
          <w:trHeight w:val="255"/>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C0F492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876" w:type="dxa"/>
            <w:gridSpan w:val="3"/>
            <w:tcBorders>
              <w:top w:val="single" w:sz="4" w:space="0" w:color="auto"/>
              <w:left w:val="nil"/>
              <w:bottom w:val="single" w:sz="4" w:space="0" w:color="auto"/>
              <w:right w:val="single" w:sz="8" w:space="0" w:color="000000"/>
            </w:tcBorders>
            <w:shd w:val="clear" w:color="auto" w:fill="auto"/>
            <w:vAlign w:val="center"/>
            <w:hideMark/>
          </w:tcPr>
          <w:p w14:paraId="117522D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7E03977" w14:textId="77777777" w:rsidTr="00242093">
        <w:trPr>
          <w:trHeight w:val="300"/>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05A06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876"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8C20F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1 hora</w:t>
            </w:r>
          </w:p>
        </w:tc>
      </w:tr>
      <w:tr w:rsidR="009F2B65" w:rsidRPr="00285D58" w14:paraId="6CCAEB6D" w14:textId="77777777" w:rsidTr="00242093">
        <w:trPr>
          <w:trHeight w:val="276"/>
          <w:jc w:val="center"/>
        </w:trPr>
        <w:tc>
          <w:tcPr>
            <w:tcW w:w="203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00946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876" w:type="dxa"/>
            <w:gridSpan w:val="3"/>
            <w:vMerge/>
            <w:tcBorders>
              <w:top w:val="single" w:sz="4" w:space="0" w:color="auto"/>
              <w:left w:val="single" w:sz="4" w:space="0" w:color="auto"/>
              <w:bottom w:val="single" w:sz="4" w:space="0" w:color="000000"/>
              <w:right w:val="single" w:sz="8" w:space="0" w:color="000000"/>
            </w:tcBorders>
            <w:vAlign w:val="center"/>
            <w:hideMark/>
          </w:tcPr>
          <w:p w14:paraId="3EF58A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6C969F8" w14:textId="77777777" w:rsidTr="00242093">
        <w:trPr>
          <w:trHeight w:val="276"/>
          <w:jc w:val="center"/>
        </w:trPr>
        <w:tc>
          <w:tcPr>
            <w:tcW w:w="203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FB6B14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876" w:type="dxa"/>
            <w:gridSpan w:val="3"/>
            <w:tcBorders>
              <w:top w:val="single" w:sz="4" w:space="0" w:color="auto"/>
              <w:left w:val="nil"/>
              <w:bottom w:val="single" w:sz="4" w:space="0" w:color="auto"/>
              <w:right w:val="single" w:sz="8" w:space="0" w:color="000000"/>
            </w:tcBorders>
            <w:shd w:val="clear" w:color="auto" w:fill="auto"/>
            <w:vAlign w:val="center"/>
            <w:hideMark/>
          </w:tcPr>
          <w:p w14:paraId="5EBBD43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942F90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7F3321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64" w:type="dxa"/>
            <w:tcBorders>
              <w:top w:val="nil"/>
              <w:left w:val="nil"/>
              <w:bottom w:val="single" w:sz="4" w:space="0" w:color="auto"/>
              <w:right w:val="single" w:sz="4" w:space="0" w:color="auto"/>
            </w:tcBorders>
            <w:shd w:val="clear" w:color="FFFFCC" w:fill="FFFFFF"/>
            <w:noWrap/>
            <w:vAlign w:val="center"/>
            <w:hideMark/>
          </w:tcPr>
          <w:p w14:paraId="27D4DA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876"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BD79A3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E7CB2A2"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95785D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64" w:type="dxa"/>
            <w:tcBorders>
              <w:top w:val="nil"/>
              <w:left w:val="nil"/>
              <w:bottom w:val="single" w:sz="8" w:space="0" w:color="auto"/>
              <w:right w:val="single" w:sz="4" w:space="0" w:color="auto"/>
            </w:tcBorders>
            <w:shd w:val="clear" w:color="FFFFCC" w:fill="FFFFFF"/>
            <w:noWrap/>
            <w:vAlign w:val="center"/>
            <w:hideMark/>
          </w:tcPr>
          <w:p w14:paraId="5DB640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876" w:type="dxa"/>
            <w:gridSpan w:val="3"/>
            <w:vMerge/>
            <w:tcBorders>
              <w:top w:val="nil"/>
              <w:left w:val="nil"/>
              <w:bottom w:val="single" w:sz="8" w:space="0" w:color="auto"/>
              <w:right w:val="single" w:sz="4" w:space="0" w:color="auto"/>
            </w:tcBorders>
            <w:vAlign w:val="center"/>
            <w:hideMark/>
          </w:tcPr>
          <w:p w14:paraId="33E2CA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0DDAE12" w14:textId="77777777" w:rsidR="009F2B65" w:rsidRPr="00285D58" w:rsidRDefault="009F2B65" w:rsidP="008D1FFF">
      <w:pPr>
        <w:spacing w:line="276" w:lineRule="auto"/>
        <w:rPr>
          <w:rFonts w:asciiTheme="minorHAnsi" w:hAnsiTheme="minorHAnsi" w:cstheme="minorHAnsi"/>
          <w:lang w:val="es-PE"/>
        </w:rPr>
      </w:pPr>
    </w:p>
    <w:p w14:paraId="436BAB60" w14:textId="77777777" w:rsidR="009F2B65" w:rsidRPr="00285D58" w:rsidRDefault="009F2B65" w:rsidP="008D1FFF">
      <w:pPr>
        <w:spacing w:line="276" w:lineRule="auto"/>
        <w:rPr>
          <w:rFonts w:asciiTheme="minorHAnsi" w:hAnsiTheme="minorHAnsi" w:cstheme="minorHAnsi"/>
          <w:lang w:val="es-PE"/>
        </w:rPr>
      </w:pPr>
    </w:p>
    <w:p w14:paraId="149A5C9E" w14:textId="77777777" w:rsidR="009F2B65" w:rsidRPr="00285D58" w:rsidRDefault="009F2B65" w:rsidP="008D1FFF">
      <w:pPr>
        <w:spacing w:line="276" w:lineRule="auto"/>
        <w:rPr>
          <w:rFonts w:asciiTheme="minorHAnsi" w:hAnsiTheme="minorHAnsi" w:cstheme="minorHAnsi"/>
          <w:lang w:val="es-PE"/>
        </w:rPr>
      </w:pPr>
    </w:p>
    <w:p w14:paraId="00DFCB9B" w14:textId="77777777" w:rsidR="009F2B65" w:rsidRPr="00285D58" w:rsidRDefault="009F2B65" w:rsidP="008D1FFF">
      <w:pPr>
        <w:spacing w:line="276" w:lineRule="auto"/>
        <w:rPr>
          <w:rFonts w:asciiTheme="minorHAnsi" w:hAnsiTheme="minorHAnsi" w:cstheme="minorHAnsi"/>
          <w:lang w:val="es-PE"/>
        </w:rPr>
      </w:pPr>
    </w:p>
    <w:tbl>
      <w:tblPr>
        <w:tblW w:w="8937" w:type="dxa"/>
        <w:jc w:val="center"/>
        <w:tblCellMar>
          <w:left w:w="70" w:type="dxa"/>
          <w:right w:w="70" w:type="dxa"/>
        </w:tblCellMar>
        <w:tblLook w:val="04A0" w:firstRow="1" w:lastRow="0" w:firstColumn="1" w:lastColumn="0" w:noHBand="0" w:noVBand="1"/>
      </w:tblPr>
      <w:tblGrid>
        <w:gridCol w:w="1266"/>
        <w:gridCol w:w="767"/>
        <w:gridCol w:w="2455"/>
        <w:gridCol w:w="1316"/>
        <w:gridCol w:w="3133"/>
      </w:tblGrid>
      <w:tr w:rsidR="009F2B65" w:rsidRPr="00285D58" w14:paraId="2840C09C" w14:textId="77777777" w:rsidTr="00242093">
        <w:trPr>
          <w:trHeight w:val="209"/>
          <w:jc w:val="center"/>
        </w:trPr>
        <w:tc>
          <w:tcPr>
            <w:tcW w:w="8937"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492A13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2CE4E1A"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729F40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22" w:type="dxa"/>
            <w:gridSpan w:val="2"/>
            <w:tcBorders>
              <w:top w:val="single" w:sz="4" w:space="0" w:color="auto"/>
              <w:left w:val="nil"/>
              <w:bottom w:val="single" w:sz="4" w:space="0" w:color="auto"/>
              <w:right w:val="single" w:sz="4" w:space="0" w:color="auto"/>
            </w:tcBorders>
            <w:shd w:val="clear" w:color="FFFFCC" w:fill="FFFFFF"/>
            <w:vAlign w:val="center"/>
            <w:hideMark/>
          </w:tcPr>
          <w:p w14:paraId="7F83A07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6" w:type="dxa"/>
            <w:tcBorders>
              <w:top w:val="nil"/>
              <w:left w:val="nil"/>
              <w:bottom w:val="single" w:sz="4" w:space="0" w:color="auto"/>
              <w:right w:val="single" w:sz="4" w:space="0" w:color="auto"/>
            </w:tcBorders>
            <w:shd w:val="clear" w:color="FFFFCC" w:fill="FFFFFF"/>
            <w:vAlign w:val="center"/>
            <w:hideMark/>
          </w:tcPr>
          <w:p w14:paraId="77AF2D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3" w:type="dxa"/>
            <w:tcBorders>
              <w:top w:val="single" w:sz="4" w:space="0" w:color="000000"/>
              <w:left w:val="nil"/>
              <w:bottom w:val="nil"/>
              <w:right w:val="single" w:sz="8" w:space="0" w:color="000000"/>
            </w:tcBorders>
            <w:shd w:val="clear" w:color="FFFFCC" w:fill="FFFFFF"/>
            <w:vAlign w:val="center"/>
            <w:hideMark/>
          </w:tcPr>
          <w:p w14:paraId="1663EE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767FC44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F9704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22"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F91A0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AL.3</w:t>
            </w:r>
          </w:p>
        </w:tc>
        <w:tc>
          <w:tcPr>
            <w:tcW w:w="1316" w:type="dxa"/>
            <w:tcBorders>
              <w:top w:val="nil"/>
              <w:left w:val="nil"/>
              <w:bottom w:val="single" w:sz="4" w:space="0" w:color="auto"/>
              <w:right w:val="single" w:sz="4" w:space="0" w:color="auto"/>
            </w:tcBorders>
            <w:shd w:val="clear" w:color="FFFFCC" w:fill="FFFFFF"/>
            <w:vAlign w:val="center"/>
            <w:hideMark/>
          </w:tcPr>
          <w:p w14:paraId="00BF16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3" w:type="dxa"/>
            <w:tcBorders>
              <w:top w:val="single" w:sz="4" w:space="0" w:color="auto"/>
              <w:left w:val="nil"/>
              <w:bottom w:val="single" w:sz="4" w:space="0" w:color="auto"/>
              <w:right w:val="single" w:sz="8" w:space="0" w:color="000000"/>
            </w:tcBorders>
            <w:shd w:val="clear" w:color="FFFFCC" w:fill="FFFFFF"/>
            <w:vAlign w:val="center"/>
            <w:hideMark/>
          </w:tcPr>
          <w:p w14:paraId="3DDA30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05BA80B6"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E99831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71" w:type="dxa"/>
            <w:gridSpan w:val="4"/>
            <w:tcBorders>
              <w:top w:val="single" w:sz="4" w:space="0" w:color="auto"/>
              <w:left w:val="nil"/>
              <w:bottom w:val="single" w:sz="4" w:space="0" w:color="auto"/>
              <w:right w:val="single" w:sz="8" w:space="0" w:color="000000"/>
            </w:tcBorders>
            <w:shd w:val="clear" w:color="auto" w:fill="auto"/>
            <w:vAlign w:val="center"/>
            <w:hideMark/>
          </w:tcPr>
          <w:p w14:paraId="024755F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Cumplimiento del control de plagas de acuerdo a la normativa vigente aplicable.</w:t>
            </w:r>
          </w:p>
        </w:tc>
      </w:tr>
      <w:tr w:rsidR="009F2B65" w:rsidRPr="00285D58" w14:paraId="19F4C936" w14:textId="77777777" w:rsidTr="00242093">
        <w:trPr>
          <w:trHeight w:val="360"/>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EE889A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F23509D"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ED7DE1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1A70823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las actividades de control de plagas en los ambientes de las estaciones se realicen de acuerdo a lo programado y en cumplimiento con la normativa vigente aplicable.</w:t>
            </w:r>
          </w:p>
          <w:p w14:paraId="6940014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control de plagas en los ambientes de las estaciones se realiza con el fin de evitar o eliminar las condiciones que favorezcan la proliferación de microorganismos, insectos u otra fauna transmisora de enfermedades para las personas.</w:t>
            </w:r>
          </w:p>
          <w:p w14:paraId="577DA1F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Supervisor deberá verificar que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cuente con los certificados de saneamiento ambiental vigentes otorgados por una empresa autorizada por DIGESA que demuestren el cumplimiento de las actividades preventivas programadas. Además, deberá verificar que los trabajos de saneamiento ambiental se realicen en cumplimiento con la normativa vigente aplicable:</w:t>
            </w:r>
          </w:p>
          <w:p w14:paraId="09BC2C4C"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Preparación del local.</w:t>
            </w:r>
          </w:p>
          <w:p w14:paraId="12FC1ABB"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Aplicación de sustancias químicas autorizadas en función del volumen del espacio y según las indicaciones del fabricante.</w:t>
            </w:r>
          </w:p>
          <w:p w14:paraId="6C9A3778"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Implementación de medidas de seguridad.</w:t>
            </w:r>
          </w:p>
          <w:p w14:paraId="734EF7FE" w14:textId="77777777" w:rsidR="009F2B65" w:rsidRPr="00285D58" w:rsidRDefault="009F2B65" w:rsidP="00A3732C">
            <w:pPr>
              <w:widowControl/>
              <w:numPr>
                <w:ilvl w:val="0"/>
                <w:numId w:val="254"/>
              </w:numPr>
              <w:spacing w:line="276" w:lineRule="auto"/>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Limpieza de los ambientes, mobiliario y equipos posterior al saneamiento.</w:t>
            </w:r>
          </w:p>
          <w:p w14:paraId="378CBFCA"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2DA66D3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En el Plan Anual de Aseo y Limpieza,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deberá detallar las actividades de control de plagas y frecuencia para los siguientes trabajos:</w:t>
            </w:r>
          </w:p>
          <w:p w14:paraId="64B9BA97"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Desratización: técnica de saneamiento que se aplica para la exterminación de roedores comensales (rata gris - rattus norvegicus, rata negra - rattus y ratón doméstico - mus musculus).</w:t>
            </w:r>
          </w:p>
          <w:p w14:paraId="44380F3E"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Desinsectación: técnica de saneamiento dirigida a eliminar o controlar la población de insectos y otros artrópodos.</w:t>
            </w:r>
          </w:p>
          <w:p w14:paraId="35AD95F1"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Desinfectación: técnica de saneamiento que se aplica para la eliminación de microorganismos patógenos y perjudiciales para el hombre en el medio ambiente cerrado donde se desenvuelve la vida humana.</w:t>
            </w:r>
          </w:p>
          <w:p w14:paraId="5F5DFEEA" w14:textId="77777777" w:rsidR="009F2B65" w:rsidRPr="00285D58" w:rsidRDefault="009F2B65" w:rsidP="00A3732C">
            <w:pPr>
              <w:widowControl/>
              <w:numPr>
                <w:ilvl w:val="0"/>
                <w:numId w:val="255"/>
              </w:numPr>
              <w:spacing w:line="276" w:lineRule="auto"/>
              <w:ind w:left="223" w:hanging="219"/>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Prevención de la aparición de nidos de aves.</w:t>
            </w:r>
          </w:p>
          <w:p w14:paraId="340931F9"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5FCEE49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Plagas especiales: Prevención y eliminación de cualquier clase de fauna nociva, correspondiente al hábitat donde se encuentre localizado la estación. </w:t>
            </w:r>
          </w:p>
        </w:tc>
      </w:tr>
      <w:tr w:rsidR="009F2B65" w:rsidRPr="00285D58" w14:paraId="3B5D5FC1"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8D86AE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Cálculo del Nivel de Servicio</w:t>
            </w:r>
          </w:p>
        </w:tc>
        <w:bookmarkStart w:id="234" w:name="_Hlk178713586"/>
        <w:tc>
          <w:tcPr>
            <w:tcW w:w="7671" w:type="dxa"/>
            <w:gridSpan w:val="4"/>
            <w:tcBorders>
              <w:top w:val="nil"/>
              <w:left w:val="nil"/>
              <w:bottom w:val="nil"/>
              <w:right w:val="single" w:sz="8" w:space="0" w:color="000000"/>
            </w:tcBorders>
            <w:shd w:val="clear" w:color="auto" w:fill="auto"/>
            <w:noWrap/>
            <w:vAlign w:val="bottom"/>
            <w:hideMark/>
          </w:tcPr>
          <w:p w14:paraId="11891D65" w14:textId="77777777" w:rsidR="009F2B65" w:rsidRPr="00285D58" w:rsidRDefault="00000000" w:rsidP="008D1FFF">
            <w:pPr>
              <w:spacing w:line="276" w:lineRule="auto"/>
              <w:rPr>
                <w:rFonts w:asciiTheme="minorHAnsi" w:eastAsia="Times New Roman" w:hAnsiTheme="minorHAnsi" w:cstheme="minorHAnsi"/>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N° de actividades para el control de plagas realizadas y que cumplen con la normativa vigente</m:t>
                    </m:r>
                  </m:num>
                  <m:den>
                    <m:r>
                      <w:rPr>
                        <w:rFonts w:ascii="Cambria Math" w:eastAsia="Times New Roman" w:hAnsi="Cambria Math" w:cstheme="minorHAnsi"/>
                        <w:sz w:val="16"/>
                        <w:szCs w:val="16"/>
                        <w:lang w:val="es-PE"/>
                      </w:rPr>
                      <m:t>N° de actividades para el control de plagas programadas</m:t>
                    </m:r>
                  </m:den>
                </m:f>
                <m:r>
                  <w:rPr>
                    <w:rFonts w:ascii="Cambria Math" w:eastAsia="Times New Roman" w:hAnsi="Cambria Math" w:cstheme="minorHAnsi"/>
                    <w:sz w:val="16"/>
                    <w:szCs w:val="16"/>
                    <w:lang w:val="es-PE"/>
                  </w:rPr>
                  <m:t xml:space="preserve"> x 100</m:t>
                </m:r>
              </m:oMath>
            </m:oMathPara>
            <w:bookmarkEnd w:id="234"/>
          </w:p>
          <w:p w14:paraId="5439757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35" w:name="_Hlk178713615"/>
            <w:r w:rsidRPr="00285D58">
              <w:rPr>
                <w:rFonts w:asciiTheme="minorHAnsi" w:eastAsia="Times New Roman" w:hAnsiTheme="minorHAnsi" w:cstheme="minorHAnsi"/>
                <w:color w:val="000000"/>
                <w:sz w:val="16"/>
                <w:szCs w:val="16"/>
                <w:lang w:val="es-PE"/>
              </w:rPr>
              <w:t>Si en el periodo de evaluación, no se programaron actividades para el control de plagas, se considerará un puntaje de 100.</w:t>
            </w:r>
            <w:bookmarkEnd w:id="235"/>
          </w:p>
        </w:tc>
      </w:tr>
      <w:tr w:rsidR="009F2B65" w:rsidRPr="00285D58" w14:paraId="329001C4" w14:textId="77777777" w:rsidTr="00242093">
        <w:trPr>
          <w:trHeight w:val="557"/>
          <w:jc w:val="center"/>
        </w:trPr>
        <w:tc>
          <w:tcPr>
            <w:tcW w:w="1266" w:type="dxa"/>
            <w:vMerge w:val="restart"/>
            <w:tcBorders>
              <w:top w:val="nil"/>
              <w:left w:val="single" w:sz="8" w:space="0" w:color="auto"/>
              <w:bottom w:val="single" w:sz="4" w:space="0" w:color="000000"/>
              <w:right w:val="single" w:sz="4" w:space="0" w:color="auto"/>
            </w:tcBorders>
            <w:shd w:val="clear" w:color="FFFFCC" w:fill="FFFFFF"/>
            <w:noWrap/>
            <w:vAlign w:val="center"/>
            <w:hideMark/>
          </w:tcPr>
          <w:p w14:paraId="082F48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18EC0B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 Revisión de la documentación registrada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 que sustenta la ejecución de las actividades de saneamiento ambiental y cumplimiento de la normativa.</w:t>
            </w:r>
          </w:p>
        </w:tc>
      </w:tr>
      <w:tr w:rsidR="009F2B65" w:rsidRPr="00285D58" w14:paraId="4FC28C04" w14:textId="77777777" w:rsidTr="00242093">
        <w:trPr>
          <w:trHeight w:val="639"/>
          <w:jc w:val="center"/>
        </w:trPr>
        <w:tc>
          <w:tcPr>
            <w:tcW w:w="1266" w:type="dxa"/>
            <w:vMerge/>
            <w:tcBorders>
              <w:top w:val="nil"/>
              <w:left w:val="single" w:sz="8" w:space="0" w:color="auto"/>
              <w:bottom w:val="single" w:sz="4" w:space="0" w:color="000000"/>
              <w:right w:val="single" w:sz="4" w:space="0" w:color="auto"/>
            </w:tcBorders>
            <w:vAlign w:val="center"/>
            <w:hideMark/>
          </w:tcPr>
          <w:p w14:paraId="59A085E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7E3EF17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El Supervisor verificará in situ, de manera aleatoria durante el trimestre, que las actividades de saneamiento ambiental programadas sean realizadas en cumplimiento con la normativa vigente aplicable.</w:t>
            </w:r>
          </w:p>
        </w:tc>
      </w:tr>
      <w:tr w:rsidR="009F2B65" w:rsidRPr="00285D58" w14:paraId="6AD5910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58266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71" w:type="dxa"/>
            <w:gridSpan w:val="4"/>
            <w:tcBorders>
              <w:top w:val="single" w:sz="4" w:space="0" w:color="auto"/>
              <w:left w:val="nil"/>
              <w:bottom w:val="single" w:sz="4" w:space="0" w:color="auto"/>
              <w:right w:val="single" w:sz="8" w:space="0" w:color="000000"/>
            </w:tcBorders>
            <w:shd w:val="clear" w:color="FFFFCC" w:fill="FFFFFF"/>
            <w:vAlign w:val="center"/>
            <w:hideMark/>
          </w:tcPr>
          <w:p w14:paraId="269E1A1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del indicador aplica a todos los ambientes interiores de las Estaciones.</w:t>
            </w:r>
          </w:p>
          <w:p w14:paraId="1A5B94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control de plagas debe cumplir con la siguiente normativa y sus actualizaciones:</w:t>
            </w:r>
          </w:p>
          <w:p w14:paraId="46529E42" w14:textId="77777777" w:rsidR="009F2B65" w:rsidRPr="00285D58" w:rsidRDefault="009F2B65" w:rsidP="00A3732C">
            <w:pPr>
              <w:widowControl/>
              <w:numPr>
                <w:ilvl w:val="0"/>
                <w:numId w:val="255"/>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Reglamento Sanitario para las actividades de saneamiento ambiental en viviendas y establecimientos comerciales, industriales y de servicios, aprobado por Decreto Supremo N° 022-2011-SA.</w:t>
            </w:r>
          </w:p>
          <w:p w14:paraId="6A8E295C" w14:textId="77777777" w:rsidR="009F2B65" w:rsidRPr="00285D58" w:rsidRDefault="009F2B65" w:rsidP="00A3732C">
            <w:pPr>
              <w:widowControl/>
              <w:numPr>
                <w:ilvl w:val="0"/>
                <w:numId w:val="255"/>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Norma Sanitaria para trabajos de desinsectación, desratización, desinfección, limpieza y desinfección de reservorios de agua, limpieza de ambientes y de tanques sépticos, aprobado por Resolución ministerial N° 449-2001-SA/DM.</w:t>
            </w:r>
          </w:p>
        </w:tc>
      </w:tr>
      <w:tr w:rsidR="009F2B65" w:rsidRPr="00285D58" w14:paraId="2A245A76" w14:textId="77777777" w:rsidTr="00242093">
        <w:trPr>
          <w:trHeight w:val="55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2994E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671" w:type="dxa"/>
            <w:gridSpan w:val="4"/>
            <w:tcBorders>
              <w:top w:val="single" w:sz="4" w:space="0" w:color="auto"/>
              <w:left w:val="nil"/>
              <w:bottom w:val="single" w:sz="4" w:space="0" w:color="auto"/>
              <w:right w:val="single" w:sz="8" w:space="0" w:color="000000"/>
            </w:tcBorders>
            <w:shd w:val="clear" w:color="auto" w:fill="auto"/>
            <w:vAlign w:val="center"/>
          </w:tcPr>
          <w:p w14:paraId="3C4165C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Ante parámetros que difieran de los contractuales, prevalecen los de mayor calidad o mayor exigencia para la medición del indicador.</w:t>
            </w:r>
          </w:p>
          <w:p w14:paraId="33E9C48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documentación:</w:t>
            </w:r>
            <w:r w:rsidRPr="00285D58">
              <w:rPr>
                <w:rFonts w:asciiTheme="minorHAnsi" w:eastAsia="Times New Roman" w:hAnsiTheme="minorHAnsi" w:cstheme="minorHAnsi"/>
                <w:sz w:val="16"/>
                <w:szCs w:val="16"/>
                <w:lang w:val="es-PE"/>
              </w:rPr>
              <w:br/>
              <w:t xml:space="preserve">- Plan Anual de Aseo y Limpieza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Certificado(s) de saneamiento ambiental registrados en el SIDIG.</w:t>
            </w:r>
            <w:r w:rsidRPr="00285D58">
              <w:rPr>
                <w:rFonts w:asciiTheme="minorHAnsi" w:eastAsia="Times New Roman" w:hAnsiTheme="minorHAnsi" w:cstheme="minorHAnsi"/>
                <w:sz w:val="16"/>
                <w:szCs w:val="16"/>
                <w:lang w:val="es-PE"/>
              </w:rPr>
              <w:br/>
              <w:t>- Otra documentación relacionada a le ejecución del saneamiento ambiental, registrada en el SIDIG.</w:t>
            </w:r>
            <w:r w:rsidRPr="00285D58">
              <w:rPr>
                <w:rFonts w:asciiTheme="minorHAnsi" w:eastAsia="Times New Roman" w:hAnsiTheme="minorHAnsi" w:cstheme="minorHAnsi"/>
                <w:sz w:val="16"/>
                <w:szCs w:val="16"/>
                <w:lang w:val="es-PE"/>
              </w:rPr>
              <w:br/>
              <w:t xml:space="preserve">- Programación de control de plagas, registrados según fecha y hora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p>
        </w:tc>
      </w:tr>
      <w:tr w:rsidR="009F2B65" w:rsidRPr="00285D58" w14:paraId="6322C50F"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FAF334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22" w:type="dxa"/>
            <w:gridSpan w:val="2"/>
            <w:tcBorders>
              <w:top w:val="single" w:sz="4" w:space="0" w:color="auto"/>
              <w:left w:val="nil"/>
              <w:bottom w:val="single" w:sz="4" w:space="0" w:color="auto"/>
              <w:right w:val="single" w:sz="4" w:space="0" w:color="auto"/>
            </w:tcBorders>
            <w:shd w:val="clear" w:color="CCCCFF" w:fill="5B9BD5"/>
            <w:vAlign w:val="center"/>
            <w:hideMark/>
          </w:tcPr>
          <w:p w14:paraId="0F4F703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49" w:type="dxa"/>
            <w:gridSpan w:val="2"/>
            <w:tcBorders>
              <w:top w:val="single" w:sz="4" w:space="0" w:color="auto"/>
              <w:left w:val="nil"/>
              <w:bottom w:val="single" w:sz="4" w:space="0" w:color="auto"/>
              <w:right w:val="single" w:sz="8" w:space="0" w:color="000000"/>
            </w:tcBorders>
            <w:shd w:val="clear" w:color="CCCCFF" w:fill="5B9BD5"/>
            <w:vAlign w:val="center"/>
            <w:hideMark/>
          </w:tcPr>
          <w:p w14:paraId="759152C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A2A4A1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7EEC60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32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2F3AB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4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4EBEE8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676A6E5" w14:textId="77777777" w:rsidTr="00242093">
        <w:trPr>
          <w:trHeight w:val="255"/>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36861A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62B8E906" w14:textId="77777777" w:rsidTr="00242093">
        <w:trPr>
          <w:trHeight w:val="296"/>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0ED829E"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924B273" w14:textId="77777777" w:rsidTr="00242093">
        <w:trPr>
          <w:trHeight w:val="276"/>
          <w:jc w:val="center"/>
        </w:trPr>
        <w:tc>
          <w:tcPr>
            <w:tcW w:w="8937"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AD06E4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AB0F077" w14:textId="77777777" w:rsidTr="00242093">
        <w:trPr>
          <w:trHeight w:val="255"/>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FDED96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904" w:type="dxa"/>
            <w:gridSpan w:val="3"/>
            <w:tcBorders>
              <w:top w:val="single" w:sz="4" w:space="0" w:color="auto"/>
              <w:left w:val="nil"/>
              <w:bottom w:val="single" w:sz="4" w:space="0" w:color="auto"/>
              <w:right w:val="single" w:sz="8" w:space="0" w:color="000000"/>
            </w:tcBorders>
            <w:shd w:val="clear" w:color="auto" w:fill="auto"/>
            <w:vAlign w:val="center"/>
            <w:hideMark/>
          </w:tcPr>
          <w:p w14:paraId="5346B595"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EB1EA80" w14:textId="77777777" w:rsidTr="00242093">
        <w:trPr>
          <w:trHeight w:val="300"/>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105EF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904"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6BB58B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DBAE1B4" w14:textId="77777777" w:rsidTr="00242093">
        <w:trPr>
          <w:trHeight w:val="276"/>
          <w:jc w:val="center"/>
        </w:trPr>
        <w:tc>
          <w:tcPr>
            <w:tcW w:w="203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A7E028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904" w:type="dxa"/>
            <w:gridSpan w:val="3"/>
            <w:vMerge/>
            <w:tcBorders>
              <w:top w:val="single" w:sz="4" w:space="0" w:color="auto"/>
              <w:left w:val="single" w:sz="4" w:space="0" w:color="auto"/>
              <w:bottom w:val="single" w:sz="4" w:space="0" w:color="000000"/>
              <w:right w:val="single" w:sz="8" w:space="0" w:color="000000"/>
            </w:tcBorders>
            <w:vAlign w:val="center"/>
            <w:hideMark/>
          </w:tcPr>
          <w:p w14:paraId="4F348AB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ED2DDC3" w14:textId="77777777" w:rsidTr="00242093">
        <w:trPr>
          <w:trHeight w:val="276"/>
          <w:jc w:val="center"/>
        </w:trPr>
        <w:tc>
          <w:tcPr>
            <w:tcW w:w="203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57191F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904" w:type="dxa"/>
            <w:gridSpan w:val="3"/>
            <w:tcBorders>
              <w:top w:val="single" w:sz="4" w:space="0" w:color="auto"/>
              <w:left w:val="nil"/>
              <w:bottom w:val="single" w:sz="4" w:space="0" w:color="auto"/>
              <w:right w:val="single" w:sz="8" w:space="0" w:color="000000"/>
            </w:tcBorders>
            <w:shd w:val="clear" w:color="auto" w:fill="auto"/>
            <w:vAlign w:val="center"/>
            <w:hideMark/>
          </w:tcPr>
          <w:p w14:paraId="20F9162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13F28E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A92394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67" w:type="dxa"/>
            <w:tcBorders>
              <w:top w:val="nil"/>
              <w:left w:val="nil"/>
              <w:bottom w:val="single" w:sz="4" w:space="0" w:color="auto"/>
              <w:right w:val="single" w:sz="4" w:space="0" w:color="auto"/>
            </w:tcBorders>
            <w:shd w:val="clear" w:color="FFFFCC" w:fill="FFFFFF"/>
            <w:noWrap/>
            <w:vAlign w:val="center"/>
            <w:hideMark/>
          </w:tcPr>
          <w:p w14:paraId="66AC8F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904"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50022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422158FA"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1F12036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67" w:type="dxa"/>
            <w:tcBorders>
              <w:top w:val="nil"/>
              <w:left w:val="nil"/>
              <w:bottom w:val="single" w:sz="8" w:space="0" w:color="auto"/>
              <w:right w:val="single" w:sz="4" w:space="0" w:color="auto"/>
            </w:tcBorders>
            <w:shd w:val="clear" w:color="FFFFCC" w:fill="FFFFFF"/>
            <w:noWrap/>
            <w:vAlign w:val="center"/>
            <w:hideMark/>
          </w:tcPr>
          <w:p w14:paraId="1118A7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904" w:type="dxa"/>
            <w:gridSpan w:val="3"/>
            <w:vMerge/>
            <w:tcBorders>
              <w:top w:val="nil"/>
              <w:left w:val="nil"/>
              <w:bottom w:val="single" w:sz="8" w:space="0" w:color="auto"/>
              <w:right w:val="single" w:sz="4" w:space="0" w:color="auto"/>
            </w:tcBorders>
            <w:vAlign w:val="center"/>
            <w:hideMark/>
          </w:tcPr>
          <w:p w14:paraId="79CCD55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45F37BB" w14:textId="77777777" w:rsidR="009F2B65" w:rsidRPr="00285D58" w:rsidRDefault="009F2B65" w:rsidP="008D1FFF">
      <w:pPr>
        <w:spacing w:line="276" w:lineRule="auto"/>
        <w:rPr>
          <w:rFonts w:asciiTheme="minorHAnsi" w:hAnsiTheme="minorHAnsi" w:cstheme="minorHAnsi"/>
          <w:lang w:val="es-PE"/>
        </w:rPr>
      </w:pPr>
    </w:p>
    <w:p w14:paraId="23E9AA4C"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9002" w:type="dxa"/>
        <w:jc w:val="center"/>
        <w:tblCellMar>
          <w:left w:w="70" w:type="dxa"/>
          <w:right w:w="70" w:type="dxa"/>
        </w:tblCellMar>
        <w:tblLook w:val="04A0" w:firstRow="1" w:lastRow="0" w:firstColumn="1" w:lastColumn="0" w:noHBand="0" w:noVBand="1"/>
      </w:tblPr>
      <w:tblGrid>
        <w:gridCol w:w="1266"/>
        <w:gridCol w:w="827"/>
        <w:gridCol w:w="2457"/>
        <w:gridCol w:w="1317"/>
        <w:gridCol w:w="3135"/>
      </w:tblGrid>
      <w:tr w:rsidR="009F2B65" w:rsidRPr="00285D58" w14:paraId="12B9E114" w14:textId="77777777" w:rsidTr="00242093">
        <w:trPr>
          <w:trHeight w:val="209"/>
          <w:jc w:val="center"/>
        </w:trPr>
        <w:tc>
          <w:tcPr>
            <w:tcW w:w="9002"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5636E34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5B043066"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FC7E4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84" w:type="dxa"/>
            <w:gridSpan w:val="2"/>
            <w:tcBorders>
              <w:top w:val="single" w:sz="4" w:space="0" w:color="auto"/>
              <w:left w:val="nil"/>
              <w:bottom w:val="single" w:sz="4" w:space="0" w:color="auto"/>
              <w:right w:val="single" w:sz="4" w:space="0" w:color="auto"/>
            </w:tcBorders>
            <w:shd w:val="clear" w:color="FFFFCC" w:fill="FFFFFF"/>
            <w:vAlign w:val="center"/>
            <w:hideMark/>
          </w:tcPr>
          <w:p w14:paraId="1485449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7" w:type="dxa"/>
            <w:tcBorders>
              <w:top w:val="nil"/>
              <w:left w:val="nil"/>
              <w:bottom w:val="single" w:sz="4" w:space="0" w:color="auto"/>
              <w:right w:val="single" w:sz="4" w:space="0" w:color="auto"/>
            </w:tcBorders>
            <w:shd w:val="clear" w:color="FFFFCC" w:fill="FFFFFF"/>
            <w:vAlign w:val="center"/>
            <w:hideMark/>
          </w:tcPr>
          <w:p w14:paraId="57A5CD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5" w:type="dxa"/>
            <w:tcBorders>
              <w:top w:val="single" w:sz="4" w:space="0" w:color="000000"/>
              <w:left w:val="nil"/>
              <w:bottom w:val="nil"/>
              <w:right w:val="single" w:sz="8" w:space="0" w:color="000000"/>
            </w:tcBorders>
            <w:shd w:val="clear" w:color="FFFFCC" w:fill="FFFFFF"/>
            <w:vAlign w:val="center"/>
            <w:hideMark/>
          </w:tcPr>
          <w:p w14:paraId="0ED6A1A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4F4BFAF"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AC1A3C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84"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01B3EF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AL.4</w:t>
            </w:r>
          </w:p>
        </w:tc>
        <w:tc>
          <w:tcPr>
            <w:tcW w:w="1317" w:type="dxa"/>
            <w:tcBorders>
              <w:top w:val="nil"/>
              <w:left w:val="nil"/>
              <w:bottom w:val="single" w:sz="4" w:space="0" w:color="auto"/>
              <w:right w:val="single" w:sz="4" w:space="0" w:color="auto"/>
            </w:tcBorders>
            <w:shd w:val="clear" w:color="FFFFCC" w:fill="FFFFFF"/>
            <w:vAlign w:val="center"/>
            <w:hideMark/>
          </w:tcPr>
          <w:p w14:paraId="6F0205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5" w:type="dxa"/>
            <w:tcBorders>
              <w:top w:val="single" w:sz="4" w:space="0" w:color="auto"/>
              <w:left w:val="nil"/>
              <w:bottom w:val="single" w:sz="4" w:space="0" w:color="auto"/>
              <w:right w:val="single" w:sz="8" w:space="0" w:color="000000"/>
            </w:tcBorders>
            <w:shd w:val="clear" w:color="FFFFCC" w:fill="FFFFFF"/>
            <w:vAlign w:val="center"/>
            <w:hideMark/>
          </w:tcPr>
          <w:p w14:paraId="3B897F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44F10F23"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C6A65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736" w:type="dxa"/>
            <w:gridSpan w:val="4"/>
            <w:tcBorders>
              <w:top w:val="single" w:sz="4" w:space="0" w:color="auto"/>
              <w:left w:val="nil"/>
              <w:bottom w:val="single" w:sz="4" w:space="0" w:color="auto"/>
              <w:right w:val="single" w:sz="8" w:space="0" w:color="000000"/>
            </w:tcBorders>
            <w:shd w:val="clear" w:color="auto" w:fill="auto"/>
            <w:vAlign w:val="center"/>
            <w:hideMark/>
          </w:tcPr>
          <w:p w14:paraId="78BB4FC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se encarga de proporcionar y mantener todos los consumibles en los servicios higiénicos.</w:t>
            </w:r>
          </w:p>
        </w:tc>
      </w:tr>
      <w:tr w:rsidR="009F2B65" w:rsidRPr="00285D58" w14:paraId="6D42F9BC" w14:textId="77777777" w:rsidTr="00242093">
        <w:trPr>
          <w:trHeight w:val="360"/>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EDE9D3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B8827AF" w14:textId="77777777" w:rsidTr="00242093">
        <w:trPr>
          <w:trHeight w:val="858"/>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D7393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736" w:type="dxa"/>
            <w:gridSpan w:val="4"/>
            <w:tcBorders>
              <w:top w:val="single" w:sz="4" w:space="0" w:color="auto"/>
              <w:left w:val="nil"/>
              <w:bottom w:val="single" w:sz="4" w:space="0" w:color="auto"/>
              <w:right w:val="single" w:sz="8" w:space="0" w:color="000000"/>
            </w:tcBorders>
            <w:shd w:val="clear" w:color="FFFFCC" w:fill="FFFFFF"/>
            <w:vAlign w:val="center"/>
            <w:hideMark/>
          </w:tcPr>
          <w:p w14:paraId="15F6950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Este indicador tiene como objetivo garantizar que los Usuarios y el Personal dispongan de consumibles en los servicios higiénicos dentro de las Estaciones.</w:t>
            </w:r>
          </w:p>
          <w:p w14:paraId="2FC09E5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br/>
              <w:t>Por consumible se entiende lo siguiente: jabón de tocador (líquido o en barra), papel higiénico, papel toalla.</w:t>
            </w:r>
          </w:p>
        </w:tc>
      </w:tr>
      <w:tr w:rsidR="009F2B65" w:rsidRPr="00285D58" w14:paraId="5851F43B"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1672C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736" w:type="dxa"/>
            <w:gridSpan w:val="4"/>
            <w:tcBorders>
              <w:top w:val="nil"/>
              <w:left w:val="nil"/>
              <w:bottom w:val="nil"/>
              <w:right w:val="single" w:sz="8" w:space="0" w:color="000000"/>
            </w:tcBorders>
            <w:shd w:val="clear" w:color="auto" w:fill="auto"/>
            <w:noWrap/>
            <w:vAlign w:val="center"/>
            <w:hideMark/>
          </w:tcPr>
          <w:p w14:paraId="6E233916" w14:textId="77777777" w:rsidR="009F2B65" w:rsidRPr="00285D58" w:rsidRDefault="0000000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4"/>
                        <w:szCs w:val="16"/>
                        <w:lang w:val="es-PE"/>
                      </w:rPr>
                    </m:ctrlPr>
                  </m:fPr>
                  <m:num>
                    <m:r>
                      <w:rPr>
                        <w:rFonts w:ascii="Cambria Math" w:eastAsia="Times New Roman" w:hAnsi="Cambria Math" w:cstheme="minorHAnsi"/>
                        <w:sz w:val="14"/>
                        <w:szCs w:val="16"/>
                        <w:lang w:val="es-PE"/>
                      </w:rPr>
                      <m:t>N° de servicios higiénicos evaluados que cuentan con los consumibles</m:t>
                    </m:r>
                  </m:num>
                  <m:den>
                    <m:r>
                      <w:rPr>
                        <w:rFonts w:ascii="Cambria Math" w:eastAsia="Times New Roman" w:hAnsi="Cambria Math" w:cstheme="minorHAnsi"/>
                        <w:sz w:val="14"/>
                        <w:szCs w:val="16"/>
                        <w:lang w:val="es-PE"/>
                      </w:rPr>
                      <m:t>N° total de servicios higiénicos evaluados</m:t>
                    </m:r>
                  </m:den>
                </m:f>
                <m:r>
                  <w:rPr>
                    <w:rFonts w:ascii="Cambria Math" w:eastAsia="Times New Roman" w:hAnsi="Cambria Math" w:cstheme="minorHAnsi"/>
                    <w:sz w:val="14"/>
                    <w:szCs w:val="16"/>
                    <w:lang w:val="es-PE"/>
                  </w:rPr>
                  <m:t xml:space="preserve"> x 100</m:t>
                </m:r>
              </m:oMath>
            </m:oMathPara>
          </w:p>
        </w:tc>
      </w:tr>
      <w:tr w:rsidR="009F2B65" w:rsidRPr="00285D58" w14:paraId="10B5D1AA" w14:textId="77777777" w:rsidTr="00242093">
        <w:trPr>
          <w:trHeight w:val="528"/>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5B136EB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736" w:type="dxa"/>
            <w:gridSpan w:val="4"/>
            <w:tcBorders>
              <w:top w:val="single" w:sz="4" w:space="0" w:color="auto"/>
              <w:left w:val="nil"/>
              <w:right w:val="single" w:sz="8" w:space="0" w:color="000000"/>
            </w:tcBorders>
            <w:shd w:val="clear" w:color="FFFFCC" w:fill="FFFFFF"/>
            <w:vAlign w:val="center"/>
            <w:hideMark/>
          </w:tcPr>
          <w:p w14:paraId="138C84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aleatoria semanal, de consumibles en los servicios higiénicos de las Estaciones.</w:t>
            </w:r>
          </w:p>
        </w:tc>
      </w:tr>
      <w:tr w:rsidR="009F2B65" w:rsidRPr="00285D58" w14:paraId="44462B00"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391A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736" w:type="dxa"/>
            <w:gridSpan w:val="4"/>
            <w:tcBorders>
              <w:top w:val="single" w:sz="4" w:space="0" w:color="auto"/>
              <w:left w:val="nil"/>
              <w:bottom w:val="single" w:sz="4" w:space="0" w:color="auto"/>
              <w:right w:val="single" w:sz="8" w:space="0" w:color="000000"/>
            </w:tcBorders>
            <w:shd w:val="clear" w:color="FFFFCC" w:fill="FFFFFF"/>
            <w:vAlign w:val="center"/>
            <w:hideMark/>
          </w:tcPr>
          <w:p w14:paraId="6BCA204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Este indicador aplica a todos los servicios higiénicos de las Estaciones.</w:t>
            </w:r>
          </w:p>
        </w:tc>
      </w:tr>
      <w:tr w:rsidR="009F2B65" w:rsidRPr="00285D58" w14:paraId="5C6A7C7D" w14:textId="77777777" w:rsidTr="00242093">
        <w:trPr>
          <w:trHeight w:val="788"/>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2EC70B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736" w:type="dxa"/>
            <w:gridSpan w:val="4"/>
            <w:tcBorders>
              <w:top w:val="single" w:sz="4" w:space="0" w:color="auto"/>
              <w:left w:val="nil"/>
              <w:bottom w:val="single" w:sz="4" w:space="0" w:color="auto"/>
              <w:right w:val="single" w:sz="8" w:space="0" w:color="000000"/>
            </w:tcBorders>
            <w:shd w:val="clear" w:color="auto" w:fill="auto"/>
            <w:vAlign w:val="center"/>
          </w:tcPr>
          <w:p w14:paraId="53AE2FBE" w14:textId="77777777" w:rsidR="009F2B65" w:rsidRPr="00285D58" w:rsidRDefault="009F2B65" w:rsidP="00A3732C">
            <w:pPr>
              <w:widowControl/>
              <w:numPr>
                <w:ilvl w:val="0"/>
                <w:numId w:val="252"/>
              </w:numPr>
              <w:spacing w:line="276" w:lineRule="auto"/>
              <w:ind w:left="211" w:hanging="219"/>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160E546F"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C36B9E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84" w:type="dxa"/>
            <w:gridSpan w:val="2"/>
            <w:tcBorders>
              <w:top w:val="single" w:sz="4" w:space="0" w:color="auto"/>
              <w:left w:val="nil"/>
              <w:bottom w:val="single" w:sz="4" w:space="0" w:color="auto"/>
              <w:right w:val="single" w:sz="4" w:space="0" w:color="auto"/>
            </w:tcBorders>
            <w:shd w:val="clear" w:color="CCCCFF" w:fill="5B9BD5"/>
            <w:vAlign w:val="center"/>
            <w:hideMark/>
          </w:tcPr>
          <w:p w14:paraId="5A869B5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52" w:type="dxa"/>
            <w:gridSpan w:val="2"/>
            <w:tcBorders>
              <w:top w:val="single" w:sz="4" w:space="0" w:color="auto"/>
              <w:left w:val="nil"/>
              <w:bottom w:val="single" w:sz="4" w:space="0" w:color="auto"/>
              <w:right w:val="single" w:sz="8" w:space="0" w:color="000000"/>
            </w:tcBorders>
            <w:shd w:val="clear" w:color="CCCCFF" w:fill="5B9BD5"/>
            <w:vAlign w:val="center"/>
            <w:hideMark/>
          </w:tcPr>
          <w:p w14:paraId="79037E3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C5246A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EC9E6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98496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52"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745657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539F0C12" w14:textId="77777777" w:rsidTr="00242093">
        <w:trPr>
          <w:trHeight w:val="255"/>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4B6DF0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87EC94E" w14:textId="77777777" w:rsidTr="00242093">
        <w:trPr>
          <w:trHeight w:val="296"/>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79EF737"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12CC95A5" w14:textId="77777777" w:rsidTr="00242093">
        <w:trPr>
          <w:trHeight w:val="276"/>
          <w:jc w:val="center"/>
        </w:trPr>
        <w:tc>
          <w:tcPr>
            <w:tcW w:w="900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2FD846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F98284D"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D959FF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909" w:type="dxa"/>
            <w:gridSpan w:val="3"/>
            <w:tcBorders>
              <w:top w:val="single" w:sz="4" w:space="0" w:color="auto"/>
              <w:left w:val="nil"/>
              <w:bottom w:val="single" w:sz="4" w:space="0" w:color="auto"/>
              <w:right w:val="single" w:sz="8" w:space="0" w:color="000000"/>
            </w:tcBorders>
            <w:shd w:val="clear" w:color="auto" w:fill="auto"/>
            <w:vAlign w:val="center"/>
            <w:hideMark/>
          </w:tcPr>
          <w:p w14:paraId="0026124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CC27157"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B4EEB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90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D9F8B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Hasta 30 minutos</w:t>
            </w:r>
          </w:p>
        </w:tc>
      </w:tr>
      <w:tr w:rsidR="009F2B65" w:rsidRPr="00285D58" w14:paraId="1F023142"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A82EF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909" w:type="dxa"/>
            <w:gridSpan w:val="3"/>
            <w:vMerge/>
            <w:tcBorders>
              <w:top w:val="single" w:sz="4" w:space="0" w:color="auto"/>
              <w:left w:val="single" w:sz="4" w:space="0" w:color="auto"/>
              <w:bottom w:val="single" w:sz="4" w:space="0" w:color="000000"/>
              <w:right w:val="single" w:sz="8" w:space="0" w:color="000000"/>
            </w:tcBorders>
            <w:vAlign w:val="center"/>
            <w:hideMark/>
          </w:tcPr>
          <w:p w14:paraId="4C38181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4D722F4B"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2287C3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909" w:type="dxa"/>
            <w:gridSpan w:val="3"/>
            <w:tcBorders>
              <w:top w:val="single" w:sz="4" w:space="0" w:color="auto"/>
              <w:left w:val="nil"/>
              <w:bottom w:val="single" w:sz="4" w:space="0" w:color="auto"/>
              <w:right w:val="single" w:sz="8" w:space="0" w:color="000000"/>
            </w:tcBorders>
            <w:shd w:val="clear" w:color="auto" w:fill="auto"/>
            <w:vAlign w:val="center"/>
            <w:hideMark/>
          </w:tcPr>
          <w:p w14:paraId="5631BED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6C590889"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08D222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3163AD6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90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7FEF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04A3B40"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EA9578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1905F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909" w:type="dxa"/>
            <w:gridSpan w:val="3"/>
            <w:vMerge/>
            <w:tcBorders>
              <w:top w:val="nil"/>
              <w:left w:val="nil"/>
              <w:bottom w:val="single" w:sz="8" w:space="0" w:color="auto"/>
              <w:right w:val="single" w:sz="4" w:space="0" w:color="auto"/>
            </w:tcBorders>
            <w:vAlign w:val="center"/>
            <w:hideMark/>
          </w:tcPr>
          <w:p w14:paraId="0AA753E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ACFF5E5" w14:textId="77777777" w:rsidR="009F2B65" w:rsidRPr="00285D58" w:rsidRDefault="009F2B65" w:rsidP="008D1FFF">
      <w:pPr>
        <w:spacing w:line="276" w:lineRule="auto"/>
        <w:rPr>
          <w:rFonts w:asciiTheme="minorHAnsi" w:hAnsiTheme="minorHAnsi" w:cstheme="minorHAnsi"/>
          <w:lang w:val="es-PE"/>
        </w:rPr>
      </w:pPr>
    </w:p>
    <w:p w14:paraId="27191E65"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9099" w:type="dxa"/>
        <w:jc w:val="center"/>
        <w:tblCellMar>
          <w:left w:w="70" w:type="dxa"/>
          <w:right w:w="70" w:type="dxa"/>
        </w:tblCellMar>
        <w:tblLook w:val="04A0" w:firstRow="1" w:lastRow="0" w:firstColumn="1" w:lastColumn="0" w:noHBand="0" w:noVBand="1"/>
      </w:tblPr>
      <w:tblGrid>
        <w:gridCol w:w="1423"/>
        <w:gridCol w:w="827"/>
        <w:gridCol w:w="2397"/>
        <w:gridCol w:w="1317"/>
        <w:gridCol w:w="3135"/>
      </w:tblGrid>
      <w:tr w:rsidR="009F2B65" w:rsidRPr="00285D58" w14:paraId="3A02BF0E" w14:textId="77777777" w:rsidTr="00242093">
        <w:trPr>
          <w:trHeight w:val="209"/>
          <w:jc w:val="center"/>
        </w:trPr>
        <w:tc>
          <w:tcPr>
            <w:tcW w:w="9099"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9AFD81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4272520F" w14:textId="77777777" w:rsidTr="00242093">
        <w:trPr>
          <w:trHeight w:val="279"/>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166852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224" w:type="dxa"/>
            <w:gridSpan w:val="2"/>
            <w:tcBorders>
              <w:top w:val="single" w:sz="4" w:space="0" w:color="auto"/>
              <w:left w:val="nil"/>
              <w:bottom w:val="single" w:sz="4" w:space="0" w:color="auto"/>
              <w:right w:val="single" w:sz="4" w:space="0" w:color="auto"/>
            </w:tcBorders>
            <w:shd w:val="clear" w:color="FFFFCC" w:fill="FFFFFF"/>
            <w:vAlign w:val="center"/>
            <w:hideMark/>
          </w:tcPr>
          <w:p w14:paraId="3B3F5C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Aseo y Limpieza</w:t>
            </w:r>
          </w:p>
        </w:tc>
        <w:tc>
          <w:tcPr>
            <w:tcW w:w="1317" w:type="dxa"/>
            <w:tcBorders>
              <w:top w:val="nil"/>
              <w:left w:val="nil"/>
              <w:bottom w:val="single" w:sz="4" w:space="0" w:color="auto"/>
              <w:right w:val="single" w:sz="4" w:space="0" w:color="auto"/>
            </w:tcBorders>
            <w:shd w:val="clear" w:color="FFFFCC" w:fill="FFFFFF"/>
            <w:vAlign w:val="center"/>
            <w:hideMark/>
          </w:tcPr>
          <w:p w14:paraId="08BC07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3135" w:type="dxa"/>
            <w:tcBorders>
              <w:top w:val="single" w:sz="4" w:space="0" w:color="000000"/>
              <w:left w:val="nil"/>
              <w:bottom w:val="nil"/>
              <w:right w:val="single" w:sz="8" w:space="0" w:color="000000"/>
            </w:tcBorders>
            <w:shd w:val="clear" w:color="FFFFCC" w:fill="FFFFFF"/>
            <w:vAlign w:val="center"/>
            <w:hideMark/>
          </w:tcPr>
          <w:p w14:paraId="307638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BD321C7" w14:textId="77777777" w:rsidTr="00242093">
        <w:trPr>
          <w:trHeight w:val="269"/>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36C2D64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224"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BA2360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AL.5</w:t>
            </w:r>
          </w:p>
        </w:tc>
        <w:tc>
          <w:tcPr>
            <w:tcW w:w="1317" w:type="dxa"/>
            <w:tcBorders>
              <w:top w:val="nil"/>
              <w:left w:val="nil"/>
              <w:bottom w:val="single" w:sz="4" w:space="0" w:color="auto"/>
              <w:right w:val="single" w:sz="4" w:space="0" w:color="auto"/>
            </w:tcBorders>
            <w:shd w:val="clear" w:color="FFFFCC" w:fill="FFFFFF"/>
            <w:vAlign w:val="center"/>
            <w:hideMark/>
          </w:tcPr>
          <w:p w14:paraId="4900AB0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3135" w:type="dxa"/>
            <w:tcBorders>
              <w:top w:val="single" w:sz="4" w:space="0" w:color="auto"/>
              <w:left w:val="nil"/>
              <w:bottom w:val="single" w:sz="4" w:space="0" w:color="auto"/>
              <w:right w:val="single" w:sz="8" w:space="0" w:color="000000"/>
            </w:tcBorders>
            <w:shd w:val="clear" w:color="FFFFCC" w:fill="FFFFFF"/>
            <w:vAlign w:val="center"/>
            <w:hideMark/>
          </w:tcPr>
          <w:p w14:paraId="39ACF8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0.40 %</w:t>
            </w:r>
          </w:p>
        </w:tc>
      </w:tr>
      <w:tr w:rsidR="009F2B65" w:rsidRPr="00285D58" w14:paraId="7D09F739" w14:textId="77777777" w:rsidTr="00242093">
        <w:trPr>
          <w:trHeight w:val="435"/>
          <w:jc w:val="center"/>
        </w:trPr>
        <w:tc>
          <w:tcPr>
            <w:tcW w:w="1423" w:type="dxa"/>
            <w:tcBorders>
              <w:top w:val="nil"/>
              <w:left w:val="single" w:sz="8" w:space="0" w:color="auto"/>
              <w:bottom w:val="single" w:sz="4" w:space="0" w:color="auto"/>
              <w:right w:val="single" w:sz="4" w:space="0" w:color="auto"/>
            </w:tcBorders>
            <w:shd w:val="clear" w:color="auto" w:fill="auto"/>
            <w:noWrap/>
            <w:vAlign w:val="center"/>
            <w:hideMark/>
          </w:tcPr>
          <w:p w14:paraId="2DC3A8A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676" w:type="dxa"/>
            <w:gridSpan w:val="4"/>
            <w:tcBorders>
              <w:top w:val="single" w:sz="4" w:space="0" w:color="auto"/>
              <w:left w:val="nil"/>
              <w:bottom w:val="single" w:sz="4" w:space="0" w:color="auto"/>
              <w:right w:val="single" w:sz="8" w:space="0" w:color="000000"/>
            </w:tcBorders>
            <w:shd w:val="clear" w:color="auto" w:fill="auto"/>
            <w:vAlign w:val="center"/>
            <w:hideMark/>
          </w:tcPr>
          <w:p w14:paraId="462B0FC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a las solicitudes de limpieza y control de plagas.</w:t>
            </w:r>
          </w:p>
        </w:tc>
      </w:tr>
      <w:tr w:rsidR="009F2B65" w:rsidRPr="00285D58" w14:paraId="73990564" w14:textId="77777777" w:rsidTr="00242093">
        <w:trPr>
          <w:trHeight w:val="360"/>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5E380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57A7589" w14:textId="77777777" w:rsidTr="00242093">
        <w:trPr>
          <w:trHeight w:val="858"/>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5070AF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676" w:type="dxa"/>
            <w:gridSpan w:val="4"/>
            <w:tcBorders>
              <w:top w:val="single" w:sz="4" w:space="0" w:color="auto"/>
              <w:left w:val="nil"/>
              <w:bottom w:val="single" w:sz="4" w:space="0" w:color="auto"/>
              <w:right w:val="single" w:sz="8" w:space="0" w:color="000000"/>
            </w:tcBorders>
            <w:shd w:val="clear" w:color="FFFFCC" w:fill="FFFFFF"/>
            <w:vAlign w:val="center"/>
            <w:hideMark/>
          </w:tcPr>
          <w:p w14:paraId="0E14968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atiende las solicitudes de limpieza y control de plagas que puedan suscitarse de manera imprevista o que no hayan sido contempladas en el Plan Anual de Aseo y Limpieza. </w:t>
            </w:r>
          </w:p>
          <w:p w14:paraId="46DE763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En el funcionamiento de las Estaciones se pueden suscitar solicitudes por:</w:t>
            </w:r>
          </w:p>
          <w:p w14:paraId="5F6A8515" w14:textId="77777777" w:rsidR="009F2B65" w:rsidRPr="00285D58" w:rsidRDefault="009F2B65" w:rsidP="00A3732C">
            <w:pPr>
              <w:widowControl/>
              <w:numPr>
                <w:ilvl w:val="0"/>
                <w:numId w:val="256"/>
              </w:numPr>
              <w:spacing w:line="276" w:lineRule="auto"/>
              <w:ind w:left="215" w:hanging="215"/>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Accidentes circunstanciales (caída de algún agente, derrame de líquidos, entre otros casos) de los usuarios e incidentes en las estaciones que requieran el servicio de limpieza. </w:t>
            </w:r>
          </w:p>
          <w:p w14:paraId="148053B1" w14:textId="77777777" w:rsidR="009F2B65" w:rsidRPr="00285D58" w:rsidRDefault="009F2B65" w:rsidP="00A3732C">
            <w:pPr>
              <w:widowControl/>
              <w:numPr>
                <w:ilvl w:val="0"/>
                <w:numId w:val="256"/>
              </w:numPr>
              <w:spacing w:line="276" w:lineRule="auto"/>
              <w:ind w:left="215" w:hanging="215"/>
              <w:contextualSpacing/>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Eliminación de presencia roedores, insectos, fauna nociva, entre otros.</w:t>
            </w:r>
          </w:p>
          <w:p w14:paraId="1A1777B5" w14:textId="77777777" w:rsidR="009F2B65" w:rsidRPr="00285D58" w:rsidRDefault="009F2B65" w:rsidP="008D1FFF">
            <w:pPr>
              <w:spacing w:line="276" w:lineRule="auto"/>
              <w:ind w:left="215"/>
              <w:contextualSpacing/>
              <w:rPr>
                <w:rFonts w:asciiTheme="minorHAnsi" w:eastAsia="Times New Roman" w:hAnsiTheme="minorHAnsi" w:cstheme="minorHAnsi"/>
                <w:sz w:val="16"/>
                <w:szCs w:val="16"/>
                <w:lang w:val="es-PE"/>
              </w:rPr>
            </w:pPr>
          </w:p>
          <w:p w14:paraId="11581C6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CONCESIONARIO deberá realizar las acciones cumpliendo con los protocolos y procedimientos de tal forma que el ambiente afectado mantenga las condiciones de salubridad e higiene.</w:t>
            </w:r>
          </w:p>
          <w:p w14:paraId="7C4606A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personal o Supervisor podrá reportar una solicitud, la cual deberá ser registrada en el SIDIG y atendida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plazo de atención respectivo.</w:t>
            </w:r>
          </w:p>
        </w:tc>
      </w:tr>
      <w:tr w:rsidR="009F2B65" w:rsidRPr="00285D58" w14:paraId="368DD99B" w14:textId="77777777" w:rsidTr="00242093">
        <w:trPr>
          <w:trHeight w:val="577"/>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65FBD13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676" w:type="dxa"/>
            <w:gridSpan w:val="4"/>
            <w:tcBorders>
              <w:top w:val="nil"/>
              <w:left w:val="nil"/>
              <w:bottom w:val="nil"/>
              <w:right w:val="single" w:sz="8" w:space="0" w:color="000000"/>
            </w:tcBorders>
            <w:shd w:val="clear" w:color="auto" w:fill="auto"/>
            <w:noWrap/>
            <w:vAlign w:val="center"/>
            <w:hideMark/>
          </w:tcPr>
          <w:p w14:paraId="08966A5A" w14:textId="77777777" w:rsidR="009F2B65" w:rsidRPr="00285D58" w:rsidRDefault="00000000" w:rsidP="008D1FFF">
            <w:pPr>
              <w:spacing w:line="276" w:lineRule="auto"/>
              <w:rPr>
                <w:rFonts w:asciiTheme="minorHAnsi" w:eastAsia="Times New Roman" w:hAnsiTheme="minorHAnsi" w:cstheme="minorHAnsi"/>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 xml:space="preserve">N° de solicitudes de limpieza y control de plagas registradas y atendidas </m:t>
                    </m:r>
                  </m:num>
                  <m:den>
                    <m:r>
                      <w:rPr>
                        <w:rFonts w:ascii="Cambria Math" w:eastAsia="Times New Roman" w:hAnsi="Cambria Math" w:cstheme="minorHAnsi"/>
                        <w:sz w:val="16"/>
                        <w:szCs w:val="16"/>
                        <w:lang w:val="es-PE"/>
                      </w:rPr>
                      <m:t>N° total de solicitudes de limpieza y control de plagas registradas</m:t>
                    </m:r>
                  </m:den>
                </m:f>
                <m:r>
                  <w:rPr>
                    <w:rFonts w:ascii="Cambria Math" w:eastAsia="Times New Roman" w:hAnsi="Cambria Math" w:cstheme="minorHAnsi"/>
                    <w:sz w:val="16"/>
                    <w:szCs w:val="16"/>
                    <w:lang w:val="es-PE"/>
                  </w:rPr>
                  <m:t xml:space="preserve"> x 100</m:t>
                </m:r>
              </m:oMath>
            </m:oMathPara>
          </w:p>
          <w:p w14:paraId="0D7AAEB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36" w:name="_Hlk178713693"/>
            <w:r w:rsidRPr="00285D58">
              <w:rPr>
                <w:rFonts w:asciiTheme="minorHAnsi" w:eastAsia="Times New Roman" w:hAnsiTheme="minorHAnsi" w:cstheme="minorHAnsi"/>
                <w:color w:val="000000"/>
                <w:sz w:val="16"/>
                <w:szCs w:val="16"/>
                <w:lang w:val="es-PE"/>
              </w:rPr>
              <w:t>Si en el periodo de evaluación, no se registraron solicitudes de limpieza y control de plagas se considerará un puntaje de 100.</w:t>
            </w:r>
            <w:bookmarkEnd w:id="236"/>
          </w:p>
        </w:tc>
      </w:tr>
      <w:tr w:rsidR="009F2B65" w:rsidRPr="00285D58" w14:paraId="49C8C5CC" w14:textId="77777777" w:rsidTr="00242093">
        <w:trPr>
          <w:trHeight w:val="694"/>
          <w:jc w:val="center"/>
        </w:trPr>
        <w:tc>
          <w:tcPr>
            <w:tcW w:w="1423" w:type="dxa"/>
            <w:tcBorders>
              <w:top w:val="nil"/>
              <w:left w:val="single" w:sz="8" w:space="0" w:color="auto"/>
              <w:bottom w:val="single" w:sz="4" w:space="0" w:color="000000"/>
              <w:right w:val="single" w:sz="4" w:space="0" w:color="auto"/>
            </w:tcBorders>
            <w:shd w:val="clear" w:color="FFFFCC" w:fill="FFFFFF"/>
            <w:noWrap/>
            <w:vAlign w:val="center"/>
            <w:hideMark/>
          </w:tcPr>
          <w:p w14:paraId="7AE1E67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676" w:type="dxa"/>
            <w:gridSpan w:val="4"/>
            <w:tcBorders>
              <w:top w:val="single" w:sz="4" w:space="0" w:color="auto"/>
              <w:left w:val="nil"/>
              <w:right w:val="single" w:sz="8" w:space="0" w:color="000000"/>
            </w:tcBorders>
            <w:shd w:val="clear" w:color="FFFFCC" w:fill="FFFFFF"/>
            <w:vAlign w:val="center"/>
            <w:hideMark/>
          </w:tcPr>
          <w:p w14:paraId="4752AD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 la documentación registrada en el SIDIG respecto a solicitudes de limpieza y de control de plagas, análisis de los casos registrados.</w:t>
            </w:r>
          </w:p>
        </w:tc>
      </w:tr>
      <w:tr w:rsidR="009F2B65" w:rsidRPr="00285D58" w14:paraId="7DC3ECF4" w14:textId="77777777" w:rsidTr="00242093">
        <w:trPr>
          <w:trHeight w:val="593"/>
          <w:jc w:val="center"/>
        </w:trPr>
        <w:tc>
          <w:tcPr>
            <w:tcW w:w="1423" w:type="dxa"/>
            <w:tcBorders>
              <w:top w:val="nil"/>
              <w:left w:val="single" w:sz="8" w:space="0" w:color="auto"/>
              <w:bottom w:val="single" w:sz="4" w:space="0" w:color="auto"/>
              <w:right w:val="single" w:sz="4" w:space="0" w:color="auto"/>
            </w:tcBorders>
            <w:shd w:val="clear" w:color="FFFFCC" w:fill="FFFFFF"/>
            <w:noWrap/>
            <w:vAlign w:val="center"/>
            <w:hideMark/>
          </w:tcPr>
          <w:p w14:paraId="3658F1C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676" w:type="dxa"/>
            <w:gridSpan w:val="4"/>
            <w:tcBorders>
              <w:top w:val="single" w:sz="4" w:space="0" w:color="auto"/>
              <w:left w:val="nil"/>
              <w:bottom w:val="single" w:sz="4" w:space="0" w:color="auto"/>
              <w:right w:val="single" w:sz="8" w:space="0" w:color="000000"/>
            </w:tcBorders>
            <w:shd w:val="clear" w:color="FFFFCC" w:fill="FFFFFF"/>
            <w:vAlign w:val="center"/>
            <w:hideMark/>
          </w:tcPr>
          <w:p w14:paraId="0D407B3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Este indicador aplica a todos los ambientes pertenecientes a las Estaciones.</w:t>
            </w:r>
          </w:p>
        </w:tc>
      </w:tr>
      <w:tr w:rsidR="009F2B65" w:rsidRPr="00285D58" w14:paraId="6778F8BD" w14:textId="77777777" w:rsidTr="00242093">
        <w:trPr>
          <w:trHeight w:val="1132"/>
          <w:jc w:val="center"/>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6066562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676" w:type="dxa"/>
            <w:gridSpan w:val="4"/>
            <w:tcBorders>
              <w:top w:val="single" w:sz="4" w:space="0" w:color="auto"/>
              <w:left w:val="nil"/>
              <w:bottom w:val="single" w:sz="4" w:space="0" w:color="auto"/>
              <w:right w:val="single" w:sz="8" w:space="0" w:color="000000"/>
            </w:tcBorders>
            <w:shd w:val="clear" w:color="auto" w:fill="auto"/>
            <w:vAlign w:val="center"/>
          </w:tcPr>
          <w:p w14:paraId="51033C2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El plazo de atención para las solicitudes de servicio será de hasta 60 minutos para el aseo o limpieza, y de hasta 1 Día Calendario para el control de plagas.</w:t>
            </w:r>
          </w:p>
          <w:p w14:paraId="042884C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Si la solicitud se reporta en una hora que no corresponde a la jornada laboral del personal de prestación del servicio, el inicio del plazo de atención contará desde el inicio del siguiente turno de trabajo.</w:t>
            </w:r>
          </w:p>
          <w:p w14:paraId="217ABED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Los documentos en los que se apoyará el Supervisor para la medición del indicador son los siguientes:</w:t>
            </w:r>
          </w:p>
          <w:p w14:paraId="7CF894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Reportes de solicitudes de servicio registrados en el SIDIG y su documentación.</w:t>
            </w:r>
          </w:p>
        </w:tc>
      </w:tr>
      <w:tr w:rsidR="009F2B65" w:rsidRPr="00285D58" w14:paraId="7F1A5B18" w14:textId="77777777" w:rsidTr="00242093">
        <w:trPr>
          <w:trHeight w:val="286"/>
          <w:jc w:val="center"/>
        </w:trPr>
        <w:tc>
          <w:tcPr>
            <w:tcW w:w="1423"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26EB5F7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224" w:type="dxa"/>
            <w:gridSpan w:val="2"/>
            <w:tcBorders>
              <w:top w:val="single" w:sz="4" w:space="0" w:color="auto"/>
              <w:left w:val="nil"/>
              <w:bottom w:val="single" w:sz="4" w:space="0" w:color="auto"/>
              <w:right w:val="single" w:sz="4" w:space="0" w:color="auto"/>
            </w:tcBorders>
            <w:shd w:val="clear" w:color="CCCCFF" w:fill="5B9BD5"/>
            <w:vAlign w:val="center"/>
            <w:hideMark/>
          </w:tcPr>
          <w:p w14:paraId="2EBA859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452" w:type="dxa"/>
            <w:gridSpan w:val="2"/>
            <w:tcBorders>
              <w:top w:val="single" w:sz="4" w:space="0" w:color="auto"/>
              <w:left w:val="nil"/>
              <w:bottom w:val="single" w:sz="4" w:space="0" w:color="auto"/>
              <w:right w:val="single" w:sz="8" w:space="0" w:color="000000"/>
            </w:tcBorders>
            <w:shd w:val="clear" w:color="CCCCFF" w:fill="5B9BD5"/>
            <w:vAlign w:val="center"/>
            <w:hideMark/>
          </w:tcPr>
          <w:p w14:paraId="44A4BE0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61B1E21D" w14:textId="77777777" w:rsidTr="00242093">
        <w:trPr>
          <w:trHeight w:val="300"/>
          <w:jc w:val="center"/>
        </w:trPr>
        <w:tc>
          <w:tcPr>
            <w:tcW w:w="1423"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125980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32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4675E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452"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C25D03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24E329B2" w14:textId="77777777" w:rsidTr="00242093">
        <w:trPr>
          <w:trHeight w:val="255"/>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003C505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14F2629C" w14:textId="77777777" w:rsidTr="00242093">
        <w:trPr>
          <w:trHeight w:val="296"/>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9C3507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8806EED" w14:textId="77777777" w:rsidTr="00242093">
        <w:trPr>
          <w:trHeight w:val="276"/>
          <w:jc w:val="center"/>
        </w:trPr>
        <w:tc>
          <w:tcPr>
            <w:tcW w:w="9099"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1BDC6C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79B58E1E" w14:textId="77777777" w:rsidTr="00242093">
        <w:trPr>
          <w:trHeight w:val="255"/>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22C6CB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849" w:type="dxa"/>
            <w:gridSpan w:val="3"/>
            <w:tcBorders>
              <w:top w:val="single" w:sz="4" w:space="0" w:color="auto"/>
              <w:left w:val="nil"/>
              <w:bottom w:val="single" w:sz="4" w:space="0" w:color="auto"/>
              <w:right w:val="single" w:sz="8" w:space="0" w:color="000000"/>
            </w:tcBorders>
            <w:shd w:val="clear" w:color="auto" w:fill="auto"/>
            <w:vAlign w:val="center"/>
            <w:hideMark/>
          </w:tcPr>
          <w:p w14:paraId="0D54650E"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17654C19" w14:textId="77777777" w:rsidTr="00242093">
        <w:trPr>
          <w:trHeight w:val="300"/>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51A12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84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40DC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7EC04D0" w14:textId="77777777" w:rsidTr="00242093">
        <w:trPr>
          <w:trHeight w:val="276"/>
          <w:jc w:val="center"/>
        </w:trPr>
        <w:tc>
          <w:tcPr>
            <w:tcW w:w="2250"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42517B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849" w:type="dxa"/>
            <w:gridSpan w:val="3"/>
            <w:vMerge/>
            <w:tcBorders>
              <w:top w:val="single" w:sz="4" w:space="0" w:color="auto"/>
              <w:left w:val="single" w:sz="4" w:space="0" w:color="auto"/>
              <w:bottom w:val="single" w:sz="4" w:space="0" w:color="000000"/>
              <w:right w:val="single" w:sz="8" w:space="0" w:color="000000"/>
            </w:tcBorders>
            <w:vAlign w:val="center"/>
            <w:hideMark/>
          </w:tcPr>
          <w:p w14:paraId="3E0B05D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F4955FA" w14:textId="77777777" w:rsidTr="00242093">
        <w:trPr>
          <w:trHeight w:val="276"/>
          <w:jc w:val="center"/>
        </w:trPr>
        <w:tc>
          <w:tcPr>
            <w:tcW w:w="2250"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4481752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849" w:type="dxa"/>
            <w:gridSpan w:val="3"/>
            <w:tcBorders>
              <w:top w:val="single" w:sz="4" w:space="0" w:color="auto"/>
              <w:left w:val="nil"/>
              <w:bottom w:val="single" w:sz="4" w:space="0" w:color="auto"/>
              <w:right w:val="single" w:sz="8" w:space="0" w:color="000000"/>
            </w:tcBorders>
            <w:shd w:val="clear" w:color="auto" w:fill="auto"/>
            <w:vAlign w:val="center"/>
            <w:hideMark/>
          </w:tcPr>
          <w:p w14:paraId="35775D7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E058A3E" w14:textId="77777777" w:rsidTr="00242093">
        <w:trPr>
          <w:trHeight w:val="300"/>
          <w:jc w:val="center"/>
        </w:trPr>
        <w:tc>
          <w:tcPr>
            <w:tcW w:w="1423"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74370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3470E8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84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6A9E17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68808F8B" w14:textId="77777777" w:rsidTr="00242093">
        <w:trPr>
          <w:trHeight w:val="288"/>
          <w:jc w:val="center"/>
        </w:trPr>
        <w:tc>
          <w:tcPr>
            <w:tcW w:w="1423"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5953F0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099F7C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849" w:type="dxa"/>
            <w:gridSpan w:val="3"/>
            <w:vMerge/>
            <w:tcBorders>
              <w:top w:val="nil"/>
              <w:left w:val="nil"/>
              <w:bottom w:val="single" w:sz="8" w:space="0" w:color="auto"/>
              <w:right w:val="single" w:sz="4" w:space="0" w:color="auto"/>
            </w:tcBorders>
            <w:vAlign w:val="center"/>
            <w:hideMark/>
          </w:tcPr>
          <w:p w14:paraId="4669EB9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270FB977" w14:textId="77777777" w:rsidR="009F2B65" w:rsidRPr="00285D58" w:rsidRDefault="009F2B65" w:rsidP="008D1FFF">
      <w:pPr>
        <w:spacing w:line="276" w:lineRule="auto"/>
        <w:rPr>
          <w:rFonts w:asciiTheme="minorHAnsi" w:hAnsiTheme="minorHAnsi" w:cstheme="minorHAnsi"/>
          <w:lang w:val="es-PE"/>
        </w:rPr>
      </w:pPr>
    </w:p>
    <w:p w14:paraId="214AC846" w14:textId="77777777" w:rsidR="009F2B65" w:rsidRPr="00285D58" w:rsidRDefault="009F2B65" w:rsidP="008D1FFF">
      <w:pPr>
        <w:spacing w:line="276" w:lineRule="auto"/>
        <w:rPr>
          <w:rFonts w:asciiTheme="minorHAnsi" w:hAnsiTheme="minorHAnsi" w:cstheme="minorHAnsi"/>
          <w:lang w:val="es-PE"/>
        </w:rPr>
      </w:pPr>
    </w:p>
    <w:p w14:paraId="4CF1E831"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p w14:paraId="77657391"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37" w:name="_Toc174098015"/>
      <w:bookmarkStart w:id="238" w:name="_Toc180162667"/>
      <w:bookmarkStart w:id="239" w:name="_Toc182582270"/>
      <w:r w:rsidRPr="00285D58">
        <w:rPr>
          <w:rFonts w:asciiTheme="minorHAnsi" w:hAnsiTheme="minorHAnsi" w:cstheme="minorHAnsi"/>
          <w:b/>
          <w:color w:val="1F4E79" w:themeColor="accent5" w:themeShade="80"/>
          <w:sz w:val="22"/>
          <w:szCs w:val="22"/>
          <w:lang w:val="es-PE"/>
        </w:rPr>
        <w:lastRenderedPageBreak/>
        <w:t>SERVICIO DE TRANSPORTE POR TELEFÉRICO</w:t>
      </w:r>
      <w:bookmarkEnd w:id="237"/>
      <w:bookmarkEnd w:id="238"/>
      <w:bookmarkEnd w:id="239"/>
    </w:p>
    <w:p w14:paraId="0A0F84BB"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593A3B40"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1063A19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F32AF19"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9FFDE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80B269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3ED5341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43D4F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12D6E66"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74142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E36976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STT.1</w:t>
            </w:r>
          </w:p>
        </w:tc>
        <w:tc>
          <w:tcPr>
            <w:tcW w:w="1216" w:type="dxa"/>
            <w:tcBorders>
              <w:top w:val="nil"/>
              <w:left w:val="nil"/>
              <w:bottom w:val="single" w:sz="4" w:space="0" w:color="auto"/>
              <w:right w:val="single" w:sz="4" w:space="0" w:color="auto"/>
            </w:tcBorders>
            <w:shd w:val="clear" w:color="FFFFCC" w:fill="FFFFFF"/>
            <w:vAlign w:val="center"/>
            <w:hideMark/>
          </w:tcPr>
          <w:p w14:paraId="1F5B25D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6C726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72.00 %</w:t>
            </w:r>
          </w:p>
        </w:tc>
      </w:tr>
      <w:tr w:rsidR="009F2B65" w:rsidRPr="00285D58" w14:paraId="2A9C7B25"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6F1152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49C5215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del Servicio de Transporte por Teleférico</w:t>
            </w:r>
          </w:p>
        </w:tc>
      </w:tr>
      <w:tr w:rsidR="009F2B65" w:rsidRPr="00285D58" w14:paraId="67E3B434"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02CF5E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8D61D0A"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5851BB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E83FEE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el servicio de transporte por teleféricos entre las Estaciones de Salida y el Monumento Arqueológico de Choquequirao se encuentre disponible para el Usuario.</w:t>
            </w:r>
          </w:p>
        </w:tc>
      </w:tr>
      <w:tr w:rsidR="009F2B65" w:rsidRPr="00285D58" w14:paraId="1FA5513D"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924C2B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40B6E706" w14:textId="77777777" w:rsidR="00716325" w:rsidRPr="00285D58" w:rsidRDefault="00716325" w:rsidP="00716325">
            <w:pPr>
              <w:pStyle w:val="Default"/>
              <w:rPr>
                <w:rFonts w:asciiTheme="minorHAnsi" w:eastAsia="Times New Roman" w:hAnsiTheme="minorHAnsi" w:cstheme="minorHAnsi"/>
                <w:color w:val="auto"/>
                <w:sz w:val="16"/>
                <w:szCs w:val="16"/>
                <w:lang w:val="es-PE"/>
              </w:rPr>
            </w:pPr>
            <w:r w:rsidRPr="00285D58">
              <w:rPr>
                <w:rFonts w:asciiTheme="minorHAnsi" w:eastAsia="Times New Roman" w:hAnsiTheme="minorHAnsi" w:cstheme="minorHAnsi"/>
                <w:color w:val="auto"/>
                <w:sz w:val="16"/>
                <w:szCs w:val="16"/>
                <w:lang w:val="es-PE"/>
              </w:rPr>
              <w:t xml:space="preserve">De acuerdo con la Sección 3 del Anexo 9 </w:t>
            </w:r>
          </w:p>
          <w:p w14:paraId="524E4476" w14:textId="536119BC" w:rsidR="009F2B65" w:rsidRPr="00285D58" w:rsidRDefault="009F2B65" w:rsidP="008D1FFF">
            <w:pPr>
              <w:spacing w:line="276" w:lineRule="auto"/>
              <w:rPr>
                <w:rFonts w:asciiTheme="minorHAnsi" w:eastAsia="Times New Roman" w:hAnsiTheme="minorHAnsi" w:cstheme="minorHAnsi"/>
                <w:sz w:val="16"/>
                <w:szCs w:val="16"/>
                <w:lang w:val="es-PE"/>
              </w:rPr>
            </w:pPr>
          </w:p>
        </w:tc>
      </w:tr>
      <w:tr w:rsidR="009F2B65" w:rsidRPr="00285D58" w14:paraId="18B1AAB2"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242A59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7CB2E0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del Registro de Explotación integrado al SIDIG.</w:t>
            </w:r>
          </w:p>
        </w:tc>
      </w:tr>
      <w:tr w:rsidR="009F2B65" w:rsidRPr="00285D58" w14:paraId="0687B03F"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2EE349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763B0F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 disponibilidad del servicio de transporte por teleférico a cargo del CONCESIONARIO, a través del Registro de Explotación, el tiempo de funcionamiento programado de los teleféricos y el tiempo que encuentran indisponibles. </w:t>
            </w:r>
          </w:p>
        </w:tc>
      </w:tr>
      <w:tr w:rsidR="009F2B65" w:rsidRPr="00285D58" w14:paraId="3B12417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E81183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9899ED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indisponible los teleféricos en caso se de mantenimiento programado, de acuerdo al Plan Anual de Conservación y Mantenimiento y que haya sido previamente comunicado al Supervisor.</w:t>
            </w:r>
          </w:p>
          <w:p w14:paraId="0FA04B5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Conservación y Mantenimiento.</w:t>
            </w:r>
          </w:p>
          <w:p w14:paraId="137643C3" w14:textId="77777777" w:rsidR="009F2B65" w:rsidRPr="00285D58" w:rsidRDefault="009F2B65" w:rsidP="00A3732C">
            <w:pPr>
              <w:widowControl/>
              <w:numPr>
                <w:ilvl w:val="0"/>
                <w:numId w:val="256"/>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Registro de Explotación</w:t>
            </w:r>
          </w:p>
        </w:tc>
      </w:tr>
      <w:tr w:rsidR="009F2B65" w:rsidRPr="00285D58" w14:paraId="383DD29A"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6656F5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3C6CDD3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76EFF1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7C55357"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6C53A5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Diario</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75BA74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22DCEF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90 – Hasta el tercer año de operación. </w:t>
            </w:r>
          </w:p>
          <w:p w14:paraId="526A016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 xml:space="preserve">95 – A partir del cuarto año de operación. </w:t>
            </w:r>
          </w:p>
        </w:tc>
      </w:tr>
      <w:tr w:rsidR="009F2B65" w:rsidRPr="00285D58" w14:paraId="42975020"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81B18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F5ED6D5"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41E9BF5B"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diarios para el trimestre de evaluación. </w:t>
            </w:r>
          </w:p>
        </w:tc>
      </w:tr>
      <w:tr w:rsidR="009F2B65" w:rsidRPr="00285D58" w14:paraId="0DF119B1"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4647BE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09C8568"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573628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698D7D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945A6F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FB6B2C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7EF49D5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282CB284"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02241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4D2BE63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FA4FFD2"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55C92B33"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18B14AD"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88B45C6"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7F7065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4ABBE6F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59963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B819495"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20084B6"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48F0146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3D4BAE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52DE89A"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2A31EC43"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5D4138E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1B91F5D"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8418C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65A879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0B386C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0E9F562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75A4CBB9"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5F4FCA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28DE3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STT.2</w:t>
            </w:r>
          </w:p>
        </w:tc>
        <w:tc>
          <w:tcPr>
            <w:tcW w:w="1216" w:type="dxa"/>
            <w:tcBorders>
              <w:top w:val="nil"/>
              <w:left w:val="nil"/>
              <w:bottom w:val="single" w:sz="4" w:space="0" w:color="auto"/>
              <w:right w:val="single" w:sz="4" w:space="0" w:color="auto"/>
            </w:tcBorders>
            <w:shd w:val="clear" w:color="FFFFCC" w:fill="FFFFFF"/>
            <w:vAlign w:val="center"/>
            <w:hideMark/>
          </w:tcPr>
          <w:p w14:paraId="38577B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F34BF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9.00 %</w:t>
            </w:r>
          </w:p>
        </w:tc>
      </w:tr>
      <w:tr w:rsidR="009F2B65" w:rsidRPr="00285D58" w14:paraId="71E795C7"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E287A0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01DF630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del Servicio de Transporte por Bus</w:t>
            </w:r>
          </w:p>
        </w:tc>
      </w:tr>
      <w:tr w:rsidR="009F2B65" w:rsidRPr="00285D58" w14:paraId="668FC4BE"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C69EC0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8DC3FBC"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7B99D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04C8DD3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el servicio de transporte por bus entre las Estaciones Centrales y Estaciones de Salida se encuentre disponible para el Usuario.</w:t>
            </w:r>
          </w:p>
        </w:tc>
      </w:tr>
      <w:tr w:rsidR="009F2B65" w:rsidRPr="00285D58" w14:paraId="7F083AEE"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485C93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3B852C7B" w14:textId="3FC5A75B" w:rsidR="009F2B65" w:rsidRPr="00285D58" w:rsidRDefault="00716325" w:rsidP="00716325">
            <w:pPr>
              <w:pStyle w:val="Default"/>
              <w:rPr>
                <w:rFonts w:asciiTheme="minorHAnsi" w:eastAsia="Times New Roman" w:hAnsiTheme="minorHAnsi" w:cstheme="minorHAnsi"/>
                <w:color w:val="auto"/>
                <w:sz w:val="16"/>
                <w:szCs w:val="16"/>
                <w:lang w:val="es-PE"/>
              </w:rPr>
            </w:pPr>
            <w:r w:rsidRPr="00285D58">
              <w:rPr>
                <w:rFonts w:asciiTheme="minorHAnsi" w:eastAsia="Times New Roman" w:hAnsiTheme="minorHAnsi" w:cstheme="minorHAnsi"/>
                <w:color w:val="auto"/>
                <w:sz w:val="16"/>
                <w:szCs w:val="16"/>
                <w:lang w:val="es-PE"/>
              </w:rPr>
              <w:t xml:space="preserve">De acuerdo con la Sección 3 del Anexo 9 </w:t>
            </w:r>
          </w:p>
        </w:tc>
      </w:tr>
      <w:tr w:rsidR="009F2B65" w:rsidRPr="00285D58" w14:paraId="632EE814"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9C9AAE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48AE563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Revisión del registro de actividades en el SIDIG.</w:t>
            </w:r>
          </w:p>
        </w:tc>
      </w:tr>
      <w:tr w:rsidR="009F2B65" w:rsidRPr="00285D58" w14:paraId="331A8481"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98A2E8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652763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 disponibilidad del servicio de transporte por bus a cargo del CONCESIONARIO, a través del registro de actividades en el SIDIG, el tiempo de funcionamiento programado de los buses y el tiempo que se encuentran indisponibles. </w:t>
            </w:r>
          </w:p>
        </w:tc>
      </w:tr>
      <w:tr w:rsidR="009F2B65" w:rsidRPr="00285D58" w14:paraId="6EF222DB"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B5A0D6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8C1C9C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indisponible los buses en caso se de mantenimiento programado, de acuerdo al Plan Anual de Conservación y Mantenimiento y que haya sido previamente comunicado al Supervisor.</w:t>
            </w:r>
          </w:p>
          <w:p w14:paraId="6D67374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Conservación y Mantenimiento.</w:t>
            </w:r>
          </w:p>
          <w:p w14:paraId="2BBF8F88" w14:textId="77777777" w:rsidR="009F2B65" w:rsidRPr="00285D58" w:rsidRDefault="009F2B65" w:rsidP="00A3732C">
            <w:pPr>
              <w:widowControl/>
              <w:numPr>
                <w:ilvl w:val="0"/>
                <w:numId w:val="256"/>
              </w:numPr>
              <w:spacing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Registro de actividades en el SIDIG.</w:t>
            </w:r>
          </w:p>
        </w:tc>
      </w:tr>
      <w:tr w:rsidR="009F2B65" w:rsidRPr="00285D58" w14:paraId="61145CD3"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5A300C3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051801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1AC7BC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D0E899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539FE5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Diario</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DF3AD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AE0AE1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90 – Hasta el tercer año de operación. </w:t>
            </w:r>
          </w:p>
          <w:p w14:paraId="3883382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 xml:space="preserve">95 – A partir del cuarto año de operación. </w:t>
            </w:r>
          </w:p>
        </w:tc>
      </w:tr>
      <w:tr w:rsidR="009F2B65" w:rsidRPr="00285D58" w14:paraId="1B264E3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1C2042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809FDBC"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79486F4"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diarios para el trimestre de evaluación. </w:t>
            </w:r>
          </w:p>
        </w:tc>
      </w:tr>
      <w:tr w:rsidR="009F2B65" w:rsidRPr="00285D58" w14:paraId="7C67E97A"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0257C68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24201D93"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974F59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6FF886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6224C26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F1B618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87A2D3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582927A9"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742270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FE03A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D8C452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DE3651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7AB313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7D480A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946B7A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59002F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71DA87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2D0F8CC8"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3E591D2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7BC127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3C0BD5A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898A1D5" w14:textId="77777777" w:rsidR="009F2B65" w:rsidRPr="00285D58" w:rsidRDefault="009F2B65" w:rsidP="008D1FFF">
      <w:pPr>
        <w:spacing w:line="276" w:lineRule="auto"/>
        <w:rPr>
          <w:rFonts w:asciiTheme="minorHAnsi" w:hAnsiTheme="minorHAnsi" w:cstheme="minorHAnsi"/>
          <w:lang w:val="es-PE"/>
        </w:rPr>
      </w:pPr>
    </w:p>
    <w:p w14:paraId="228545AB" w14:textId="77777777" w:rsidR="009F2B65" w:rsidRPr="00285D58" w:rsidRDefault="009F2B65" w:rsidP="008D1FFF">
      <w:pPr>
        <w:spacing w:line="276" w:lineRule="auto"/>
        <w:rPr>
          <w:rFonts w:asciiTheme="minorHAnsi" w:hAnsiTheme="minorHAnsi" w:cstheme="minorHAnsi"/>
          <w:lang w:val="es-PE"/>
        </w:rPr>
      </w:pPr>
    </w:p>
    <w:p w14:paraId="6DCE6A10"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6A61B018"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2C7E9D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0A483754"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0AD79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A11D2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78C2D70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5BFCDD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6D3EA374"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F7F47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0F6B0E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STT.3</w:t>
            </w:r>
          </w:p>
        </w:tc>
        <w:tc>
          <w:tcPr>
            <w:tcW w:w="1216" w:type="dxa"/>
            <w:tcBorders>
              <w:top w:val="nil"/>
              <w:left w:val="nil"/>
              <w:bottom w:val="single" w:sz="4" w:space="0" w:color="auto"/>
              <w:right w:val="single" w:sz="4" w:space="0" w:color="auto"/>
            </w:tcBorders>
            <w:shd w:val="clear" w:color="FFFFCC" w:fill="FFFFFF"/>
            <w:vAlign w:val="center"/>
            <w:hideMark/>
          </w:tcPr>
          <w:p w14:paraId="32ED600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78A3C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3.00 %</w:t>
            </w:r>
          </w:p>
        </w:tc>
      </w:tr>
      <w:tr w:rsidR="009F2B65" w:rsidRPr="00285D58" w14:paraId="0211701E"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7118D8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76E6B27"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Nivel de Satisfacción del Usuario</w:t>
            </w:r>
          </w:p>
        </w:tc>
      </w:tr>
      <w:tr w:rsidR="009F2B65" w:rsidRPr="00285D58" w14:paraId="0D6C4B73"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206E42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4D35641"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972EB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8E7848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estimar el nivel de satisfacción del Usuario respecto a los servicios prestados por el CONCESIONARIO. </w:t>
            </w:r>
          </w:p>
        </w:tc>
      </w:tr>
      <w:tr w:rsidR="009F2B65" w:rsidRPr="00285D58" w14:paraId="08DD14B3"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AA0CC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05C244FB" w14:textId="77777777" w:rsidR="009F2B65" w:rsidRPr="00285D58" w:rsidRDefault="00000000" w:rsidP="008D1FFF">
            <w:pPr>
              <w:spacing w:line="276" w:lineRule="auto"/>
              <w:rPr>
                <w:rFonts w:asciiTheme="minorHAnsi" w:eastAsia="Times New Roman" w:hAnsiTheme="minorHAnsi" w:cstheme="minorHAnsi"/>
                <w:color w:val="000000"/>
                <w:sz w:val="16"/>
                <w:szCs w:val="16"/>
                <w:lang w:val="es-PE"/>
              </w:rPr>
            </w:pPr>
            <m:oMathPara>
              <m:oMath>
                <m:f>
                  <m:fPr>
                    <m:ctrlPr>
                      <w:rPr>
                        <w:rFonts w:ascii="Cambria Math" w:eastAsia="Times New Roman" w:hAnsi="Cambria Math" w:cstheme="minorHAnsi"/>
                        <w:i/>
                        <w:sz w:val="16"/>
                        <w:szCs w:val="16"/>
                        <w:lang w:val="es-PE"/>
                      </w:rPr>
                    </m:ctrlPr>
                  </m:fPr>
                  <m:num>
                    <m:r>
                      <w:rPr>
                        <w:rFonts w:ascii="Cambria Math" w:eastAsia="Times New Roman" w:hAnsi="Cambria Math" w:cstheme="minorHAnsi"/>
                        <w:sz w:val="16"/>
                        <w:szCs w:val="16"/>
                        <w:lang w:val="es-PE"/>
                      </w:rPr>
                      <m:t xml:space="preserve">N° de preguntas que obtuvieron un puntaje de 3,4 y 5 en la encuesta </m:t>
                    </m:r>
                  </m:num>
                  <m:den>
                    <m:r>
                      <w:rPr>
                        <w:rFonts w:ascii="Cambria Math" w:eastAsia="Times New Roman" w:hAnsi="Cambria Math" w:cstheme="minorHAnsi"/>
                        <w:sz w:val="16"/>
                        <w:szCs w:val="16"/>
                        <w:lang w:val="es-PE"/>
                      </w:rPr>
                      <m:t>N° total de preguntas en la encuesta</m:t>
                    </m:r>
                  </m:den>
                </m:f>
                <m:r>
                  <w:rPr>
                    <w:rFonts w:ascii="Cambria Math" w:eastAsia="Times New Roman" w:hAnsi="Cambria Math" w:cstheme="minorHAnsi"/>
                    <w:sz w:val="16"/>
                    <w:szCs w:val="16"/>
                    <w:lang w:val="es-PE"/>
                  </w:rPr>
                  <m:t xml:space="preserve"> x 100</m:t>
                </m:r>
              </m:oMath>
            </m:oMathPara>
          </w:p>
        </w:tc>
      </w:tr>
      <w:tr w:rsidR="009F2B65" w:rsidRPr="00285D58" w14:paraId="3338664B"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246FBD6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6DC17F2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Documentario: Realización de encuestas de Satisfacción al Usuario.</w:t>
            </w:r>
          </w:p>
        </w:tc>
      </w:tr>
      <w:tr w:rsidR="009F2B65" w:rsidRPr="00285D58" w14:paraId="74E44195"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5B924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AC50F2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la medición del nivel de satisfacción por parte de los Usuarios respecto a los servicios prestados por el CONCESIONARIO. </w:t>
            </w:r>
          </w:p>
        </w:tc>
      </w:tr>
      <w:tr w:rsidR="009F2B65" w:rsidRPr="00285D58" w14:paraId="4762F9B6"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73B4E44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DA6F220" w14:textId="39214A02" w:rsidR="009F2B65" w:rsidRPr="00285D58" w:rsidRDefault="009F2B65" w:rsidP="008D1FFF">
            <w:pPr>
              <w:spacing w:line="276" w:lineRule="auto"/>
              <w:jc w:val="both"/>
              <w:rPr>
                <w:rFonts w:asciiTheme="minorHAnsi" w:hAnsiTheme="minorHAnsi" w:cstheme="minorHAnsi"/>
                <w:sz w:val="16"/>
                <w:szCs w:val="16"/>
                <w:lang w:val="es-PE"/>
              </w:rPr>
            </w:pPr>
            <w:r w:rsidRPr="00285D58">
              <w:rPr>
                <w:rFonts w:asciiTheme="minorHAnsi" w:hAnsiTheme="minorHAnsi" w:cstheme="minorHAnsi"/>
                <w:sz w:val="16"/>
                <w:szCs w:val="16"/>
                <w:lang w:val="es-PE"/>
              </w:rPr>
              <w:t xml:space="preserve">El CONCESIONARIO realizará encuestas mensuales para determinar el índice de Satisfacción del Usuario. Para la encuesta, se definirá un tamaño muestral que sea robusta y estadísticamente representativo. El diseño de la encuesta y los atributos (variables a medir) serán definidos en coordinación con el CONCEDENTE y el Supervisor. La encuesta deberá permitir la identificación del perfil del turista que hace uso del servicio, categoría socioeconómica, motivo de viaje, etc. </w:t>
            </w:r>
          </w:p>
          <w:p w14:paraId="4D210472" w14:textId="2B6151F9" w:rsidR="00237826" w:rsidRPr="00285D58" w:rsidRDefault="00D018E2" w:rsidP="008D1FFF">
            <w:pPr>
              <w:spacing w:line="276" w:lineRule="auto"/>
              <w:jc w:val="both"/>
              <w:rPr>
                <w:rFonts w:asciiTheme="minorHAnsi" w:hAnsiTheme="minorHAnsi" w:cstheme="minorHAnsi"/>
                <w:sz w:val="16"/>
                <w:szCs w:val="16"/>
                <w:lang w:val="es-PE"/>
              </w:rPr>
            </w:pPr>
            <w:r w:rsidRPr="00285D58">
              <w:rPr>
                <w:rFonts w:asciiTheme="minorHAnsi" w:hAnsiTheme="minorHAnsi" w:cstheme="minorHAnsi"/>
                <w:sz w:val="16"/>
                <w:szCs w:val="16"/>
                <w:lang w:val="es-PE"/>
              </w:rPr>
              <w:t>Como mínimo las encuestas deberán contemplar las siguientes variables o aspectos del servicio: frecuencia del Servicio, tiempo de viaje, puntualidad, limpieza de cabinas, buses y estaciones, información por demoras, trato del personal, iluminación en estaciones, estado general de cabinas, buses y estaciones, estado general de los caminos peatonales entre las estaciones y el monumento, estado de la señalética, facilidad para la adquisición de boletos y tiempo de espera en boleterías, estado general de plataformas web de información y atención de reclamos virtual, accesibilidad para personas con discapacidad y de las personas adultas mayores, comodidad del viaje, interrupciones, seguridad por accidentes, seguridad frente a delitos y otros servicios complementarios que el Concesionario pueda ofertar dentro del Área de la Concesión.</w:t>
            </w:r>
          </w:p>
          <w:p w14:paraId="0ABA20D2" w14:textId="77777777" w:rsidR="009F2B65" w:rsidRPr="00285D58" w:rsidRDefault="009F2B65" w:rsidP="008D1FFF">
            <w:pPr>
              <w:spacing w:line="276" w:lineRule="auto"/>
              <w:jc w:val="both"/>
              <w:rPr>
                <w:rFonts w:asciiTheme="minorHAnsi" w:hAnsiTheme="minorHAnsi" w:cstheme="minorHAnsi"/>
                <w:sz w:val="16"/>
                <w:szCs w:val="16"/>
                <w:lang w:val="es-PE"/>
              </w:rPr>
            </w:pPr>
          </w:p>
          <w:p w14:paraId="2189BFDA" w14:textId="77777777" w:rsidR="009F2B65" w:rsidRPr="00285D58" w:rsidRDefault="009F2B65" w:rsidP="008D1FFF">
            <w:pPr>
              <w:spacing w:line="276" w:lineRule="auto"/>
              <w:jc w:val="both"/>
              <w:rPr>
                <w:rFonts w:asciiTheme="minorHAnsi" w:hAnsiTheme="minorHAnsi" w:cstheme="minorHAnsi"/>
                <w:sz w:val="16"/>
                <w:szCs w:val="16"/>
                <w:lang w:val="es-PE"/>
              </w:rPr>
            </w:pPr>
            <w:bookmarkStart w:id="240" w:name="_Hlk178713917"/>
            <w:r w:rsidRPr="00285D58">
              <w:rPr>
                <w:rFonts w:asciiTheme="minorHAnsi" w:hAnsiTheme="minorHAnsi" w:cstheme="minorHAnsi"/>
                <w:sz w:val="16"/>
                <w:szCs w:val="16"/>
                <w:lang w:val="es-PE"/>
              </w:rPr>
              <w:t>Para medir la calidad de los servicios, se empleará una escala de Likert, permitiendo a los encuestados evaluar cada aspecto asignando uno de los siguientes valores:</w:t>
            </w:r>
          </w:p>
          <w:p w14:paraId="3C91E470"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Malo</w:t>
            </w:r>
          </w:p>
          <w:p w14:paraId="43F57926"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Regular</w:t>
            </w:r>
          </w:p>
          <w:p w14:paraId="3B358630"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Bueno</w:t>
            </w:r>
          </w:p>
          <w:p w14:paraId="0F69C20C"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Muy Bueno</w:t>
            </w:r>
          </w:p>
          <w:p w14:paraId="6745FB55" w14:textId="77777777" w:rsidR="009F2B65" w:rsidRPr="00285D58" w:rsidRDefault="009F2B65" w:rsidP="00A3732C">
            <w:pPr>
              <w:pStyle w:val="Prrafodelista"/>
              <w:widowControl/>
              <w:numPr>
                <w:ilvl w:val="0"/>
                <w:numId w:val="258"/>
              </w:numPr>
              <w:spacing w:after="160"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Excelente</w:t>
            </w:r>
          </w:p>
          <w:bookmarkEnd w:id="240"/>
          <w:p w14:paraId="02C7D5D5"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 xml:space="preserve">El resultado de las encuestas mensuales deberá registrarse en el SIDIG en un plazo no mayor de quince (15) Días Calendario luego de su realización. El CONCEDENTE y el Supervisor, tendrán acceso, en todo momento a esta información. </w:t>
            </w:r>
          </w:p>
        </w:tc>
      </w:tr>
      <w:tr w:rsidR="009F2B65" w:rsidRPr="00285D58" w14:paraId="4CE44DAB"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3B1290D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524B4A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D811A8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F7808E5"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D8466A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63AE4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A20981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75</w:t>
            </w:r>
          </w:p>
        </w:tc>
      </w:tr>
      <w:tr w:rsidR="009F2B65" w:rsidRPr="00285D58" w14:paraId="43B0CE7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5AF9FEC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11094403"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0EEB7A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 para el trimestre de evaluación.</w:t>
            </w:r>
          </w:p>
        </w:tc>
      </w:tr>
      <w:tr w:rsidR="009F2B65" w:rsidRPr="00285D58" w14:paraId="5874A269"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B82EAC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66ECDC8"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878E1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2463743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3D8C1B1"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3D93D0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300751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B31ACA2"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D8B75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7A38AC2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1CD722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BB8B9E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28C1119D"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4C2FC0B"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1A10BE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6A52463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715C15F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3E377711"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74C1A1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D9109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00364D1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0DFA49C"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74A1AF15"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4EBAF04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lastRenderedPageBreak/>
              <w:t>FICHA TÉCNICA</w:t>
            </w:r>
          </w:p>
        </w:tc>
      </w:tr>
      <w:tr w:rsidR="009F2B65" w:rsidRPr="00285D58" w14:paraId="2D24B8CF"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9C6B5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720BB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1DC768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05F899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Visual</w:t>
            </w:r>
          </w:p>
        </w:tc>
      </w:tr>
      <w:tr w:rsidR="009F2B65" w:rsidRPr="00285D58" w14:paraId="2CC9CBCC"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4D2AEB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185BAA9" w14:textId="285DBB5C"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STT.4</w:t>
            </w:r>
          </w:p>
        </w:tc>
        <w:tc>
          <w:tcPr>
            <w:tcW w:w="1216" w:type="dxa"/>
            <w:tcBorders>
              <w:top w:val="nil"/>
              <w:left w:val="nil"/>
              <w:bottom w:val="single" w:sz="4" w:space="0" w:color="auto"/>
              <w:right w:val="single" w:sz="4" w:space="0" w:color="auto"/>
            </w:tcBorders>
            <w:shd w:val="clear" w:color="FFFFCC" w:fill="FFFFFF"/>
            <w:vAlign w:val="center"/>
            <w:hideMark/>
          </w:tcPr>
          <w:p w14:paraId="1256BBF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2474B829" w14:textId="4E69AADE"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3.00 %</w:t>
            </w:r>
          </w:p>
        </w:tc>
      </w:tr>
      <w:tr w:rsidR="009F2B65" w:rsidRPr="00285D58" w14:paraId="514F8FAB"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49C0ED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01F28E73" w14:textId="77777777" w:rsidR="009F2B65" w:rsidRPr="00285D58" w:rsidRDefault="009F2B65" w:rsidP="008D1FFF">
            <w:pPr>
              <w:spacing w:line="276" w:lineRule="auto"/>
              <w:rPr>
                <w:rFonts w:asciiTheme="minorHAnsi" w:hAnsiTheme="minorHAnsi" w:cstheme="minorHAnsi"/>
                <w:color w:val="000000"/>
                <w:sz w:val="16"/>
                <w:szCs w:val="16"/>
                <w:lang w:val="es-PE"/>
              </w:rPr>
            </w:pPr>
            <w:r w:rsidRPr="00285D58">
              <w:rPr>
                <w:rFonts w:asciiTheme="minorHAnsi" w:hAnsiTheme="minorHAnsi" w:cstheme="minorHAnsi"/>
                <w:color w:val="000000"/>
                <w:sz w:val="16"/>
                <w:szCs w:val="16"/>
                <w:lang w:val="es-PE"/>
              </w:rPr>
              <w:t>El Concesionario debe contar con una Oficina de Información y Atención al Usuario.</w:t>
            </w:r>
          </w:p>
        </w:tc>
      </w:tr>
      <w:tr w:rsidR="009F2B65" w:rsidRPr="00285D58" w14:paraId="735FBFB6"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4476E4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F57DA30"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B4AA2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9460C6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cuenta con una Oficina de Información y Atención al Usuario en las Estaciones Centrales de Yanama y Huanipaca. </w:t>
            </w:r>
          </w:p>
        </w:tc>
      </w:tr>
      <w:tr w:rsidR="009F2B65" w:rsidRPr="00285D58" w14:paraId="7F6FB9E4"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85A31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372772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cuenta con una Oficina de Información y Atención al Usuario en las Estaciones Centrales de Yanama y Huanipaca, se puntuará como 100; caso contario se puntuará como 0.</w:t>
            </w:r>
          </w:p>
        </w:tc>
      </w:tr>
      <w:tr w:rsidR="009F2B65" w:rsidRPr="00285D58" w14:paraId="0C114856"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C3B65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DC2FA8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Visual: El Supervisor deberá verificar in-situ la existencia de una Oficina de Atención de Usuarios. </w:t>
            </w:r>
          </w:p>
        </w:tc>
      </w:tr>
      <w:tr w:rsidR="009F2B65" w:rsidRPr="00285D58" w14:paraId="306660F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0CF6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5F26D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El Supervisor confirmará si el CONCESIONARIO cuenta con una Oficina de Atención de Usuarios.  </w:t>
            </w:r>
          </w:p>
        </w:tc>
      </w:tr>
      <w:tr w:rsidR="009F2B65" w:rsidRPr="00285D58" w14:paraId="190FED7D" w14:textId="77777777" w:rsidTr="00242093">
        <w:trPr>
          <w:trHeight w:val="1021"/>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62A2926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11D7A635"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No aplica</w:t>
            </w:r>
          </w:p>
        </w:tc>
      </w:tr>
      <w:tr w:rsidR="009F2B65" w:rsidRPr="00285D58" w14:paraId="6DE7D28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3168AA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62D23C5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3662230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47F3E0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184B4A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1421B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E5D833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100</w:t>
            </w:r>
          </w:p>
        </w:tc>
      </w:tr>
      <w:tr w:rsidR="009F2B65" w:rsidRPr="00285D58" w14:paraId="5EDF544F"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07C629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279663CE"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8B2348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Puntaje obtenido a partir del Indicador Trimestral </w:t>
            </w:r>
          </w:p>
        </w:tc>
      </w:tr>
      <w:tr w:rsidR="009F2B65" w:rsidRPr="00285D58" w14:paraId="7072124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F7FAF3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39F2998"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334B95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78B7F0D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2EF9735"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C0B7CC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6FBE4F2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046CF655"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C88B8D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5427582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BF1D76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6332D68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305C9CA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2D659DC"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7E1817B"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6131174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33572FE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553F4FD"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44220B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57ED02F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3A9871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00EA4403" w14:textId="77777777" w:rsidR="009F2B65" w:rsidRPr="00285D58" w:rsidRDefault="009F2B65" w:rsidP="008D1FFF">
      <w:pPr>
        <w:spacing w:line="276" w:lineRule="auto"/>
        <w:rPr>
          <w:rFonts w:asciiTheme="minorHAnsi" w:hAnsiTheme="minorHAnsi" w:cstheme="minorHAnsi"/>
          <w:lang w:val="es-PE"/>
        </w:rPr>
      </w:pPr>
    </w:p>
    <w:p w14:paraId="363FE01C" w14:textId="77777777" w:rsidR="009F2B65" w:rsidRPr="00285D58" w:rsidRDefault="009F2B65" w:rsidP="008D1FFF">
      <w:pPr>
        <w:spacing w:line="276" w:lineRule="auto"/>
        <w:rPr>
          <w:rFonts w:asciiTheme="minorHAnsi" w:hAnsiTheme="minorHAnsi" w:cstheme="minorHAnsi"/>
          <w:lang w:val="es-PE"/>
        </w:rPr>
      </w:pPr>
    </w:p>
    <w:p w14:paraId="4B8574C7" w14:textId="77777777" w:rsidR="009F2B65" w:rsidRPr="00285D58" w:rsidRDefault="009F2B65" w:rsidP="008D1FFF">
      <w:pPr>
        <w:spacing w:line="276" w:lineRule="auto"/>
        <w:rPr>
          <w:rFonts w:asciiTheme="minorHAnsi" w:hAnsiTheme="minorHAnsi" w:cstheme="minorHAnsi"/>
          <w:lang w:val="es-PE"/>
        </w:rPr>
      </w:pPr>
    </w:p>
    <w:p w14:paraId="59DDDD18" w14:textId="77777777" w:rsidR="009F2B65" w:rsidRPr="00285D58" w:rsidRDefault="009F2B65" w:rsidP="008D1FFF">
      <w:pPr>
        <w:spacing w:line="276" w:lineRule="auto"/>
        <w:rPr>
          <w:rFonts w:asciiTheme="minorHAnsi" w:hAnsiTheme="minorHAnsi" w:cstheme="minorHAnsi"/>
          <w:lang w:val="es-PE"/>
        </w:rPr>
      </w:pPr>
    </w:p>
    <w:p w14:paraId="2F77C3A7"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9F2B65" w:rsidRPr="00285D58" w14:paraId="40B50F58"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2099A0A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7909EE97"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D1A734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7AC5D3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1247D65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8F779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0CB37AA8"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D130D9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2EFE3C7E" w14:textId="46CCF7A4"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STT.5</w:t>
            </w:r>
          </w:p>
        </w:tc>
        <w:tc>
          <w:tcPr>
            <w:tcW w:w="1216" w:type="dxa"/>
            <w:tcBorders>
              <w:top w:val="nil"/>
              <w:left w:val="nil"/>
              <w:bottom w:val="single" w:sz="4" w:space="0" w:color="auto"/>
              <w:right w:val="single" w:sz="4" w:space="0" w:color="auto"/>
            </w:tcBorders>
            <w:shd w:val="clear" w:color="FFFFCC" w:fill="FFFFFF"/>
            <w:vAlign w:val="center"/>
            <w:hideMark/>
          </w:tcPr>
          <w:p w14:paraId="6A637C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05A4573D" w14:textId="397FA566" w:rsidR="009F2B65" w:rsidRPr="00285D58" w:rsidRDefault="00D018E2"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1.50</w:t>
            </w:r>
            <w:r w:rsidR="009F2B65" w:rsidRPr="00285D58">
              <w:rPr>
                <w:rFonts w:asciiTheme="minorHAnsi" w:eastAsia="Times New Roman" w:hAnsiTheme="minorHAnsi" w:cstheme="minorHAnsi"/>
                <w:color w:val="000000"/>
                <w:sz w:val="16"/>
                <w:szCs w:val="16"/>
                <w:lang w:val="es-PE"/>
              </w:rPr>
              <w:t xml:space="preserve"> %</w:t>
            </w:r>
          </w:p>
        </w:tc>
      </w:tr>
      <w:tr w:rsidR="009F2B65" w:rsidRPr="00285D58" w14:paraId="487C567B"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C753B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867282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debe atender los reclamos realizados por los usuarios en el Libro de Reclamaciones o Plataformas Web oficiales.</w:t>
            </w:r>
          </w:p>
        </w:tc>
      </w:tr>
      <w:tr w:rsidR="009F2B65" w:rsidRPr="00285D58" w14:paraId="7834C0E5"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50E7F41"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A1E714E"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AD8FAB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116288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atienda los reclamos realizados por los usuarios en el Libro de Reclamaciones o en las Plataformas Web oficiales. </w:t>
            </w:r>
          </w:p>
        </w:tc>
      </w:tr>
      <w:tr w:rsidR="009F2B65" w:rsidRPr="00285D58" w14:paraId="01115C50"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CED8D2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604C3C59" w14:textId="77777777" w:rsidR="009F2B65" w:rsidRPr="00285D58" w:rsidRDefault="009F2B65" w:rsidP="008D1FFF">
            <w:pPr>
              <w:spacing w:line="276" w:lineRule="auto"/>
              <w:rPr>
                <w:rFonts w:asciiTheme="minorHAnsi" w:eastAsia="Times New Roman" w:hAnsiTheme="minorHAnsi" w:cstheme="minorHAnsi"/>
                <w:color w:val="000000"/>
                <w:sz w:val="14"/>
                <w:szCs w:val="16"/>
                <w:lang w:val="es-PE"/>
              </w:rPr>
            </w:pPr>
            <m:oMathPara>
              <m:oMath>
                <m:r>
                  <w:rPr>
                    <w:rFonts w:ascii="Cambria Math" w:hAnsi="Cambria Math" w:cstheme="minorHAnsi"/>
                    <w:color w:val="000000"/>
                    <w:sz w:val="14"/>
                    <w:szCs w:val="16"/>
                    <w:lang w:val="es-PE"/>
                  </w:rPr>
                  <m:t>  </m:t>
                </m:r>
                <m:f>
                  <m:fPr>
                    <m:ctrlPr>
                      <w:rPr>
                        <w:rFonts w:ascii="Cambria Math" w:hAnsi="Cambria Math" w:cstheme="minorHAnsi"/>
                        <w:i/>
                        <w:iCs/>
                        <w:color w:val="000000"/>
                        <w:sz w:val="14"/>
                        <w:szCs w:val="16"/>
                        <w:lang w:val="es-PE"/>
                      </w:rPr>
                    </m:ctrlPr>
                  </m:fPr>
                  <m:num>
                    <m:r>
                      <w:rPr>
                        <w:rFonts w:ascii="Cambria Math" w:hAnsi="Cambria Math" w:cstheme="minorHAnsi"/>
                        <w:color w:val="000000"/>
                        <w:sz w:val="14"/>
                        <w:szCs w:val="16"/>
                        <w:lang w:val="es-PE"/>
                      </w:rPr>
                      <m:t xml:space="preserve">N° de reclamos registrados y atendidos </m:t>
                    </m:r>
                  </m:num>
                  <m:den>
                    <m:r>
                      <w:rPr>
                        <w:rFonts w:ascii="Cambria Math" w:hAnsi="Cambria Math" w:cstheme="minorHAnsi"/>
                        <w:color w:val="000000"/>
                        <w:sz w:val="14"/>
                        <w:szCs w:val="16"/>
                        <w:lang w:val="es-PE"/>
                      </w:rPr>
                      <m:t>N° reclamos registrados</m:t>
                    </m:r>
                  </m:den>
                </m:f>
                <m:r>
                  <m:rPr>
                    <m:sty m:val="p"/>
                  </m:rPr>
                  <w:rPr>
                    <w:rFonts w:ascii="Cambria Math" w:hAnsi="Cambria Math" w:cstheme="minorHAnsi"/>
                    <w:color w:val="000000"/>
                    <w:sz w:val="14"/>
                    <w:szCs w:val="16"/>
                    <w:lang w:val="es-PE"/>
                  </w:rPr>
                  <m:t xml:space="preserve"> x 100</m:t>
                </m:r>
              </m:oMath>
            </m:oMathPara>
          </w:p>
          <w:p w14:paraId="67B40A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bookmarkStart w:id="241" w:name="_Hlk178714094"/>
            <w:r w:rsidRPr="00285D58">
              <w:rPr>
                <w:rFonts w:asciiTheme="minorHAnsi" w:eastAsia="Times New Roman" w:hAnsiTheme="minorHAnsi" w:cstheme="minorHAnsi"/>
                <w:color w:val="000000"/>
                <w:sz w:val="16"/>
                <w:szCs w:val="16"/>
                <w:lang w:val="es-PE"/>
              </w:rPr>
              <w:t>Si en el periodo de evaluación, no se registraron reclamos ni en el Libro de Reclamaciones, ni en las Plataformas Web Oficiales, se considerará un puntaje de 100.</w:t>
            </w:r>
            <w:bookmarkEnd w:id="241"/>
          </w:p>
        </w:tc>
      </w:tr>
      <w:tr w:rsidR="009F2B65" w:rsidRPr="00285D58" w14:paraId="035FD273"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120F19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6864F033" w14:textId="77777777" w:rsidR="009F2B65" w:rsidRPr="00285D58" w:rsidRDefault="009F2B65" w:rsidP="008D1FFF">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Documentaria: El Supervisor deberá verificará en el SIDIG, en el Libro de Reclamaciones y en las Plataformas Web Oficiales, si el CONCESIONARIO atendió o dio respuesta a los reclamos realizados por los Usuarios. </w:t>
            </w:r>
          </w:p>
        </w:tc>
      </w:tr>
      <w:tr w:rsidR="009F2B65" w:rsidRPr="00285D58" w14:paraId="6484B7B6"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92F9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74374F7" w14:textId="77777777" w:rsidR="009F2B65" w:rsidRPr="00285D58" w:rsidRDefault="009F2B65" w:rsidP="008D1FFF">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el registro y atención de los reclamos realizados por los Usuarios, tanto en Libro de Reclamaciones como en la plataforma Web. </w:t>
            </w:r>
          </w:p>
          <w:p w14:paraId="71EB2203" w14:textId="77777777" w:rsidR="009F2B65" w:rsidRPr="00BB5F42" w:rsidRDefault="009F2B65" w:rsidP="008D1FFF">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Solo se considerarán aquellos reclamos relacionados a los servicios obligatorios prestados por el CONCESIONARIO. Cualquier reclamo, queja, comentario o sugerencia sobre los servicios turísticos públicos o privados, ofrecidos por terceros (agencias turísticas, hoteles, personal del Parque Arqueológico de Choquequirao, etc.) no serán tomados en cuenta para el cálculo de este Indicador.</w:t>
            </w:r>
          </w:p>
        </w:tc>
      </w:tr>
      <w:tr w:rsidR="009F2B65" w:rsidRPr="00285D58" w14:paraId="209D1AFF" w14:textId="77777777" w:rsidTr="00242093">
        <w:trPr>
          <w:trHeight w:val="1021"/>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288AD3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06ADB1E" w14:textId="77777777" w:rsidR="009F2B65" w:rsidRPr="00285D58" w:rsidRDefault="009F2B65" w:rsidP="008D1FFF">
            <w:pPr>
              <w:spacing w:line="276" w:lineRule="auto"/>
              <w:rPr>
                <w:rFonts w:asciiTheme="minorHAnsi" w:hAnsiTheme="minorHAnsi" w:cstheme="minorHAnsi"/>
                <w:sz w:val="16"/>
                <w:szCs w:val="16"/>
                <w:lang w:val="es-PE"/>
              </w:rPr>
            </w:pPr>
            <w:r w:rsidRPr="00285D58">
              <w:rPr>
                <w:rFonts w:asciiTheme="minorHAnsi" w:hAnsiTheme="minorHAnsi" w:cstheme="minorHAnsi"/>
                <w:sz w:val="16"/>
                <w:szCs w:val="16"/>
                <w:lang w:val="es-PE"/>
              </w:rPr>
              <w:t>El Supervisor podrá apoyarse en la información obtenida de:</w:t>
            </w:r>
          </w:p>
          <w:p w14:paraId="7E65058E"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El SIDIG.</w:t>
            </w:r>
          </w:p>
          <w:p w14:paraId="04931BDD"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El Libro de Reclamaciones</w:t>
            </w:r>
          </w:p>
          <w:p w14:paraId="1AA0A9C1" w14:textId="77777777" w:rsidR="009F2B65" w:rsidRPr="00285D58" w:rsidRDefault="009F2B65" w:rsidP="00A3732C">
            <w:pPr>
              <w:widowControl/>
              <w:numPr>
                <w:ilvl w:val="0"/>
                <w:numId w:val="256"/>
              </w:numPr>
              <w:spacing w:line="276" w:lineRule="auto"/>
              <w:contextualSpacing/>
              <w:rPr>
                <w:rFonts w:asciiTheme="minorHAnsi" w:hAnsiTheme="minorHAnsi" w:cstheme="minorHAnsi"/>
                <w:sz w:val="16"/>
                <w:szCs w:val="16"/>
                <w:lang w:val="es-PE"/>
              </w:rPr>
            </w:pPr>
            <w:r w:rsidRPr="00285D58">
              <w:rPr>
                <w:rFonts w:asciiTheme="minorHAnsi" w:hAnsiTheme="minorHAnsi" w:cstheme="minorHAnsi"/>
                <w:sz w:val="16"/>
                <w:szCs w:val="16"/>
                <w:lang w:val="es-PE"/>
              </w:rPr>
              <w:t>Plataformas Web Oficiales</w:t>
            </w:r>
          </w:p>
        </w:tc>
      </w:tr>
      <w:tr w:rsidR="009F2B65" w:rsidRPr="00285D58" w14:paraId="31995A4E"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46215FD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9674FB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B6AF72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42A974F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32A3DD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92992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10B1EC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90</w:t>
            </w:r>
          </w:p>
        </w:tc>
      </w:tr>
      <w:tr w:rsidR="009F2B65" w:rsidRPr="00285D58" w14:paraId="3C06769B"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79F80C8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43D1DC68"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F00FC0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w:t>
            </w:r>
          </w:p>
        </w:tc>
      </w:tr>
      <w:tr w:rsidR="009F2B65" w:rsidRPr="00285D58" w14:paraId="7F0B011B" w14:textId="77777777" w:rsidTr="00E82B67">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6501544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441D8237"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436566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139E89EA"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1F73675B"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B1958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65BEB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CF9665F"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950D62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1D33F2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53A7BFC"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36D9330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4587C918"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139C1638"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FB312F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03EC66B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1F2CC5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0BD0936F"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60D13D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1EC02E5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4DBDF79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5BB4BD8C"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827"/>
        <w:gridCol w:w="2150"/>
        <w:gridCol w:w="1216"/>
        <w:gridCol w:w="2895"/>
      </w:tblGrid>
      <w:tr w:rsidR="00D018E2" w:rsidRPr="00285D58" w14:paraId="47C9C2A3" w14:textId="77777777" w:rsidTr="00E82B67">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auto" w:fill="5B9BD5"/>
            <w:noWrap/>
            <w:vAlign w:val="center"/>
            <w:hideMark/>
          </w:tcPr>
          <w:p w14:paraId="646D14F4"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D018E2" w:rsidRPr="00285D58" w14:paraId="55431EB5" w14:textId="77777777" w:rsidTr="005D3BD8">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23CB39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0DC19F0A"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Transporte por Teleférico</w:t>
            </w:r>
          </w:p>
        </w:tc>
        <w:tc>
          <w:tcPr>
            <w:tcW w:w="1216" w:type="dxa"/>
            <w:tcBorders>
              <w:top w:val="nil"/>
              <w:left w:val="nil"/>
              <w:bottom w:val="single" w:sz="4" w:space="0" w:color="auto"/>
              <w:right w:val="single" w:sz="4" w:space="0" w:color="auto"/>
            </w:tcBorders>
            <w:shd w:val="clear" w:color="FFFFCC" w:fill="FFFFFF"/>
            <w:vAlign w:val="center"/>
            <w:hideMark/>
          </w:tcPr>
          <w:p w14:paraId="57FF028C"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D118C60"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D018E2" w:rsidRPr="00285D58" w14:paraId="7C97FA4E" w14:textId="77777777" w:rsidTr="005D3BD8">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AFDEBE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A4F06A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STT.6</w:t>
            </w:r>
          </w:p>
        </w:tc>
        <w:tc>
          <w:tcPr>
            <w:tcW w:w="1216" w:type="dxa"/>
            <w:tcBorders>
              <w:top w:val="nil"/>
              <w:left w:val="nil"/>
              <w:bottom w:val="single" w:sz="4" w:space="0" w:color="auto"/>
              <w:right w:val="single" w:sz="4" w:space="0" w:color="auto"/>
            </w:tcBorders>
            <w:shd w:val="clear" w:color="FFFFCC" w:fill="FFFFFF"/>
            <w:vAlign w:val="center"/>
            <w:hideMark/>
          </w:tcPr>
          <w:p w14:paraId="54C02949"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6AFCBAD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1.50 %</w:t>
            </w:r>
          </w:p>
        </w:tc>
      </w:tr>
      <w:tr w:rsidR="00D018E2" w:rsidRPr="00285D58" w14:paraId="41177E1A" w14:textId="77777777" w:rsidTr="005D3BD8">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D6A7174"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278F575E" w14:textId="77777777" w:rsidR="00D018E2" w:rsidRPr="00285D58" w:rsidRDefault="00D018E2" w:rsidP="005D3BD8">
            <w:pPr>
              <w:spacing w:line="276" w:lineRule="auto"/>
              <w:rPr>
                <w:rFonts w:asciiTheme="minorHAnsi" w:eastAsia="Times New Roman" w:hAnsiTheme="minorHAnsi" w:cstheme="minorHAnsi"/>
                <w:sz w:val="16"/>
                <w:szCs w:val="16"/>
                <w:lang w:val="es-PE"/>
              </w:rPr>
            </w:pPr>
            <w:bookmarkStart w:id="242" w:name="_Hlk190720317"/>
            <w:r w:rsidRPr="00285D58">
              <w:rPr>
                <w:rFonts w:asciiTheme="minorHAnsi" w:eastAsia="Times New Roman" w:hAnsiTheme="minorHAnsi" w:cstheme="minorHAnsi"/>
                <w:color w:val="000000"/>
                <w:sz w:val="16"/>
                <w:szCs w:val="16"/>
                <w:lang w:val="es-PE" w:eastAsia="it-IT"/>
              </w:rPr>
              <w:t>Disponibilidad de Plataformas Web oficiales.</w:t>
            </w:r>
            <w:bookmarkEnd w:id="242"/>
          </w:p>
        </w:tc>
      </w:tr>
      <w:tr w:rsidR="00D018E2" w:rsidRPr="00285D58" w14:paraId="5F615153" w14:textId="77777777" w:rsidTr="00E82B67">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3D4D73D4"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D018E2" w:rsidRPr="00285D58" w14:paraId="7A7A7951" w14:textId="77777777" w:rsidTr="005D3BD8">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379B7A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F87DEC8"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mantenga </w:t>
            </w:r>
            <w:bookmarkStart w:id="243" w:name="_Hlk190720354"/>
            <w:r w:rsidRPr="00285D58">
              <w:rPr>
                <w:rFonts w:asciiTheme="minorHAnsi" w:eastAsia="Times New Roman" w:hAnsiTheme="minorHAnsi" w:cstheme="minorHAnsi"/>
                <w:sz w:val="16"/>
                <w:szCs w:val="16"/>
                <w:lang w:val="es-PE"/>
              </w:rPr>
              <w:t>disponible las Plataformas Web oficiales donde se informe y oferte el servicio brindado</w:t>
            </w:r>
            <w:bookmarkEnd w:id="243"/>
            <w:r w:rsidRPr="00285D58">
              <w:rPr>
                <w:rFonts w:asciiTheme="minorHAnsi" w:eastAsia="Times New Roman" w:hAnsiTheme="minorHAnsi" w:cstheme="minorHAnsi"/>
                <w:sz w:val="16"/>
                <w:szCs w:val="16"/>
                <w:lang w:val="es-PE"/>
              </w:rPr>
              <w:t xml:space="preserve">. </w:t>
            </w:r>
          </w:p>
        </w:tc>
      </w:tr>
      <w:tr w:rsidR="00D018E2" w:rsidRPr="00285D58" w14:paraId="16F83419" w14:textId="77777777" w:rsidTr="005D3BD8">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78D1063"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09BA7877" w14:textId="77777777" w:rsidR="00D018E2" w:rsidRPr="00285D58" w:rsidRDefault="00D018E2" w:rsidP="005D3BD8">
            <w:pPr>
              <w:spacing w:line="276" w:lineRule="auto"/>
              <w:rPr>
                <w:rFonts w:asciiTheme="minorHAnsi" w:eastAsia="Times New Roman" w:hAnsiTheme="minorHAnsi" w:cstheme="minorHAnsi"/>
                <w:color w:val="000000"/>
                <w:sz w:val="14"/>
                <w:szCs w:val="16"/>
                <w:lang w:val="es-PE"/>
              </w:rPr>
            </w:pPr>
            <m:oMathPara>
              <m:oMath>
                <m:r>
                  <w:rPr>
                    <w:rFonts w:ascii="Cambria Math" w:hAnsi="Cambria Math" w:cstheme="minorHAnsi"/>
                    <w:color w:val="000000"/>
                    <w:sz w:val="14"/>
                    <w:szCs w:val="16"/>
                    <w:lang w:val="es-PE"/>
                  </w:rPr>
                  <m:t>  </m:t>
                </m:r>
                <m:f>
                  <m:fPr>
                    <m:ctrlPr>
                      <w:rPr>
                        <w:rFonts w:ascii="Cambria Math" w:hAnsi="Cambria Math" w:cstheme="minorHAnsi"/>
                        <w:i/>
                        <w:iCs/>
                        <w:color w:val="000000"/>
                        <w:sz w:val="14"/>
                        <w:szCs w:val="16"/>
                        <w:lang w:val="es-PE"/>
                      </w:rPr>
                    </m:ctrlPr>
                  </m:fPr>
                  <m:num>
                    <m:r>
                      <w:rPr>
                        <w:rFonts w:ascii="Cambria Math" w:hAnsi="Cambria Math" w:cstheme="minorHAnsi"/>
                        <w:color w:val="000000"/>
                        <w:sz w:val="14"/>
                        <w:szCs w:val="16"/>
                        <w:lang w:val="es-PE"/>
                      </w:rPr>
                      <m:t xml:space="preserve">Tiempo de actividad </m:t>
                    </m:r>
                  </m:num>
                  <m:den>
                    <m:r>
                      <w:rPr>
                        <w:rFonts w:ascii="Cambria Math" w:hAnsi="Cambria Math" w:cstheme="minorHAnsi"/>
                        <w:color w:val="000000"/>
                        <w:sz w:val="14"/>
                        <w:szCs w:val="16"/>
                        <w:lang w:val="es-PE"/>
                      </w:rPr>
                      <m:t>Tiempo de actividad programado</m:t>
                    </m:r>
                  </m:den>
                </m:f>
                <m:r>
                  <m:rPr>
                    <m:sty m:val="p"/>
                  </m:rPr>
                  <w:rPr>
                    <w:rFonts w:ascii="Cambria Math" w:hAnsi="Cambria Math" w:cstheme="minorHAnsi"/>
                    <w:color w:val="000000"/>
                    <w:sz w:val="14"/>
                    <w:szCs w:val="16"/>
                    <w:lang w:val="es-PE"/>
                  </w:rPr>
                  <m:t xml:space="preserve"> x 100</m:t>
                </m:r>
              </m:oMath>
            </m:oMathPara>
          </w:p>
          <w:p w14:paraId="51AC202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p w14:paraId="535B7255"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Se considera como tiempo de actividad, el tiempo real en el que el servicio de Plataforma Web oficial se encuentra disponible al público. </w:t>
            </w:r>
          </w:p>
          <w:p w14:paraId="763DF6C0"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p w14:paraId="423015B7" w14:textId="77777777" w:rsidR="00D018E2" w:rsidRPr="00285D58" w:rsidRDefault="00D018E2" w:rsidP="005D3BD8">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 xml:space="preserve">Se considera como tiempo de actividad programado, el tiempo total para el periodo de evaluación (día o mes). En caso que las Plataformas Web oficiales se encuentren indisponibles por acciones de mantenimiento debidamente programadas, el tiempo en el que se encuentren indisponibles se restará del tiempo total para el periodo de evaluación. </w:t>
            </w:r>
          </w:p>
          <w:p w14:paraId="49BDF1F6"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 </w:t>
            </w:r>
          </w:p>
        </w:tc>
      </w:tr>
      <w:tr w:rsidR="00D018E2" w:rsidRPr="00285D58" w14:paraId="2CE79D0B" w14:textId="77777777" w:rsidTr="005D3BD8">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4AF372B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8854CFE" w14:textId="77777777" w:rsidR="00D018E2" w:rsidRPr="00285D58" w:rsidRDefault="00D018E2" w:rsidP="005D3BD8">
            <w:pPr>
              <w:spacing w:line="276" w:lineRule="auto"/>
              <w:jc w:val="both"/>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Documentaria: El Concesionario deberá llevar un registro digital del tiempo de actividad de todas las Plataformas Web oficiales y registrarlas debidamente en el SIDIG. El Supervisor podrá verificará en el SIDIG, tales registros a fin de validar el calculo del Indicador para el periodo de evaluación.  </w:t>
            </w:r>
          </w:p>
        </w:tc>
      </w:tr>
      <w:tr w:rsidR="00D018E2" w:rsidRPr="00285D58" w14:paraId="5CDECA1A" w14:textId="77777777" w:rsidTr="005D3BD8">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C8070B5"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670B50E" w14:textId="77777777" w:rsidR="00D018E2" w:rsidRPr="00285D58" w:rsidRDefault="00D018E2" w:rsidP="005D3BD8">
            <w:pPr>
              <w:spacing w:line="276" w:lineRule="auto"/>
              <w:jc w:val="both"/>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únicamente aquellas Plataformas Web oficiales operadas por el Concesionario, destinadas única y exclusivamente a los Servicios Obligatorios del Concesionario. </w:t>
            </w:r>
          </w:p>
        </w:tc>
      </w:tr>
      <w:tr w:rsidR="00D018E2" w:rsidRPr="00285D58" w14:paraId="65EEE39C" w14:textId="77777777" w:rsidTr="00E82B67">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auto" w:fill="5B9BD5"/>
            <w:vAlign w:val="center"/>
            <w:hideMark/>
          </w:tcPr>
          <w:p w14:paraId="69FC3690"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auto" w:fill="5B9BD5"/>
            <w:vAlign w:val="center"/>
            <w:hideMark/>
          </w:tcPr>
          <w:p w14:paraId="0BC61A77"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auto" w:fill="5B9BD5"/>
            <w:vAlign w:val="center"/>
            <w:hideMark/>
          </w:tcPr>
          <w:p w14:paraId="49F20D23"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D018E2" w:rsidRPr="00285D58" w14:paraId="74C8458D" w14:textId="77777777" w:rsidTr="005D3BD8">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89EC718"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489B05"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26FC43D" w14:textId="77777777" w:rsidR="00D018E2" w:rsidRPr="00285D58" w:rsidRDefault="00D018E2" w:rsidP="005D3BD8">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color w:val="000000"/>
                <w:sz w:val="16"/>
                <w:szCs w:val="16"/>
                <w:lang w:val="es-PE"/>
              </w:rPr>
              <w:t>95</w:t>
            </w:r>
          </w:p>
        </w:tc>
      </w:tr>
      <w:tr w:rsidR="00D018E2" w:rsidRPr="00285D58" w14:paraId="0FB7C46A" w14:textId="77777777" w:rsidTr="00E82B67">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vAlign w:val="center"/>
            <w:hideMark/>
          </w:tcPr>
          <w:p w14:paraId="422139EB"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D018E2" w:rsidRPr="00285D58" w14:paraId="74251DE5" w14:textId="77777777" w:rsidTr="005D3BD8">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7F6DA65" w14:textId="77777777" w:rsidR="00D018E2" w:rsidRPr="00285D58" w:rsidRDefault="00D018E2" w:rsidP="005D3BD8">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w:t>
            </w:r>
          </w:p>
        </w:tc>
      </w:tr>
      <w:tr w:rsidR="00D018E2" w:rsidRPr="00285D58" w14:paraId="38C8A9EE" w14:textId="77777777" w:rsidTr="00E82B67">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5B9BD5"/>
            <w:noWrap/>
            <w:vAlign w:val="center"/>
            <w:hideMark/>
          </w:tcPr>
          <w:p w14:paraId="4EF8C5CA" w14:textId="77777777" w:rsidR="00D018E2" w:rsidRPr="00285D58" w:rsidRDefault="00D018E2" w:rsidP="005D3BD8">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D018E2" w:rsidRPr="00285D58" w14:paraId="11B5E3AF" w14:textId="77777777" w:rsidTr="005D3BD8">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52BD73F"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7DED3FCF" w14:textId="77777777" w:rsidR="00D018E2" w:rsidRPr="00285D58" w:rsidRDefault="00D018E2" w:rsidP="005D3BD8">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D018E2" w:rsidRPr="00285D58" w14:paraId="5D6880D6" w14:textId="77777777" w:rsidTr="005D3BD8">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9EC713E"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61"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4EC101A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D018E2" w:rsidRPr="00285D58" w14:paraId="3AD22093" w14:textId="77777777" w:rsidTr="005D3BD8">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D237B8B"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61" w:type="dxa"/>
            <w:gridSpan w:val="3"/>
            <w:vMerge/>
            <w:tcBorders>
              <w:top w:val="single" w:sz="4" w:space="0" w:color="auto"/>
              <w:left w:val="single" w:sz="4" w:space="0" w:color="auto"/>
              <w:bottom w:val="single" w:sz="4" w:space="0" w:color="000000"/>
              <w:right w:val="single" w:sz="8" w:space="0" w:color="000000"/>
            </w:tcBorders>
            <w:vAlign w:val="center"/>
            <w:hideMark/>
          </w:tcPr>
          <w:p w14:paraId="2547494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r>
      <w:tr w:rsidR="00D018E2" w:rsidRPr="00285D58" w14:paraId="3B83A505" w14:textId="77777777" w:rsidTr="005D3BD8">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A3878B4"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61" w:type="dxa"/>
            <w:gridSpan w:val="3"/>
            <w:tcBorders>
              <w:top w:val="single" w:sz="4" w:space="0" w:color="auto"/>
              <w:left w:val="nil"/>
              <w:bottom w:val="single" w:sz="4" w:space="0" w:color="auto"/>
              <w:right w:val="single" w:sz="8" w:space="0" w:color="000000"/>
            </w:tcBorders>
            <w:shd w:val="clear" w:color="auto" w:fill="auto"/>
            <w:vAlign w:val="center"/>
            <w:hideMark/>
          </w:tcPr>
          <w:p w14:paraId="537B47F0" w14:textId="77777777" w:rsidR="00D018E2" w:rsidRPr="00285D58" w:rsidRDefault="00D018E2" w:rsidP="005D3BD8">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D018E2" w:rsidRPr="00285D58" w14:paraId="725275B0" w14:textId="77777777" w:rsidTr="005D3BD8">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45E7AB2"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7795DC3F"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c>
          <w:tcPr>
            <w:tcW w:w="6261"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B2F5812"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D018E2" w:rsidRPr="00285D58" w14:paraId="46FD5859" w14:textId="77777777" w:rsidTr="005D3BD8">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079E842" w14:textId="77777777" w:rsidR="00D018E2" w:rsidRPr="00285D58" w:rsidRDefault="00D018E2" w:rsidP="005D3BD8">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3FD0079D"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261" w:type="dxa"/>
            <w:gridSpan w:val="3"/>
            <w:vMerge/>
            <w:tcBorders>
              <w:top w:val="nil"/>
              <w:left w:val="nil"/>
              <w:bottom w:val="single" w:sz="8" w:space="0" w:color="auto"/>
              <w:right w:val="single" w:sz="4" w:space="0" w:color="auto"/>
            </w:tcBorders>
            <w:vAlign w:val="center"/>
            <w:hideMark/>
          </w:tcPr>
          <w:p w14:paraId="2AC0F17F" w14:textId="77777777" w:rsidR="00D018E2" w:rsidRPr="00285D58" w:rsidRDefault="00D018E2" w:rsidP="005D3BD8">
            <w:pPr>
              <w:spacing w:line="276" w:lineRule="auto"/>
              <w:rPr>
                <w:rFonts w:asciiTheme="minorHAnsi" w:eastAsia="Times New Roman" w:hAnsiTheme="minorHAnsi" w:cstheme="minorHAnsi"/>
                <w:color w:val="000000"/>
                <w:sz w:val="16"/>
                <w:szCs w:val="16"/>
                <w:lang w:val="es-PE"/>
              </w:rPr>
            </w:pPr>
          </w:p>
        </w:tc>
      </w:tr>
    </w:tbl>
    <w:p w14:paraId="3FD894DA" w14:textId="77777777" w:rsidR="009F2B65" w:rsidRPr="00285D58" w:rsidRDefault="009F2B65" w:rsidP="008D1FFF">
      <w:pPr>
        <w:spacing w:line="276" w:lineRule="auto"/>
        <w:rPr>
          <w:rFonts w:asciiTheme="minorHAnsi" w:hAnsiTheme="minorHAnsi" w:cstheme="minorHAnsi"/>
          <w:lang w:val="es-PE"/>
        </w:rPr>
      </w:pPr>
      <w:r w:rsidRPr="00285D58">
        <w:rPr>
          <w:rFonts w:asciiTheme="minorHAnsi" w:hAnsiTheme="minorHAnsi" w:cstheme="minorHAnsi"/>
          <w:lang w:val="es-PE"/>
        </w:rPr>
        <w:br w:type="page"/>
      </w:r>
    </w:p>
    <w:p w14:paraId="72D345BC"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44" w:name="_Toc174098016"/>
      <w:bookmarkStart w:id="245" w:name="_Toc180162668"/>
      <w:bookmarkStart w:id="246" w:name="_Toc182582271"/>
      <w:r w:rsidRPr="00285D58">
        <w:rPr>
          <w:rFonts w:asciiTheme="minorHAnsi" w:hAnsiTheme="minorHAnsi" w:cstheme="minorHAnsi"/>
          <w:b/>
          <w:color w:val="1F4E79" w:themeColor="accent5" w:themeShade="80"/>
          <w:sz w:val="22"/>
          <w:szCs w:val="22"/>
          <w:lang w:val="es-PE"/>
        </w:rPr>
        <w:lastRenderedPageBreak/>
        <w:t>SERVICIO DE SEGURIDAD Y VIGILANCIA</w:t>
      </w:r>
      <w:bookmarkEnd w:id="244"/>
      <w:bookmarkEnd w:id="245"/>
      <w:bookmarkEnd w:id="246"/>
    </w:p>
    <w:p w14:paraId="2E2735A2"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91"/>
        <w:gridCol w:w="2186"/>
        <w:gridCol w:w="1216"/>
        <w:gridCol w:w="2895"/>
      </w:tblGrid>
      <w:tr w:rsidR="009F2B65" w:rsidRPr="00285D58" w14:paraId="32AFA799"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314156E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2BDE4C4A"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7BD5D9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6BC4ED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112A221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869BF5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18834740"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A218B0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43DE49D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SV.1</w:t>
            </w:r>
          </w:p>
        </w:tc>
        <w:tc>
          <w:tcPr>
            <w:tcW w:w="1216" w:type="dxa"/>
            <w:tcBorders>
              <w:top w:val="nil"/>
              <w:left w:val="nil"/>
              <w:bottom w:val="single" w:sz="4" w:space="0" w:color="auto"/>
              <w:right w:val="single" w:sz="4" w:space="0" w:color="auto"/>
            </w:tcBorders>
            <w:shd w:val="clear" w:color="FFFFCC" w:fill="FFFFFF"/>
            <w:vAlign w:val="center"/>
            <w:hideMark/>
          </w:tcPr>
          <w:p w14:paraId="41C41BA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B654E8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8354680"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7F51156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64AFD2C2"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debe prestar el servicio de seguridad dentro de las estaciones.</w:t>
            </w:r>
          </w:p>
        </w:tc>
      </w:tr>
      <w:tr w:rsidR="009F2B65" w:rsidRPr="00285D58" w14:paraId="778E57DA"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EDE772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5CD92DC8"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ACD3E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F5F58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cuenta con prestar el servicio de seguridad dentro de las estaciones. </w:t>
            </w:r>
          </w:p>
        </w:tc>
      </w:tr>
      <w:tr w:rsidR="009F2B65" w:rsidRPr="00285D58" w14:paraId="7CE129B1"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2BE47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28CA88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presta el servicio de seguridad en las Estaciones se puntuará como 100; caso contario se puntuará como 0.</w:t>
            </w:r>
          </w:p>
        </w:tc>
      </w:tr>
      <w:tr w:rsidR="009F2B65" w:rsidRPr="00285D58" w14:paraId="7418FC54" w14:textId="77777777" w:rsidTr="00242093">
        <w:trPr>
          <w:trHeight w:val="1206"/>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650978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37708E8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aleatoria mensual para la verificación de la prestación del servicio de seguridad en las estaciones.</w:t>
            </w:r>
          </w:p>
        </w:tc>
      </w:tr>
      <w:tr w:rsidR="009F2B65" w:rsidRPr="00285D58" w14:paraId="517A8E5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D9505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tcPr>
          <w:p w14:paraId="58F5318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aplica</w:t>
            </w:r>
          </w:p>
        </w:tc>
      </w:tr>
      <w:tr w:rsidR="009F2B65" w:rsidRPr="00285D58" w14:paraId="138667C9" w14:textId="77777777" w:rsidTr="00242093">
        <w:trPr>
          <w:trHeight w:val="928"/>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65B4831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914F1A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aplica</w:t>
            </w:r>
          </w:p>
        </w:tc>
      </w:tr>
      <w:tr w:rsidR="009F2B65" w:rsidRPr="00285D58" w14:paraId="3F9967EE"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264849A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3E3DADD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F439AE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F42D75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34E62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6E7E6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4F4D2A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7FB428B3"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24D048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128292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3D8A63EC"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Promedio Simple de los indicadores mensuales</w:t>
            </w:r>
          </w:p>
        </w:tc>
      </w:tr>
      <w:tr w:rsidR="009F2B65" w:rsidRPr="00285D58" w14:paraId="03A2DD2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CC0986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48C52E2" w14:textId="77777777" w:rsidTr="00242093">
        <w:trPr>
          <w:trHeight w:val="255"/>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A0B797D"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297" w:type="dxa"/>
            <w:gridSpan w:val="3"/>
            <w:tcBorders>
              <w:top w:val="single" w:sz="4" w:space="0" w:color="auto"/>
              <w:left w:val="nil"/>
              <w:bottom w:val="single" w:sz="4" w:space="0" w:color="auto"/>
              <w:right w:val="single" w:sz="8" w:space="0" w:color="000000"/>
            </w:tcBorders>
            <w:shd w:val="clear" w:color="auto" w:fill="auto"/>
            <w:vAlign w:val="center"/>
            <w:hideMark/>
          </w:tcPr>
          <w:p w14:paraId="45407319"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0980F7EF" w14:textId="77777777" w:rsidTr="00242093">
        <w:trPr>
          <w:trHeight w:val="300"/>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65488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297"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1520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8F98B6B"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3B4302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297" w:type="dxa"/>
            <w:gridSpan w:val="3"/>
            <w:vMerge/>
            <w:tcBorders>
              <w:top w:val="single" w:sz="4" w:space="0" w:color="auto"/>
              <w:left w:val="single" w:sz="4" w:space="0" w:color="auto"/>
              <w:bottom w:val="single" w:sz="4" w:space="0" w:color="000000"/>
              <w:right w:val="single" w:sz="8" w:space="0" w:color="000000"/>
            </w:tcBorders>
            <w:vAlign w:val="center"/>
            <w:hideMark/>
          </w:tcPr>
          <w:p w14:paraId="22A898C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C5C5031" w14:textId="77777777" w:rsidTr="00242093">
        <w:trPr>
          <w:trHeight w:val="276"/>
          <w:jc w:val="center"/>
        </w:trPr>
        <w:tc>
          <w:tcPr>
            <w:tcW w:w="20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5866572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297" w:type="dxa"/>
            <w:gridSpan w:val="3"/>
            <w:tcBorders>
              <w:top w:val="single" w:sz="4" w:space="0" w:color="auto"/>
              <w:left w:val="nil"/>
              <w:bottom w:val="single" w:sz="4" w:space="0" w:color="auto"/>
              <w:right w:val="single" w:sz="8" w:space="0" w:color="000000"/>
            </w:tcBorders>
            <w:shd w:val="clear" w:color="auto" w:fill="auto"/>
            <w:vAlign w:val="center"/>
            <w:hideMark/>
          </w:tcPr>
          <w:p w14:paraId="692A070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7E569D5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C7D279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91" w:type="dxa"/>
            <w:tcBorders>
              <w:top w:val="nil"/>
              <w:left w:val="nil"/>
              <w:bottom w:val="single" w:sz="4" w:space="0" w:color="auto"/>
              <w:right w:val="single" w:sz="4" w:space="0" w:color="auto"/>
            </w:tcBorders>
            <w:shd w:val="clear" w:color="FFFFCC" w:fill="FFFFFF"/>
            <w:noWrap/>
            <w:vAlign w:val="center"/>
            <w:hideMark/>
          </w:tcPr>
          <w:p w14:paraId="7863AF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w:t>
            </w:r>
          </w:p>
        </w:tc>
        <w:tc>
          <w:tcPr>
            <w:tcW w:w="6297"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234738B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5AC9F223"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BDDFD0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91" w:type="dxa"/>
            <w:tcBorders>
              <w:top w:val="nil"/>
              <w:left w:val="nil"/>
              <w:bottom w:val="single" w:sz="8" w:space="0" w:color="auto"/>
              <w:right w:val="single" w:sz="4" w:space="0" w:color="auto"/>
            </w:tcBorders>
            <w:shd w:val="clear" w:color="FFFFCC" w:fill="FFFFFF"/>
            <w:noWrap/>
            <w:vAlign w:val="center"/>
            <w:hideMark/>
          </w:tcPr>
          <w:p w14:paraId="6E41A04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w:t>
            </w:r>
          </w:p>
        </w:tc>
        <w:tc>
          <w:tcPr>
            <w:tcW w:w="6297" w:type="dxa"/>
            <w:gridSpan w:val="3"/>
            <w:vMerge/>
            <w:tcBorders>
              <w:top w:val="nil"/>
              <w:left w:val="nil"/>
              <w:bottom w:val="single" w:sz="8" w:space="0" w:color="auto"/>
              <w:right w:val="single" w:sz="4" w:space="0" w:color="auto"/>
            </w:tcBorders>
            <w:vAlign w:val="center"/>
            <w:hideMark/>
          </w:tcPr>
          <w:p w14:paraId="66AECBB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05B0D92" w14:textId="77777777" w:rsidR="009F2B65" w:rsidRPr="00285D58" w:rsidRDefault="009F2B65" w:rsidP="008D1FFF">
      <w:pPr>
        <w:spacing w:line="276" w:lineRule="auto"/>
        <w:rPr>
          <w:rFonts w:asciiTheme="minorHAnsi" w:hAnsiTheme="minorHAnsi" w:cstheme="minorHAnsi"/>
          <w:lang w:val="es-PE"/>
        </w:rPr>
      </w:pPr>
    </w:p>
    <w:p w14:paraId="10246040" w14:textId="77777777" w:rsidR="009F2B65" w:rsidRPr="00285D58" w:rsidRDefault="009F2B65" w:rsidP="008D1FFF">
      <w:pPr>
        <w:spacing w:line="276" w:lineRule="auto"/>
        <w:rPr>
          <w:rFonts w:asciiTheme="minorHAnsi" w:hAnsiTheme="minorHAnsi" w:cstheme="minorHAnsi"/>
          <w:lang w:val="es-PE"/>
        </w:rPr>
      </w:pPr>
    </w:p>
    <w:p w14:paraId="5E8D324B"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4FC431DF"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9CF462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6FE34DE5"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BA05B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F79FED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663180C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42524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69F812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E303CF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1BA04D8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SV.2</w:t>
            </w:r>
          </w:p>
        </w:tc>
        <w:tc>
          <w:tcPr>
            <w:tcW w:w="1216" w:type="dxa"/>
            <w:tcBorders>
              <w:top w:val="nil"/>
              <w:left w:val="nil"/>
              <w:bottom w:val="single" w:sz="4" w:space="0" w:color="auto"/>
              <w:right w:val="single" w:sz="4" w:space="0" w:color="auto"/>
            </w:tcBorders>
            <w:shd w:val="clear" w:color="FFFFCC" w:fill="FFFFFF"/>
            <w:vAlign w:val="center"/>
            <w:hideMark/>
          </w:tcPr>
          <w:p w14:paraId="6FCA7CD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623632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D646CC4"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02A48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3120AB9D"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Disponibilidad de cámaras de video vigilancia.</w:t>
            </w:r>
          </w:p>
        </w:tc>
      </w:tr>
      <w:tr w:rsidR="009F2B65" w:rsidRPr="00285D58" w14:paraId="3C21D9A1"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0AD870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DB2323C"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9A6D74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09D4D7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que las cámaras de video vigilancia instaladas en las se encuentran operativas de tal forma que se asegure el control de seguridad en las Estaciones.</w:t>
            </w:r>
          </w:p>
        </w:tc>
      </w:tr>
      <w:tr w:rsidR="009F2B65" w:rsidRPr="00285D58" w14:paraId="36810998"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83E1DB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bottom"/>
            <w:hideMark/>
          </w:tcPr>
          <w:p w14:paraId="42078B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noProof/>
                <w:color w:val="000000"/>
                <w:sz w:val="16"/>
                <w:szCs w:val="16"/>
                <w:lang w:val="es-PE"/>
              </w:rPr>
              <mc:AlternateContent>
                <mc:Choice Requires="wps">
                  <w:drawing>
                    <wp:anchor distT="0" distB="0" distL="114300" distR="114300" simplePos="0" relativeHeight="251664896" behindDoc="0" locked="0" layoutInCell="1" allowOverlap="1" wp14:anchorId="58C26D60" wp14:editId="35EAD890">
                      <wp:simplePos x="0" y="0"/>
                      <wp:positionH relativeFrom="column">
                        <wp:posOffset>121920</wp:posOffset>
                      </wp:positionH>
                      <wp:positionV relativeFrom="paragraph">
                        <wp:posOffset>-307975</wp:posOffset>
                      </wp:positionV>
                      <wp:extent cx="4171950" cy="323850"/>
                      <wp:effectExtent l="0" t="0" r="0" b="0"/>
                      <wp:wrapNone/>
                      <wp:docPr id="12" name="Cuadro de texto 12"/>
                      <wp:cNvGraphicFramePr/>
                      <a:graphic xmlns:a="http://schemas.openxmlformats.org/drawingml/2006/main">
                        <a:graphicData uri="http://schemas.microsoft.com/office/word/2010/wordprocessingShape">
                          <wps:wsp>
                            <wps:cNvSpPr txBox="1"/>
                            <wps:spPr>
                              <a:xfrm>
                                <a:off x="0" y="0"/>
                                <a:ext cx="4171950" cy="323850"/>
                              </a:xfrm>
                              <a:prstGeom prst="rect">
                                <a:avLst/>
                              </a:prstGeom>
                              <a:noFill/>
                              <a:ln>
                                <a:noFill/>
                              </a:ln>
                              <a:effectLst/>
                            </wps:spPr>
                            <wps:txbx>
                              <w:txbxContent>
                                <w:p w14:paraId="34EC08E4" w14:textId="77777777" w:rsidR="00F237EF" w:rsidRPr="00496739" w:rsidRDefault="00000000" w:rsidP="009F2B65">
                                  <w:pPr>
                                    <w:pStyle w:val="NormalWeb"/>
                                    <w:spacing w:before="0" w:beforeAutospacing="0" w:after="0" w:afterAutospacing="0"/>
                                    <w:rPr>
                                      <w:sz w:val="14"/>
                                      <w:szCs w:val="14"/>
                                    </w:rPr>
                                  </w:pPr>
                                  <m:oMathPara>
                                    <m:oMathParaPr>
                                      <m:jc m:val="centerGroup"/>
                                    </m:oMathParaPr>
                                    <m:oMath>
                                      <m:f>
                                        <m:fPr>
                                          <m:ctrlPr>
                                            <w:rPr>
                                              <w:rFonts w:ascii="Cambria Math" w:hAnsi="Cambria Math" w:cs="Calibri"/>
                                              <w:i/>
                                              <w:sz w:val="16"/>
                                              <w:szCs w:val="14"/>
                                            </w:rPr>
                                          </m:ctrlPr>
                                        </m:fPr>
                                        <m:num>
                                          <m:r>
                                            <w:rPr>
                                              <w:rFonts w:ascii="Cambria Math" w:hAnsi="Cambria Math" w:cs="Calibri"/>
                                              <w:sz w:val="16"/>
                                              <w:szCs w:val="14"/>
                                            </w:rPr>
                                            <m:t>N° de cámaras de video vigilancia operativas</m:t>
                                          </m:r>
                                        </m:num>
                                        <m:den>
                                          <m:r>
                                            <w:rPr>
                                              <w:rFonts w:ascii="Cambria Math" w:hAnsi="Cambria Math" w:cs="Calibri"/>
                                              <w:sz w:val="16"/>
                                              <w:szCs w:val="14"/>
                                            </w:rPr>
                                            <m:t>N° total de cámaras de video vigilancia</m:t>
                                          </m:r>
                                        </m:den>
                                      </m:f>
                                      <m:r>
                                        <w:rPr>
                                          <w:rFonts w:ascii="Cambria Math" w:hAnsi="Cambria Math" w:cs="Calibri"/>
                                          <w:sz w:val="16"/>
                                          <w:szCs w:val="14"/>
                                        </w:rPr>
                                        <m:t>x 100</m:t>
                                      </m:r>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58C26D60" id="Cuadro de texto 12" o:spid="_x0000_s1028" type="#_x0000_t202" style="position:absolute;margin-left:9.6pt;margin-top:-24.25pt;width:328.5pt;height:2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" filled="f" stroked="f">
                      <v:textbox style="mso-fit-shape-to-text:t" inset="0,0,0,0">
                        <w:txbxContent>
                          <w:p w14:paraId="34EC08E4" w14:textId="77777777" w:rsidR="00F237EF" w:rsidRPr="00496739" w:rsidRDefault="00F237EF" w:rsidP="009F2B65">
                            <w:pPr>
                              <w:pStyle w:val="NormalWeb"/>
                              <w:spacing w:before="0" w:beforeAutospacing="0" w:after="0" w:afterAutospacing="0"/>
                              <w:rPr>
                                <w:sz w:val="14"/>
                                <w:szCs w:val="14"/>
                              </w:rPr>
                            </w:pPr>
                            <m:oMathPara>
                              <m:oMathParaPr>
                                <m:jc m:val="centerGroup"/>
                              </m:oMathParaPr>
                              <m:oMath>
                                <m:f>
                                  <m:fPr>
                                    <m:ctrlPr>
                                      <w:rPr>
                                        <w:rFonts w:ascii="Cambria Math" w:hAnsi="Cambria Math" w:cs="Calibri"/>
                                        <w:i/>
                                        <w:sz w:val="16"/>
                                        <w:szCs w:val="14"/>
                                      </w:rPr>
                                    </m:ctrlPr>
                                  </m:fPr>
                                  <m:num>
                                    <m:r>
                                      <w:rPr>
                                        <w:rFonts w:ascii="Cambria Math" w:hAnsi="Cambria Math" w:cs="Calibri"/>
                                        <w:sz w:val="16"/>
                                        <w:szCs w:val="14"/>
                                      </w:rPr>
                                      <m:t>N° de cámaras de video vigilancia operativas</m:t>
                                    </m:r>
                                  </m:num>
                                  <m:den>
                                    <m:r>
                                      <w:rPr>
                                        <w:rFonts w:ascii="Cambria Math" w:hAnsi="Cambria Math" w:cs="Calibri"/>
                                        <w:sz w:val="16"/>
                                        <w:szCs w:val="14"/>
                                      </w:rPr>
                                      <m:t>N° total de cámaras de video vigilancia</m:t>
                                    </m:r>
                                  </m:den>
                                </m:f>
                                <m:r>
                                  <w:rPr>
                                    <w:rFonts w:ascii="Cambria Math" w:hAnsi="Cambria Math" w:cs="Calibri"/>
                                    <w:sz w:val="16"/>
                                    <w:szCs w:val="14"/>
                                  </w:rPr>
                                  <m:t>x 100</m:t>
                                </m:r>
                              </m:oMath>
                            </m:oMathPara>
                          </w:p>
                        </w:txbxContent>
                      </v:textbox>
                    </v:shape>
                  </w:pict>
                </mc:Fallback>
              </mc:AlternateContent>
            </w:r>
          </w:p>
        </w:tc>
      </w:tr>
      <w:tr w:rsidR="009F2B65" w:rsidRPr="00285D58" w14:paraId="12CEDD90"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F59EB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07B0558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Visual: Verificación in situ de la operatividad de los equipos en Estaciones.</w:t>
            </w:r>
          </w:p>
        </w:tc>
      </w:tr>
      <w:tr w:rsidR="009F2B65" w:rsidRPr="00285D58" w14:paraId="334A4BF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516A0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70276B3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del indicador comprende a las cámaras de seguridad y vigilancia que </w:t>
            </w:r>
            <w:r w:rsidRPr="00285D58">
              <w:rPr>
                <w:rFonts w:asciiTheme="minorHAnsi" w:eastAsia="Times New Roman" w:hAnsiTheme="minorHAnsi" w:cstheme="minorHAnsi"/>
                <w:sz w:val="16"/>
                <w:szCs w:val="16"/>
                <w:lang w:val="es-PE"/>
              </w:rPr>
              <w:t>el CONCESIONARIO haya implementado de acuerdo a su Plan Anual de Seguridad y Vigilancia.</w:t>
            </w:r>
          </w:p>
        </w:tc>
      </w:tr>
      <w:tr w:rsidR="009F2B65" w:rsidRPr="00285D58" w14:paraId="24A57E5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44513B2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B56A9F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No se debería considerar que un equipo se encuentra inoperativo en caso de mantenimiento programado, que haya sido previamente comunicado al Supervisor.</w:t>
            </w:r>
          </w:p>
          <w:p w14:paraId="46C288E6" w14:textId="77777777" w:rsidR="009F2B65" w:rsidRPr="00285D58" w:rsidRDefault="009F2B65" w:rsidP="008D1FFF">
            <w:pPr>
              <w:spacing w:line="276" w:lineRule="auto"/>
              <w:rPr>
                <w:rFonts w:asciiTheme="minorHAnsi" w:eastAsia="Times New Roman" w:hAnsiTheme="minorHAnsi" w:cstheme="minorHAnsi"/>
                <w:sz w:val="16"/>
                <w:szCs w:val="16"/>
                <w:lang w:val="es-PE"/>
              </w:rPr>
            </w:pPr>
          </w:p>
          <w:p w14:paraId="300AAD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se apoyará para realizar la medición de este indicador de la siguiente información:</w:t>
            </w:r>
            <w:r w:rsidRPr="00285D58">
              <w:rPr>
                <w:rFonts w:asciiTheme="minorHAnsi" w:eastAsia="Times New Roman" w:hAnsiTheme="minorHAnsi" w:cstheme="minorHAnsi"/>
                <w:sz w:val="16"/>
                <w:szCs w:val="16"/>
                <w:lang w:val="es-PE"/>
              </w:rPr>
              <w:br/>
              <w:t>- Plan Anual de Seguridad y Vigilancia.</w:t>
            </w:r>
          </w:p>
        </w:tc>
      </w:tr>
      <w:tr w:rsidR="009F2B65" w:rsidRPr="00285D58" w14:paraId="0E652C6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7BEBABE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1B2E01B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4F05038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613AF3CA"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A656DD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34C08F"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2CBD87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0B7EA68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DA76FF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63D58EE7"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14C850EF"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9A80E35"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12D828F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F91FB07"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F35BA8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B40C9FF"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4225F67"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E5808A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525078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1B550A6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5B2F40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1D492D2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221DFC2B"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87BF85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36F2F7EC"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BAF0CD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35FB28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39507B4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5F96EA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408083E7"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58B5902"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0DE28C9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4737BD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1D510B76" w14:textId="77777777" w:rsidR="009F2B65" w:rsidRPr="00285D58" w:rsidRDefault="009F2B65" w:rsidP="008D1FFF">
      <w:pPr>
        <w:spacing w:line="276" w:lineRule="auto"/>
        <w:rPr>
          <w:rFonts w:asciiTheme="minorHAnsi" w:hAnsiTheme="minorHAnsi" w:cstheme="minorHAnsi"/>
          <w:lang w:val="es-PE"/>
        </w:rPr>
      </w:pPr>
    </w:p>
    <w:p w14:paraId="49317FD7" w14:textId="77777777" w:rsidR="009F2B65" w:rsidRPr="00285D58" w:rsidRDefault="009F2B65" w:rsidP="008D1FFF">
      <w:pPr>
        <w:spacing w:line="276" w:lineRule="auto"/>
        <w:rPr>
          <w:rFonts w:asciiTheme="minorHAnsi" w:hAnsiTheme="minorHAnsi" w:cstheme="minorHAnsi"/>
          <w:lang w:val="es-PE"/>
        </w:rPr>
      </w:pPr>
    </w:p>
    <w:p w14:paraId="0B022A02" w14:textId="77777777" w:rsidR="009F2B65" w:rsidRPr="00285D58" w:rsidRDefault="009F2B65" w:rsidP="008D1FFF">
      <w:pPr>
        <w:spacing w:line="276" w:lineRule="auto"/>
        <w:rPr>
          <w:rFonts w:asciiTheme="minorHAnsi" w:hAnsiTheme="minorHAnsi" w:cstheme="minorHAnsi"/>
          <w:lang w:val="es-PE"/>
        </w:rPr>
      </w:pPr>
    </w:p>
    <w:p w14:paraId="6D124C77"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08596CC"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720C64D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33D52032"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FF6F25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3FBBD27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2385F79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5777B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2990A76C"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240E4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E9A110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SV.3</w:t>
            </w:r>
          </w:p>
        </w:tc>
        <w:tc>
          <w:tcPr>
            <w:tcW w:w="1216" w:type="dxa"/>
            <w:tcBorders>
              <w:top w:val="nil"/>
              <w:left w:val="nil"/>
              <w:bottom w:val="single" w:sz="4" w:space="0" w:color="auto"/>
              <w:right w:val="single" w:sz="4" w:space="0" w:color="auto"/>
            </w:tcBorders>
            <w:shd w:val="clear" w:color="FFFFCC" w:fill="FFFFFF"/>
            <w:vAlign w:val="center"/>
            <w:hideMark/>
          </w:tcPr>
          <w:p w14:paraId="578B888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1F01F7E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4AAF9519"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D73A4C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4885A8F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Atención a las situaciones de riesgo suscitadas dentro del Área de la Concesión.</w:t>
            </w:r>
          </w:p>
        </w:tc>
      </w:tr>
      <w:tr w:rsidR="009F2B65" w:rsidRPr="00285D58" w14:paraId="54F257EF"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4CF7AE9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0D0203BB"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0244D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BC4EE9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 este indicador es verificar el cumplimiento en la atención de situaciones de riesgo relacionadas al servicio de seguridad que se presenten dentro de las Estaciones, Vías Turísticas, Cabinas y Buses a cargo de la administración del CONCESIONARIO.</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Se considera que una situación de riesgo es atendida cuando el CONCESIONARIO adoptó todas las medidas de seguridad y protocolos establecidos en Plan Anual de Seguridad y Vigilancia.</w:t>
            </w:r>
          </w:p>
        </w:tc>
      </w:tr>
      <w:tr w:rsidR="009F2B65" w:rsidRPr="00285D58" w14:paraId="1BAF9295"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155CD7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73B902D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Cuando no se registren situaciones de riesgo no atendidas se puntuará como 100; caso contrario, si se detectan situaciones de riesgo no atendidas se puntuará como 0.</w:t>
            </w:r>
            <w:r w:rsidRPr="00285D58" w:rsidDel="001724DA">
              <w:rPr>
                <w:rFonts w:asciiTheme="minorHAnsi" w:eastAsia="Times New Roman" w:hAnsiTheme="minorHAnsi" w:cstheme="minorHAnsi"/>
                <w:sz w:val="16"/>
                <w:szCs w:val="16"/>
                <w:lang w:val="es-PE"/>
              </w:rPr>
              <w:t xml:space="preserve"> </w:t>
            </w:r>
          </w:p>
        </w:tc>
      </w:tr>
      <w:tr w:rsidR="009F2B65" w:rsidRPr="00285D58" w14:paraId="6431A4A4"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39971DE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lastRenderedPageBreak/>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562A3C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 El Supervisor revisará y analizará la documentación registrada en el SIDIG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respecto a situaciones de riesgos (reportes diarios). Se podrá apoyar de las grabaciones de las cámaras de vigilancia.</w:t>
            </w:r>
          </w:p>
        </w:tc>
      </w:tr>
      <w:tr w:rsidR="009F2B65" w:rsidRPr="00285D58" w14:paraId="41485C0C"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F860C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34ABE3A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Este indicador comprende la atención de las diferentes de situaciones de riesgo de seguridad que ocurren dentro de </w:t>
            </w:r>
            <w:r w:rsidRPr="00285D58">
              <w:rPr>
                <w:rFonts w:asciiTheme="minorHAnsi" w:eastAsia="Times New Roman" w:hAnsiTheme="minorHAnsi" w:cstheme="minorHAnsi"/>
                <w:sz w:val="16"/>
                <w:szCs w:val="16"/>
                <w:lang w:val="es-PE"/>
              </w:rPr>
              <w:t>Estaciones, Vías Turísticas, Cabinas y Buses a cargo de la administración del CONCESIONARIO.</w:t>
            </w:r>
          </w:p>
        </w:tc>
      </w:tr>
      <w:tr w:rsidR="009F2B65" w:rsidRPr="00285D58" w14:paraId="64B418A7"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100019E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6EEF12E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En situaciones de riesgo se deberá verificar las acciones de seguridad tomadas por el CONCESIONARIO y el periodo de respuesta desde que se identifica la situación de riesgo hasta que el personal  de Seguridad llega al lugar de los hechos.</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El Supervisor para realizar la medición de este indicador deberá tener acceso a la siguiente información:</w:t>
            </w:r>
            <w:r w:rsidRPr="00285D58">
              <w:rPr>
                <w:rFonts w:asciiTheme="minorHAnsi" w:eastAsia="Times New Roman" w:hAnsiTheme="minorHAnsi" w:cstheme="minorHAnsi"/>
                <w:sz w:val="16"/>
                <w:szCs w:val="16"/>
                <w:lang w:val="es-PE"/>
              </w:rPr>
              <w:br/>
              <w:t xml:space="preserve">- Plan Anual de Seguridad y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xml:space="preserve">- Reporte diario  de incidentes, registrados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r w:rsidRPr="00285D58">
              <w:rPr>
                <w:rFonts w:asciiTheme="minorHAnsi" w:eastAsia="Times New Roman" w:hAnsiTheme="minorHAnsi" w:cstheme="minorHAnsi"/>
                <w:sz w:val="16"/>
                <w:szCs w:val="16"/>
                <w:lang w:val="es-PE"/>
              </w:rPr>
              <w:br/>
              <w:t xml:space="preserve">- Grabaciones de cámaras de video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r>
          </w:p>
        </w:tc>
      </w:tr>
      <w:tr w:rsidR="009F2B65" w:rsidRPr="00285D58" w14:paraId="687C4EE0"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C22B37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A4C565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2D992DBC"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17AE8034"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3EACF7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25541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D17734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9DCE125"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1C7905B6"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DF4574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59B633F6"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D3616DD"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61C63D9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10005E2"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F17CE8F"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F5C3F94"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AFF5C5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8EE5E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7BBE9FA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6223C666"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185BED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2F6D3A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792D01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117F317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79A5A9B"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063141CD"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646C04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534B322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6D0755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E02D56E"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AB610B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25AD168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7C44FF4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DC2E076"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098F47EA"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4829E05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bookmarkStart w:id="247" w:name="_Hlk176467636"/>
            <w:r w:rsidRPr="00285D58">
              <w:rPr>
                <w:rFonts w:asciiTheme="minorHAnsi" w:eastAsia="Times New Roman" w:hAnsiTheme="minorHAnsi" w:cstheme="minorHAnsi"/>
                <w:b/>
                <w:bCs/>
                <w:color w:val="FFFFFF"/>
                <w:sz w:val="16"/>
                <w:szCs w:val="16"/>
                <w:lang w:val="es-PE"/>
              </w:rPr>
              <w:t>FICHA TÉCNICA</w:t>
            </w:r>
          </w:p>
        </w:tc>
      </w:tr>
      <w:tr w:rsidR="009F2B65" w:rsidRPr="00285D58" w14:paraId="0DF2C0A0"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58C6903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549818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Servicio de Seguridad y Vigilancia</w:t>
            </w:r>
          </w:p>
        </w:tc>
        <w:tc>
          <w:tcPr>
            <w:tcW w:w="1216" w:type="dxa"/>
            <w:tcBorders>
              <w:top w:val="nil"/>
              <w:left w:val="nil"/>
              <w:bottom w:val="single" w:sz="4" w:space="0" w:color="auto"/>
              <w:right w:val="single" w:sz="4" w:space="0" w:color="auto"/>
            </w:tcBorders>
            <w:shd w:val="clear" w:color="FFFFCC" w:fill="FFFFFF"/>
            <w:vAlign w:val="center"/>
            <w:hideMark/>
          </w:tcPr>
          <w:p w14:paraId="69EDE42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66560B0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62E010D"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4D477D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56074CE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SV.4</w:t>
            </w:r>
          </w:p>
        </w:tc>
        <w:tc>
          <w:tcPr>
            <w:tcW w:w="1216" w:type="dxa"/>
            <w:tcBorders>
              <w:top w:val="nil"/>
              <w:left w:val="nil"/>
              <w:bottom w:val="single" w:sz="4" w:space="0" w:color="auto"/>
              <w:right w:val="single" w:sz="4" w:space="0" w:color="auto"/>
            </w:tcBorders>
            <w:shd w:val="clear" w:color="FFFFCC" w:fill="FFFFFF"/>
            <w:vAlign w:val="center"/>
            <w:hideMark/>
          </w:tcPr>
          <w:p w14:paraId="711DF7C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25B89B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0.50 %</w:t>
            </w:r>
          </w:p>
        </w:tc>
      </w:tr>
      <w:tr w:rsidR="009F2B65" w:rsidRPr="00285D58" w14:paraId="62DF8BB4"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DEB32A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63021B5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El CONCESIONARIO se encarga de proporcionar, reponer y mantener en correcto estado todos los equipos y materiales dentro de las estaciones para la atención a situaciones de riesgo suscitadas dentro del Área de la Concesión.</w:t>
            </w:r>
          </w:p>
        </w:tc>
      </w:tr>
      <w:tr w:rsidR="009F2B65" w:rsidRPr="00285D58" w14:paraId="470FF8E9"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4FF73F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10FA058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ACCCEF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E2DEA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 este indicador es verificar que el Concesionario cuente y mantenga en óptimas condiciones con los equipos y materiales necesarios para la atención a situaciones de riesgos dentro de las estaciones centrales y estaciones del teleférico. </w:t>
            </w:r>
          </w:p>
          <w:p w14:paraId="3276C1E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br/>
              <w:t xml:space="preserve">Se considera que los equipos se encuentran en óptimas condiciones si se encuentran disponibles para su uso inmediato (a menos que se encuentre en uso al momento de la evaluación) y calibrados, </w:t>
            </w:r>
          </w:p>
        </w:tc>
      </w:tr>
      <w:tr w:rsidR="009F2B65" w:rsidRPr="00285D58" w14:paraId="3ECE348E"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2B2C58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hideMark/>
          </w:tcPr>
          <w:p w14:paraId="7F5018A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Cuando se registren equipos o materiales que no se encuentren disponibles o en óptimas condiciones se puntuará como 0; caso contrario, se puntuará como 0.</w:t>
            </w:r>
            <w:r w:rsidRPr="00285D58" w:rsidDel="001724DA">
              <w:rPr>
                <w:rFonts w:asciiTheme="minorHAnsi" w:eastAsia="Times New Roman" w:hAnsiTheme="minorHAnsi" w:cstheme="minorHAnsi"/>
                <w:sz w:val="16"/>
                <w:szCs w:val="16"/>
                <w:lang w:val="es-PE"/>
              </w:rPr>
              <w:t xml:space="preserve"> </w:t>
            </w:r>
          </w:p>
        </w:tc>
      </w:tr>
      <w:tr w:rsidR="009F2B65" w:rsidRPr="00285D58" w14:paraId="011E418B"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7C2F17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5CB75AAB"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Documentario/Visual: El Supervisor verificará si el Concesionario cuenta o no con los equipos y materiales en óptimas condiciones dentro de las estaciones. Además, podrá solicitar los certificados de calibración o el registro de calibración de los equipos que lo requiriesen. </w:t>
            </w:r>
          </w:p>
        </w:tc>
      </w:tr>
      <w:tr w:rsidR="009F2B65" w:rsidRPr="00285D58" w14:paraId="67B88D4C"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0C528C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tcPr>
          <w:p w14:paraId="26BACF8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1D730A83"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2E119BF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74989AA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En situaciones de riesgo se deberá verificar las acciones de seguridad tomadas por el CONCESIONARIO y el periodo de respuesta desde que se identifica la situación de riesgo hasta que el personal  de Seguridad llega al lugar de los hechos.</w:t>
            </w:r>
            <w:r w:rsidRPr="00285D58">
              <w:rPr>
                <w:rFonts w:asciiTheme="minorHAnsi" w:eastAsia="Times New Roman" w:hAnsiTheme="minorHAnsi" w:cstheme="minorHAnsi"/>
                <w:sz w:val="16"/>
                <w:szCs w:val="16"/>
                <w:lang w:val="es-PE"/>
              </w:rPr>
              <w:br/>
            </w:r>
            <w:r w:rsidRPr="00285D58">
              <w:rPr>
                <w:rFonts w:asciiTheme="minorHAnsi" w:eastAsia="Times New Roman" w:hAnsiTheme="minorHAnsi" w:cstheme="minorHAnsi"/>
                <w:sz w:val="16"/>
                <w:szCs w:val="16"/>
                <w:lang w:val="es-PE"/>
              </w:rPr>
              <w:br/>
              <w:t>El Supervisor para realizar la medición de este indicador deberá tener acceso a la siguiente información:</w:t>
            </w:r>
            <w:r w:rsidRPr="00285D58">
              <w:rPr>
                <w:rFonts w:asciiTheme="minorHAnsi" w:eastAsia="Times New Roman" w:hAnsiTheme="minorHAnsi" w:cstheme="minorHAnsi"/>
                <w:sz w:val="16"/>
                <w:szCs w:val="16"/>
                <w:lang w:val="es-PE"/>
              </w:rPr>
              <w:br/>
              <w:t xml:space="preserve">- Plan Anual de Seguridad y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t xml:space="preserve">- Reporte diario  de incidentes, registrados por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el SIDIG.</w:t>
            </w:r>
            <w:r w:rsidRPr="00285D58">
              <w:rPr>
                <w:rFonts w:asciiTheme="minorHAnsi" w:eastAsia="Times New Roman" w:hAnsiTheme="minorHAnsi" w:cstheme="minorHAnsi"/>
                <w:sz w:val="16"/>
                <w:szCs w:val="16"/>
                <w:lang w:val="es-PE"/>
              </w:rPr>
              <w:br/>
              <w:t xml:space="preserve">- Grabaciones de cámaras de video vigilancia del </w:t>
            </w:r>
            <w:r w:rsidRPr="00285D58">
              <w:rPr>
                <w:rFonts w:asciiTheme="minorHAnsi" w:eastAsia="Times New Roman" w:hAnsiTheme="minorHAnsi" w:cstheme="minorHAnsi"/>
                <w:color w:val="000000"/>
                <w:sz w:val="16"/>
                <w:szCs w:val="16"/>
                <w:lang w:val="es-PE"/>
              </w:rPr>
              <w:t>CONCESIONARIO</w:t>
            </w:r>
            <w:r w:rsidRPr="00285D58">
              <w:rPr>
                <w:rFonts w:asciiTheme="minorHAnsi" w:eastAsia="Times New Roman" w:hAnsiTheme="minorHAnsi" w:cstheme="minorHAnsi"/>
                <w:sz w:val="16"/>
                <w:szCs w:val="16"/>
                <w:lang w:val="es-PE"/>
              </w:rPr>
              <w:t>.</w:t>
            </w:r>
            <w:r w:rsidRPr="00285D58">
              <w:rPr>
                <w:rFonts w:asciiTheme="minorHAnsi" w:eastAsia="Times New Roman" w:hAnsiTheme="minorHAnsi" w:cstheme="minorHAnsi"/>
                <w:sz w:val="16"/>
                <w:szCs w:val="16"/>
                <w:lang w:val="es-PE"/>
              </w:rPr>
              <w:br/>
            </w:r>
          </w:p>
        </w:tc>
      </w:tr>
      <w:tr w:rsidR="009F2B65" w:rsidRPr="00285D58" w14:paraId="0AAEE589"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66FC7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46F00F8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0290DE5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2C334E6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2A86D2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Trimestral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27014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0BC2063"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4D816FB1"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4752C5F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0E245BDF"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79A6C6C5"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2928F06E"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3E5277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37986F3B"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229C75C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675EB6D1"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536071E3"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DEFF53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99EFD1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04919D1"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5FDE8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68BD469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6612D73D"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4F704B67"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22099E83"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3DC2113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D81C38"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2CBF811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9C8F73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6698902"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591A4E7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6140A72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085A97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bookmarkEnd w:id="247"/>
    </w:tbl>
    <w:p w14:paraId="69B9D6E2" w14:textId="77777777" w:rsidR="009F2B65" w:rsidRPr="00285D58" w:rsidRDefault="009F2B65" w:rsidP="008D1FFF">
      <w:pPr>
        <w:spacing w:line="276" w:lineRule="auto"/>
        <w:rPr>
          <w:rFonts w:asciiTheme="minorHAnsi" w:hAnsiTheme="minorHAnsi" w:cstheme="minorHAnsi"/>
          <w:lang w:val="es-PE"/>
        </w:rPr>
      </w:pPr>
    </w:p>
    <w:p w14:paraId="19758F0B" w14:textId="77777777" w:rsidR="009F2B65" w:rsidRPr="00285D58" w:rsidRDefault="009F2B65" w:rsidP="00E82B67">
      <w:pPr>
        <w:pStyle w:val="Default"/>
        <w:spacing w:line="276" w:lineRule="auto"/>
        <w:jc w:val="both"/>
        <w:rPr>
          <w:rFonts w:asciiTheme="minorHAnsi" w:hAnsiTheme="minorHAnsi" w:cstheme="minorHAnsi"/>
          <w:b/>
          <w:color w:val="1F4E79" w:themeColor="accent5" w:themeShade="80"/>
          <w:sz w:val="22"/>
          <w:szCs w:val="22"/>
          <w:lang w:val="es-PE"/>
        </w:rPr>
      </w:pPr>
      <w:bookmarkStart w:id="248" w:name="_Toc174098017"/>
      <w:bookmarkStart w:id="249" w:name="_Toc180162669"/>
      <w:bookmarkStart w:id="250" w:name="_Toc182582272"/>
      <w:r w:rsidRPr="00285D58">
        <w:rPr>
          <w:rFonts w:asciiTheme="minorHAnsi" w:hAnsiTheme="minorHAnsi" w:cstheme="minorHAnsi"/>
          <w:b/>
          <w:color w:val="1F4E79" w:themeColor="accent5" w:themeShade="80"/>
          <w:sz w:val="22"/>
          <w:szCs w:val="22"/>
          <w:lang w:val="es-PE"/>
        </w:rPr>
        <w:t>ADMINISTRACIÓN DE LOS SERVICIOS OBLIGATORIOS</w:t>
      </w:r>
      <w:bookmarkEnd w:id="248"/>
      <w:bookmarkEnd w:id="249"/>
      <w:bookmarkEnd w:id="250"/>
    </w:p>
    <w:p w14:paraId="4DFD64E6"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6C1CC53B"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0D14A57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245F9FBF"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6C764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4A56AEE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7A81904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5788563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359E89C5"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380253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6620D67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ADM.1</w:t>
            </w:r>
          </w:p>
        </w:tc>
        <w:tc>
          <w:tcPr>
            <w:tcW w:w="1216" w:type="dxa"/>
            <w:tcBorders>
              <w:top w:val="nil"/>
              <w:left w:val="nil"/>
              <w:bottom w:val="single" w:sz="4" w:space="0" w:color="auto"/>
              <w:right w:val="single" w:sz="4" w:space="0" w:color="auto"/>
            </w:tcBorders>
            <w:shd w:val="clear" w:color="FFFFCC" w:fill="FFFFFF"/>
            <w:vAlign w:val="center"/>
            <w:hideMark/>
          </w:tcPr>
          <w:p w14:paraId="14CFABF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7E058A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0.35 %</w:t>
            </w:r>
          </w:p>
        </w:tc>
      </w:tr>
      <w:tr w:rsidR="009F2B65" w:rsidRPr="00285D58" w14:paraId="193EA4C6"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E18126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C879A7E"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 xml:space="preserve">La entrega oportuna del Informe Mensual de Actividades </w:t>
            </w:r>
          </w:p>
        </w:tc>
      </w:tr>
      <w:tr w:rsidR="009F2B65" w:rsidRPr="00285D58" w14:paraId="32E5F70C"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134400F8"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42752464"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B434FB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056F15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medir el cumplimiento del CONCESIONARIO de entregar los Informes de Actividades Mensuales dentro de los plazos establecidos.</w:t>
            </w:r>
          </w:p>
        </w:tc>
      </w:tr>
      <w:tr w:rsidR="009F2B65" w:rsidRPr="00285D58" w14:paraId="54B58005"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2301FA5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1DEE29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Cuando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entrega el Informe Mensual de Actividades oportunamente se puntuará como 100; caso contario se puntuará como 0.</w:t>
            </w:r>
          </w:p>
        </w:tc>
      </w:tr>
      <w:tr w:rsidR="009F2B65" w:rsidRPr="00285D58" w14:paraId="589BC69A"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51FD12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74B1808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Documentaria: Para corroborar su entrega, el Supervisor deberá recibir el documento formalmente en formato digital dentro de los plazos establecidos.</w:t>
            </w:r>
          </w:p>
        </w:tc>
      </w:tr>
      <w:tr w:rsidR="009F2B65" w:rsidRPr="00285D58" w14:paraId="1FA681F1"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6B1EF7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1E1B4F1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El alcance de este indicador comprende el aseguramiento de la entrega del Informe Mensual de Actividades dentro de los 10 Días Calendario siguientes a la finalización del mes objeto del informe. </w:t>
            </w:r>
          </w:p>
          <w:p w14:paraId="18B509B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documento debe contener como mínimo la siguiente información:</w:t>
            </w:r>
          </w:p>
          <w:p w14:paraId="74431A81"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actividades de los Servicios Obligatorios del CONCESIONARIO ejecutadas durante el periodo de acuerdo a los planes anuales.</w:t>
            </w:r>
          </w:p>
          <w:p w14:paraId="4D5CC352"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respecto a rectificaciones de incumplimientos.</w:t>
            </w:r>
          </w:p>
          <w:p w14:paraId="7ABDEF63"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solicitudes registrados y atendidos durante el período.</w:t>
            </w:r>
          </w:p>
          <w:p w14:paraId="6395978F"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Reporte de las quejas y reclamos registrados por los Usuarios y atendidos por el CONCESIONARIO durante el período.</w:t>
            </w:r>
          </w:p>
          <w:p w14:paraId="7CE426AE" w14:textId="77777777" w:rsidR="009F2B65" w:rsidRPr="00285D58" w:rsidRDefault="009F2B65" w:rsidP="00A3732C">
            <w:pPr>
              <w:widowControl/>
              <w:numPr>
                <w:ilvl w:val="0"/>
                <w:numId w:val="257"/>
              </w:numPr>
              <w:spacing w:after="160" w:line="276" w:lineRule="auto"/>
              <w:contextualSpacing/>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Resumen de actividades realizadas durante el mes (reuniones, participantes, visitas, etc.).</w:t>
            </w:r>
          </w:p>
          <w:p w14:paraId="57ACEA5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30C6B98E"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1D3C3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lastRenderedPageBreak/>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440C8E95" w14:textId="49035BCD" w:rsidR="009F2B65" w:rsidRPr="00285D58" w:rsidRDefault="00716325" w:rsidP="00716325">
            <w:pPr>
              <w:pStyle w:val="Default"/>
              <w:rPr>
                <w:rFonts w:asciiTheme="minorHAnsi" w:hAnsiTheme="minorHAnsi" w:cstheme="minorHAnsi"/>
                <w:sz w:val="16"/>
                <w:szCs w:val="16"/>
                <w:lang w:val="es-PE"/>
              </w:rPr>
            </w:pPr>
            <w:r w:rsidRPr="00285D58">
              <w:rPr>
                <w:rFonts w:asciiTheme="minorHAnsi" w:eastAsia="Times New Roman" w:hAnsiTheme="minorHAnsi" w:cstheme="minorHAnsi"/>
                <w:sz w:val="16"/>
                <w:szCs w:val="16"/>
                <w:lang w:val="es-PE"/>
              </w:rPr>
              <w:t>El Supervisor confirmará si el CONCESIONARIO ha cumplido con entregar el Informe Mensual de Actividades a tiempo y conforme a lo indicado en la Sección 5 del Anexo 9.</w:t>
            </w:r>
            <w:r w:rsidRPr="00285D58">
              <w:rPr>
                <w:rFonts w:asciiTheme="minorHAnsi" w:hAnsiTheme="minorHAnsi" w:cstheme="minorHAnsi"/>
                <w:sz w:val="16"/>
                <w:szCs w:val="16"/>
                <w:lang w:val="es-PE"/>
              </w:rPr>
              <w:t xml:space="preserve"> </w:t>
            </w:r>
          </w:p>
        </w:tc>
      </w:tr>
      <w:tr w:rsidR="009F2B65" w:rsidRPr="00285D58" w14:paraId="0D1E23E1"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52C944BE"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E5F03CB"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6E214342"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3F2C7D7F"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8532D9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09560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334E47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48CBFB3"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8D73EB0"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C1FA13B"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06A32719"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562519CB"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4792249"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001AA4D0"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85B615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4B1B287"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2C5C8DD2"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93162C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6A754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3525E16A"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75B97DF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6823815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7F62E70A"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9456E3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7A0D04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8A3C4F7"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0467421"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79E1D57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67C6973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F9D2C50"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DC8031C"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0D2C18A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6FBB4D9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4BBA06C0" w14:textId="77777777" w:rsidR="009F2B65" w:rsidRPr="00285D58" w:rsidRDefault="009F2B65" w:rsidP="008D1FFF">
      <w:pPr>
        <w:spacing w:line="276" w:lineRule="auto"/>
        <w:rPr>
          <w:rFonts w:asciiTheme="minorHAnsi" w:hAnsiTheme="minorHAnsi" w:cstheme="minorHAnsi"/>
          <w:lang w:val="es-PE"/>
        </w:rPr>
      </w:pPr>
    </w:p>
    <w:p w14:paraId="3AA1E02C" w14:textId="77777777" w:rsidR="009F2B65" w:rsidRPr="00285D58" w:rsidRDefault="009F2B65" w:rsidP="008D1FFF">
      <w:pPr>
        <w:spacing w:line="276" w:lineRule="auto"/>
        <w:rPr>
          <w:rFonts w:asciiTheme="minorHAnsi" w:hAnsiTheme="minorHAnsi" w:cstheme="minorHAnsi"/>
          <w:lang w:val="es-PE"/>
        </w:rPr>
      </w:pPr>
    </w:p>
    <w:tbl>
      <w:tblPr>
        <w:tblW w:w="8472" w:type="dxa"/>
        <w:jc w:val="center"/>
        <w:tblCellMar>
          <w:left w:w="70" w:type="dxa"/>
          <w:right w:w="70" w:type="dxa"/>
        </w:tblCellMar>
        <w:tblLook w:val="04A0" w:firstRow="1" w:lastRow="0" w:firstColumn="1" w:lastColumn="0" w:noHBand="0" w:noVBand="1"/>
      </w:tblPr>
      <w:tblGrid>
        <w:gridCol w:w="1266"/>
        <w:gridCol w:w="827"/>
        <w:gridCol w:w="2268"/>
        <w:gridCol w:w="1216"/>
        <w:gridCol w:w="2895"/>
      </w:tblGrid>
      <w:tr w:rsidR="009F2B65" w:rsidRPr="00285D58" w14:paraId="7E870850" w14:textId="77777777" w:rsidTr="00242093">
        <w:trPr>
          <w:trHeight w:val="209"/>
          <w:jc w:val="center"/>
        </w:trPr>
        <w:tc>
          <w:tcPr>
            <w:tcW w:w="8472"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F21CB7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5344504B"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D56E9E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3095" w:type="dxa"/>
            <w:gridSpan w:val="2"/>
            <w:tcBorders>
              <w:top w:val="single" w:sz="4" w:space="0" w:color="auto"/>
              <w:left w:val="nil"/>
              <w:bottom w:val="single" w:sz="4" w:space="0" w:color="auto"/>
              <w:right w:val="single" w:sz="4" w:space="0" w:color="auto"/>
            </w:tcBorders>
            <w:shd w:val="clear" w:color="FFFFCC" w:fill="FFFFFF"/>
            <w:vAlign w:val="center"/>
            <w:hideMark/>
          </w:tcPr>
          <w:p w14:paraId="2A586B6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1D1E485C"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2DCAAC6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2311227"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EC93086"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3095"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075778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ADM.2</w:t>
            </w:r>
          </w:p>
        </w:tc>
        <w:tc>
          <w:tcPr>
            <w:tcW w:w="1216" w:type="dxa"/>
            <w:tcBorders>
              <w:top w:val="nil"/>
              <w:left w:val="nil"/>
              <w:bottom w:val="single" w:sz="4" w:space="0" w:color="auto"/>
              <w:right w:val="single" w:sz="4" w:space="0" w:color="auto"/>
            </w:tcBorders>
            <w:shd w:val="clear" w:color="FFFFCC" w:fill="FFFFFF"/>
            <w:vAlign w:val="center"/>
            <w:hideMark/>
          </w:tcPr>
          <w:p w14:paraId="41B1995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5555A89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0.30 %</w:t>
            </w:r>
          </w:p>
        </w:tc>
      </w:tr>
      <w:tr w:rsidR="009F2B65" w:rsidRPr="00285D58" w14:paraId="56374885"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F923A9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206" w:type="dxa"/>
            <w:gridSpan w:val="4"/>
            <w:tcBorders>
              <w:top w:val="single" w:sz="4" w:space="0" w:color="auto"/>
              <w:left w:val="nil"/>
              <w:bottom w:val="single" w:sz="4" w:space="0" w:color="auto"/>
              <w:right w:val="single" w:sz="8" w:space="0" w:color="000000"/>
            </w:tcBorders>
            <w:shd w:val="clear" w:color="auto" w:fill="auto"/>
            <w:vAlign w:val="center"/>
            <w:hideMark/>
          </w:tcPr>
          <w:p w14:paraId="67DE4CDA"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La entrega oportuna de los Informes Especiales solicitados por el Supervisor</w:t>
            </w:r>
          </w:p>
        </w:tc>
      </w:tr>
      <w:tr w:rsidR="009F2B65" w:rsidRPr="00285D58" w14:paraId="102C1E53" w14:textId="77777777" w:rsidTr="00242093">
        <w:trPr>
          <w:trHeight w:val="360"/>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21E603C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7249E207" w14:textId="77777777" w:rsidTr="00242093">
        <w:trPr>
          <w:trHeight w:val="1240"/>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79403A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206" w:type="dxa"/>
            <w:gridSpan w:val="4"/>
            <w:tcBorders>
              <w:top w:val="single" w:sz="4" w:space="0" w:color="auto"/>
              <w:left w:val="nil"/>
              <w:bottom w:val="single" w:sz="4" w:space="0" w:color="auto"/>
              <w:right w:val="single" w:sz="8" w:space="0" w:color="000000"/>
            </w:tcBorders>
            <w:shd w:val="clear" w:color="FFFFCC" w:fill="FFFFFF"/>
            <w:vAlign w:val="center"/>
            <w:hideMark/>
          </w:tcPr>
          <w:p w14:paraId="545C4181"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El objetivo del indicador es medir el cumplimiento del CONCESIONARIO de entregar los Informes Especiales que solicite el Supervisor sobre cualquier aspecto relacionado con los servicios prestados dentro de los plazos establecidos.</w:t>
            </w:r>
          </w:p>
        </w:tc>
      </w:tr>
      <w:tr w:rsidR="009F2B65" w:rsidRPr="00285D58" w14:paraId="64F4328A"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771238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206" w:type="dxa"/>
            <w:gridSpan w:val="4"/>
            <w:tcBorders>
              <w:top w:val="nil"/>
              <w:left w:val="nil"/>
              <w:bottom w:val="nil"/>
              <w:right w:val="single" w:sz="8" w:space="0" w:color="000000"/>
            </w:tcBorders>
            <w:shd w:val="clear" w:color="auto" w:fill="auto"/>
            <w:noWrap/>
            <w:vAlign w:val="center"/>
          </w:tcPr>
          <w:p w14:paraId="6A6CA49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Cuando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entrega el Informe especial oportunamente se puntuará como 100; caso contrario se puntuará como 0.</w:t>
            </w:r>
          </w:p>
        </w:tc>
      </w:tr>
      <w:tr w:rsidR="009F2B65" w:rsidRPr="00285D58" w14:paraId="5535DADA"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0743BC9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206" w:type="dxa"/>
            <w:gridSpan w:val="4"/>
            <w:tcBorders>
              <w:top w:val="single" w:sz="4" w:space="0" w:color="auto"/>
              <w:left w:val="nil"/>
              <w:right w:val="single" w:sz="8" w:space="0" w:color="000000"/>
            </w:tcBorders>
            <w:shd w:val="clear" w:color="FFFFCC" w:fill="FFFFFF"/>
            <w:vAlign w:val="center"/>
          </w:tcPr>
          <w:p w14:paraId="4CA79CC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Documentación: Para corroborar su entrega, el Supervisor deberá recibir el documento formalmente en formato digital dentro de los plazos establecidos.</w:t>
            </w:r>
          </w:p>
        </w:tc>
      </w:tr>
      <w:tr w:rsidR="009F2B65" w:rsidRPr="00285D58" w14:paraId="26B1B13E"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0E19BA4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206" w:type="dxa"/>
            <w:gridSpan w:val="4"/>
            <w:tcBorders>
              <w:top w:val="single" w:sz="4" w:space="0" w:color="auto"/>
              <w:left w:val="nil"/>
              <w:bottom w:val="single" w:sz="4" w:space="0" w:color="auto"/>
              <w:right w:val="single" w:sz="8" w:space="0" w:color="000000"/>
            </w:tcBorders>
            <w:shd w:val="clear" w:color="FFFFCC" w:fill="FFFFFF"/>
            <w:vAlign w:val="center"/>
            <w:hideMark/>
          </w:tcPr>
          <w:p w14:paraId="0C0B406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aseguramiento de la entrega de los Informes Especiales solicitados por la Supervisión, referidos a aspectos relacionados con la prestación de los servicios por parte del CONCESIONARIO, dentro de los 15 Días Calendario siguientes a la solicitud.</w:t>
            </w:r>
          </w:p>
        </w:tc>
      </w:tr>
      <w:tr w:rsidR="009F2B65" w:rsidRPr="00285D58" w14:paraId="27E04151"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09E94F80"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206" w:type="dxa"/>
            <w:gridSpan w:val="4"/>
            <w:tcBorders>
              <w:top w:val="single" w:sz="4" w:space="0" w:color="auto"/>
              <w:left w:val="nil"/>
              <w:bottom w:val="single" w:sz="4" w:space="0" w:color="auto"/>
              <w:right w:val="single" w:sz="8" w:space="0" w:color="000000"/>
            </w:tcBorders>
            <w:shd w:val="clear" w:color="auto" w:fill="auto"/>
            <w:vAlign w:val="center"/>
          </w:tcPr>
          <w:p w14:paraId="569B88E9"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 xml:space="preserve">El Supervisor confirmará si 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ha cumplido con entregar el Informe Especial a tiempo y conforme lo establecido en las especificaciones técnicas.</w:t>
            </w:r>
          </w:p>
        </w:tc>
      </w:tr>
      <w:tr w:rsidR="009F2B65" w:rsidRPr="00285D58" w14:paraId="00686485"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61367EC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3095" w:type="dxa"/>
            <w:gridSpan w:val="2"/>
            <w:tcBorders>
              <w:top w:val="single" w:sz="4" w:space="0" w:color="auto"/>
              <w:left w:val="nil"/>
              <w:bottom w:val="single" w:sz="4" w:space="0" w:color="auto"/>
              <w:right w:val="single" w:sz="4" w:space="0" w:color="auto"/>
            </w:tcBorders>
            <w:shd w:val="clear" w:color="CCCCFF" w:fill="5B9BD5"/>
            <w:vAlign w:val="center"/>
            <w:hideMark/>
          </w:tcPr>
          <w:p w14:paraId="02AA03D7"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4F62126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0E38FFA1"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FE4F2C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Cada vez que se solicite</w:t>
            </w:r>
          </w:p>
        </w:tc>
        <w:tc>
          <w:tcPr>
            <w:tcW w:w="309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434398"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884EB0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D10489C" w14:textId="77777777" w:rsidTr="00242093">
        <w:trPr>
          <w:trHeight w:val="255"/>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3BB36AAD"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A51253F" w14:textId="77777777" w:rsidTr="00242093">
        <w:trPr>
          <w:trHeight w:val="296"/>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24BE79BE"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0D8408E9" w14:textId="77777777" w:rsidTr="00242093">
        <w:trPr>
          <w:trHeight w:val="276"/>
          <w:jc w:val="center"/>
        </w:trPr>
        <w:tc>
          <w:tcPr>
            <w:tcW w:w="8472"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560EB6B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580B09D3" w14:textId="77777777" w:rsidTr="00242093">
        <w:trPr>
          <w:trHeight w:val="255"/>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D568D3E"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lastRenderedPageBreak/>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1C7538A6"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76F9B7D0" w14:textId="77777777" w:rsidTr="00242093">
        <w:trPr>
          <w:trHeight w:val="300"/>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3A84D57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14FE3310"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No aplica</w:t>
            </w:r>
          </w:p>
        </w:tc>
      </w:tr>
      <w:tr w:rsidR="009F2B65" w:rsidRPr="00285D58" w14:paraId="4EDF8CB7"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650D9FF2"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(X)</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56BDEAA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52557FF9" w14:textId="77777777" w:rsidTr="00242093">
        <w:trPr>
          <w:trHeight w:val="276"/>
          <w:jc w:val="center"/>
        </w:trPr>
        <w:tc>
          <w:tcPr>
            <w:tcW w:w="2093"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1261AF9"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5DE5C22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4317731E"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51B435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827" w:type="dxa"/>
            <w:tcBorders>
              <w:top w:val="nil"/>
              <w:left w:val="nil"/>
              <w:bottom w:val="single" w:sz="4" w:space="0" w:color="auto"/>
              <w:right w:val="single" w:sz="4" w:space="0" w:color="auto"/>
            </w:tcBorders>
            <w:shd w:val="clear" w:color="FFFFCC" w:fill="FFFFFF"/>
            <w:noWrap/>
            <w:vAlign w:val="center"/>
            <w:hideMark/>
          </w:tcPr>
          <w:p w14:paraId="71F2DF7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0D74561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74E601BC"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5A819AA"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827" w:type="dxa"/>
            <w:tcBorders>
              <w:top w:val="nil"/>
              <w:left w:val="nil"/>
              <w:bottom w:val="single" w:sz="8" w:space="0" w:color="auto"/>
              <w:right w:val="single" w:sz="4" w:space="0" w:color="auto"/>
            </w:tcBorders>
            <w:shd w:val="clear" w:color="FFFFCC" w:fill="FFFFFF"/>
            <w:noWrap/>
            <w:vAlign w:val="center"/>
            <w:hideMark/>
          </w:tcPr>
          <w:p w14:paraId="4CED91C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50FF8033"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36DD8800" w14:textId="77777777" w:rsidR="009F2B65" w:rsidRPr="00285D58" w:rsidRDefault="009F2B65" w:rsidP="008D1FFF">
      <w:pPr>
        <w:spacing w:line="276" w:lineRule="auto"/>
        <w:rPr>
          <w:rFonts w:asciiTheme="minorHAnsi" w:hAnsiTheme="minorHAnsi" w:cstheme="minorHAnsi"/>
          <w:lang w:val="es-PE"/>
        </w:rPr>
      </w:pPr>
    </w:p>
    <w:tbl>
      <w:tblPr>
        <w:tblW w:w="8354" w:type="dxa"/>
        <w:jc w:val="center"/>
        <w:tblCellMar>
          <w:left w:w="70" w:type="dxa"/>
          <w:right w:w="70" w:type="dxa"/>
        </w:tblCellMar>
        <w:tblLook w:val="04A0" w:firstRow="1" w:lastRow="0" w:firstColumn="1" w:lastColumn="0" w:noHBand="0" w:noVBand="1"/>
      </w:tblPr>
      <w:tblGrid>
        <w:gridCol w:w="1266"/>
        <w:gridCol w:w="709"/>
        <w:gridCol w:w="2268"/>
        <w:gridCol w:w="1216"/>
        <w:gridCol w:w="2895"/>
      </w:tblGrid>
      <w:tr w:rsidR="009F2B65" w:rsidRPr="00285D58" w14:paraId="714B9C6E" w14:textId="77777777" w:rsidTr="00242093">
        <w:trPr>
          <w:trHeight w:val="209"/>
          <w:jc w:val="center"/>
        </w:trPr>
        <w:tc>
          <w:tcPr>
            <w:tcW w:w="8354" w:type="dxa"/>
            <w:gridSpan w:val="5"/>
            <w:tcBorders>
              <w:top w:val="single" w:sz="8" w:space="0" w:color="auto"/>
              <w:left w:val="single" w:sz="8" w:space="0" w:color="auto"/>
              <w:bottom w:val="single" w:sz="4" w:space="0" w:color="auto"/>
              <w:right w:val="single" w:sz="8" w:space="0" w:color="000000"/>
            </w:tcBorders>
            <w:shd w:val="clear" w:color="CCCCFF" w:fill="5B9BD5"/>
            <w:noWrap/>
            <w:vAlign w:val="center"/>
            <w:hideMark/>
          </w:tcPr>
          <w:p w14:paraId="6BB747D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FICHA TÉCNICA</w:t>
            </w:r>
          </w:p>
        </w:tc>
      </w:tr>
      <w:tr w:rsidR="009F2B65" w:rsidRPr="00285D58" w14:paraId="143D7B4E" w14:textId="77777777" w:rsidTr="00242093">
        <w:trPr>
          <w:trHeight w:val="27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7CBD111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Categoría de Grupo</w:t>
            </w:r>
          </w:p>
        </w:tc>
        <w:tc>
          <w:tcPr>
            <w:tcW w:w="2977" w:type="dxa"/>
            <w:gridSpan w:val="2"/>
            <w:tcBorders>
              <w:top w:val="single" w:sz="4" w:space="0" w:color="auto"/>
              <w:left w:val="nil"/>
              <w:bottom w:val="single" w:sz="4" w:space="0" w:color="auto"/>
              <w:right w:val="single" w:sz="4" w:space="0" w:color="auto"/>
            </w:tcBorders>
            <w:shd w:val="clear" w:color="FFFFCC" w:fill="FFFFFF"/>
            <w:vAlign w:val="center"/>
            <w:hideMark/>
          </w:tcPr>
          <w:p w14:paraId="7C454CD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Administración de los Servicios Obligatorios</w:t>
            </w:r>
          </w:p>
        </w:tc>
        <w:tc>
          <w:tcPr>
            <w:tcW w:w="1216" w:type="dxa"/>
            <w:tcBorders>
              <w:top w:val="nil"/>
              <w:left w:val="nil"/>
              <w:bottom w:val="single" w:sz="4" w:space="0" w:color="auto"/>
              <w:right w:val="single" w:sz="4" w:space="0" w:color="auto"/>
            </w:tcBorders>
            <w:shd w:val="clear" w:color="FFFFCC" w:fill="FFFFFF"/>
            <w:vAlign w:val="center"/>
            <w:hideMark/>
          </w:tcPr>
          <w:p w14:paraId="09A1917A"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Medición</w:t>
            </w:r>
          </w:p>
        </w:tc>
        <w:tc>
          <w:tcPr>
            <w:tcW w:w="2895" w:type="dxa"/>
            <w:tcBorders>
              <w:top w:val="single" w:sz="4" w:space="0" w:color="000000"/>
              <w:left w:val="nil"/>
              <w:bottom w:val="nil"/>
              <w:right w:val="single" w:sz="8" w:space="0" w:color="000000"/>
            </w:tcBorders>
            <w:shd w:val="clear" w:color="FFFFCC" w:fill="FFFFFF"/>
            <w:vAlign w:val="center"/>
            <w:hideMark/>
          </w:tcPr>
          <w:p w14:paraId="16569FC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Documentaria / Visual</w:t>
            </w:r>
          </w:p>
        </w:tc>
      </w:tr>
      <w:tr w:rsidR="009F2B65" w:rsidRPr="00285D58" w14:paraId="53B131A2" w14:textId="77777777" w:rsidTr="00242093">
        <w:trPr>
          <w:trHeight w:val="269"/>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5B00E2B"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Código</w:t>
            </w:r>
          </w:p>
        </w:tc>
        <w:tc>
          <w:tcPr>
            <w:tcW w:w="2977" w:type="dxa"/>
            <w:gridSpan w:val="2"/>
            <w:tcBorders>
              <w:top w:val="single" w:sz="4" w:space="0" w:color="auto"/>
              <w:left w:val="nil"/>
              <w:bottom w:val="single" w:sz="4" w:space="0" w:color="auto"/>
              <w:right w:val="single" w:sz="4" w:space="0" w:color="auto"/>
            </w:tcBorders>
            <w:shd w:val="clear" w:color="FFFFCC" w:fill="FFFFFF"/>
            <w:noWrap/>
            <w:vAlign w:val="center"/>
            <w:hideMark/>
          </w:tcPr>
          <w:p w14:paraId="1E1C4F4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hAnsiTheme="minorHAnsi" w:cstheme="minorHAnsi"/>
                <w:color w:val="000000"/>
                <w:sz w:val="16"/>
                <w:szCs w:val="16"/>
                <w:lang w:val="es-PE"/>
              </w:rPr>
              <w:t>ADM.3</w:t>
            </w:r>
          </w:p>
        </w:tc>
        <w:tc>
          <w:tcPr>
            <w:tcW w:w="1216" w:type="dxa"/>
            <w:tcBorders>
              <w:top w:val="nil"/>
              <w:left w:val="nil"/>
              <w:bottom w:val="single" w:sz="4" w:space="0" w:color="auto"/>
              <w:right w:val="single" w:sz="4" w:space="0" w:color="auto"/>
            </w:tcBorders>
            <w:shd w:val="clear" w:color="FFFFCC" w:fill="FFFFFF"/>
            <w:vAlign w:val="center"/>
            <w:hideMark/>
          </w:tcPr>
          <w:p w14:paraId="3F193CF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Peso</w:t>
            </w:r>
          </w:p>
        </w:tc>
        <w:tc>
          <w:tcPr>
            <w:tcW w:w="2895" w:type="dxa"/>
            <w:tcBorders>
              <w:top w:val="single" w:sz="4" w:space="0" w:color="auto"/>
              <w:left w:val="nil"/>
              <w:bottom w:val="single" w:sz="4" w:space="0" w:color="auto"/>
              <w:right w:val="single" w:sz="8" w:space="0" w:color="000000"/>
            </w:tcBorders>
            <w:shd w:val="clear" w:color="FFFFCC" w:fill="FFFFFF"/>
            <w:vAlign w:val="center"/>
            <w:hideMark/>
          </w:tcPr>
          <w:p w14:paraId="4644AD1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0.35 %</w:t>
            </w:r>
          </w:p>
        </w:tc>
      </w:tr>
      <w:tr w:rsidR="009F2B65" w:rsidRPr="00285D58" w14:paraId="0164073D" w14:textId="77777777" w:rsidTr="00242093">
        <w:trPr>
          <w:trHeight w:val="435"/>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FC9EB5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 xml:space="preserve">Parámetro </w:t>
            </w:r>
          </w:p>
        </w:tc>
        <w:tc>
          <w:tcPr>
            <w:tcW w:w="7088" w:type="dxa"/>
            <w:gridSpan w:val="4"/>
            <w:tcBorders>
              <w:top w:val="single" w:sz="4" w:space="0" w:color="auto"/>
              <w:left w:val="nil"/>
              <w:bottom w:val="single" w:sz="4" w:space="0" w:color="auto"/>
              <w:right w:val="single" w:sz="8" w:space="0" w:color="000000"/>
            </w:tcBorders>
            <w:shd w:val="clear" w:color="auto" w:fill="auto"/>
            <w:vAlign w:val="center"/>
            <w:hideMark/>
          </w:tcPr>
          <w:p w14:paraId="105754FC"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hAnsiTheme="minorHAnsi" w:cstheme="minorHAnsi"/>
                <w:color w:val="000000"/>
                <w:sz w:val="16"/>
                <w:szCs w:val="16"/>
                <w:lang w:val="es-PE"/>
              </w:rPr>
              <w:t xml:space="preserve">La documentación oportuna de todas las actividades ejecutadas dentro del Contrato durante la Operación.  </w:t>
            </w:r>
          </w:p>
        </w:tc>
      </w:tr>
      <w:tr w:rsidR="009F2B65" w:rsidRPr="00285D58" w14:paraId="5BF77EC3" w14:textId="77777777" w:rsidTr="00242093">
        <w:trPr>
          <w:trHeight w:val="360"/>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757671C5"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Definición y Método de Medición</w:t>
            </w:r>
          </w:p>
        </w:tc>
      </w:tr>
      <w:tr w:rsidR="009F2B65" w:rsidRPr="00285D58" w14:paraId="26D00E79" w14:textId="77777777" w:rsidTr="00242093">
        <w:trPr>
          <w:trHeight w:val="934"/>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40C6EF4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Definición</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2AD775D4"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 xml:space="preserve">El objetivo del indicador es medir el cumplimiento del </w:t>
            </w:r>
            <w:r w:rsidRPr="00285D58">
              <w:rPr>
                <w:rFonts w:asciiTheme="minorHAnsi" w:eastAsia="Times New Roman" w:hAnsiTheme="minorHAnsi" w:cstheme="minorHAnsi"/>
                <w:color w:val="000000"/>
                <w:sz w:val="16"/>
                <w:szCs w:val="16"/>
                <w:lang w:val="es-PE"/>
              </w:rPr>
              <w:t>CONCESIONARIO</w:t>
            </w:r>
            <w:r w:rsidRPr="00285D58" w:rsidDel="003E62E8">
              <w:rPr>
                <w:rFonts w:asciiTheme="minorHAnsi" w:eastAsia="Times New Roman" w:hAnsiTheme="minorHAnsi" w:cstheme="minorHAnsi"/>
                <w:sz w:val="16"/>
                <w:szCs w:val="16"/>
                <w:lang w:val="es-PE"/>
              </w:rPr>
              <w:t xml:space="preserve"> </w:t>
            </w:r>
            <w:r w:rsidRPr="00285D58">
              <w:rPr>
                <w:rFonts w:asciiTheme="minorHAnsi" w:eastAsia="Times New Roman" w:hAnsiTheme="minorHAnsi" w:cstheme="minorHAnsi"/>
                <w:sz w:val="16"/>
                <w:szCs w:val="16"/>
                <w:lang w:val="es-PE"/>
              </w:rPr>
              <w:t>en documentar todos los reportes de actividades, documentos y tareas relacionadas con los servicios obligatorios en el SIDIG.</w:t>
            </w:r>
          </w:p>
        </w:tc>
      </w:tr>
      <w:tr w:rsidR="009F2B65" w:rsidRPr="00285D58" w14:paraId="397943D6" w14:textId="77777777" w:rsidTr="00242093">
        <w:trPr>
          <w:trHeight w:val="577"/>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16C8043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Cálculo del Nivel de Servicio</w:t>
            </w:r>
          </w:p>
        </w:tc>
        <w:tc>
          <w:tcPr>
            <w:tcW w:w="7088" w:type="dxa"/>
            <w:gridSpan w:val="4"/>
            <w:tcBorders>
              <w:top w:val="nil"/>
              <w:left w:val="nil"/>
              <w:bottom w:val="nil"/>
              <w:right w:val="single" w:sz="8" w:space="0" w:color="000000"/>
            </w:tcBorders>
            <w:shd w:val="clear" w:color="auto" w:fill="auto"/>
            <w:noWrap/>
            <w:vAlign w:val="center"/>
          </w:tcPr>
          <w:p w14:paraId="1257483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Documentaria: Para corroborar su entrega, el Supervisor revisará los Manuales de Operación de los servicios y lo contrastará con los reportes de actividades, documentos y tareas registrados en el SIDIG.</w:t>
            </w:r>
          </w:p>
        </w:tc>
      </w:tr>
      <w:tr w:rsidR="009F2B65" w:rsidRPr="00285D58" w14:paraId="1600F0F3" w14:textId="77777777" w:rsidTr="00242093">
        <w:trPr>
          <w:trHeight w:val="610"/>
          <w:jc w:val="center"/>
        </w:trPr>
        <w:tc>
          <w:tcPr>
            <w:tcW w:w="1266" w:type="dxa"/>
            <w:tcBorders>
              <w:top w:val="nil"/>
              <w:left w:val="single" w:sz="8" w:space="0" w:color="auto"/>
              <w:bottom w:val="single" w:sz="4" w:space="0" w:color="000000"/>
              <w:right w:val="single" w:sz="4" w:space="0" w:color="auto"/>
            </w:tcBorders>
            <w:shd w:val="clear" w:color="FFFFCC" w:fill="FFFFFF"/>
            <w:noWrap/>
            <w:vAlign w:val="center"/>
            <w:hideMark/>
          </w:tcPr>
          <w:p w14:paraId="7C2C3FE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Método de Medición</w:t>
            </w:r>
          </w:p>
        </w:tc>
        <w:tc>
          <w:tcPr>
            <w:tcW w:w="7088" w:type="dxa"/>
            <w:gridSpan w:val="4"/>
            <w:tcBorders>
              <w:top w:val="single" w:sz="4" w:space="0" w:color="auto"/>
              <w:left w:val="nil"/>
              <w:right w:val="single" w:sz="8" w:space="0" w:color="000000"/>
            </w:tcBorders>
            <w:shd w:val="clear" w:color="FFFFCC" w:fill="FFFFFF"/>
            <w:vAlign w:val="center"/>
          </w:tcPr>
          <w:p w14:paraId="489BA475"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Documentación: Para corroborar su entrega, el Supervisor deberá recibir el documento formalmente en formato digital dentro de los plazos establecidos.</w:t>
            </w:r>
          </w:p>
        </w:tc>
      </w:tr>
      <w:tr w:rsidR="009F2B65" w:rsidRPr="00285D58" w14:paraId="41B83CB8" w14:textId="77777777" w:rsidTr="00242093">
        <w:trPr>
          <w:trHeight w:val="593"/>
          <w:jc w:val="center"/>
        </w:trPr>
        <w:tc>
          <w:tcPr>
            <w:tcW w:w="1266" w:type="dxa"/>
            <w:tcBorders>
              <w:top w:val="nil"/>
              <w:left w:val="single" w:sz="8" w:space="0" w:color="auto"/>
              <w:bottom w:val="single" w:sz="4" w:space="0" w:color="auto"/>
              <w:right w:val="single" w:sz="4" w:space="0" w:color="auto"/>
            </w:tcBorders>
            <w:shd w:val="clear" w:color="FFFFCC" w:fill="FFFFFF"/>
            <w:noWrap/>
            <w:vAlign w:val="center"/>
            <w:hideMark/>
          </w:tcPr>
          <w:p w14:paraId="3D2868F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Alcance</w:t>
            </w:r>
          </w:p>
        </w:tc>
        <w:tc>
          <w:tcPr>
            <w:tcW w:w="7088" w:type="dxa"/>
            <w:gridSpan w:val="4"/>
            <w:tcBorders>
              <w:top w:val="single" w:sz="4" w:space="0" w:color="auto"/>
              <w:left w:val="nil"/>
              <w:bottom w:val="single" w:sz="4" w:space="0" w:color="auto"/>
              <w:right w:val="single" w:sz="8" w:space="0" w:color="000000"/>
            </w:tcBorders>
            <w:shd w:val="clear" w:color="FFFFCC" w:fill="FFFFFF"/>
            <w:vAlign w:val="center"/>
            <w:hideMark/>
          </w:tcPr>
          <w:p w14:paraId="524F27D7"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El alcance de este indicador comprende el aseguramiento de que el CONCESIONARIO</w:t>
            </w:r>
            <w:r w:rsidRPr="00285D58" w:rsidDel="003E62E8">
              <w:rPr>
                <w:rFonts w:asciiTheme="minorHAnsi" w:eastAsia="Times New Roman" w:hAnsiTheme="minorHAnsi" w:cstheme="minorHAnsi"/>
                <w:color w:val="000000"/>
                <w:sz w:val="16"/>
                <w:szCs w:val="16"/>
                <w:lang w:val="es-PE"/>
              </w:rPr>
              <w:t xml:space="preserve"> </w:t>
            </w:r>
            <w:r w:rsidRPr="00285D58">
              <w:rPr>
                <w:rFonts w:asciiTheme="minorHAnsi" w:eastAsia="Times New Roman" w:hAnsiTheme="minorHAnsi" w:cstheme="minorHAnsi"/>
                <w:color w:val="000000"/>
                <w:sz w:val="16"/>
                <w:szCs w:val="16"/>
                <w:lang w:val="es-PE"/>
              </w:rPr>
              <w:t>usa adecuadamente el SIDIG para documentar todos los reportes de actividades, documentos y tareas relacionadas con los servicios que presta según el Contrato. De igual manera, el CONCESIONARIO</w:t>
            </w:r>
            <w:r w:rsidRPr="00285D58" w:rsidDel="003E62E8">
              <w:rPr>
                <w:rFonts w:asciiTheme="minorHAnsi" w:eastAsia="Times New Roman" w:hAnsiTheme="minorHAnsi" w:cstheme="minorHAnsi"/>
                <w:color w:val="000000"/>
                <w:sz w:val="16"/>
                <w:szCs w:val="16"/>
                <w:lang w:val="es-PE"/>
              </w:rPr>
              <w:t xml:space="preserve"> </w:t>
            </w:r>
            <w:r w:rsidRPr="00285D58">
              <w:rPr>
                <w:rFonts w:asciiTheme="minorHAnsi" w:eastAsia="Times New Roman" w:hAnsiTheme="minorHAnsi" w:cstheme="minorHAnsi"/>
                <w:color w:val="000000"/>
                <w:sz w:val="16"/>
                <w:szCs w:val="16"/>
                <w:lang w:val="es-PE"/>
              </w:rPr>
              <w:t xml:space="preserve">deberá mantener registrado todos los planes anuales, informes mensuales, trimestrales y especiales del servicio. </w:t>
            </w:r>
          </w:p>
        </w:tc>
      </w:tr>
      <w:tr w:rsidR="009F2B65" w:rsidRPr="00285D58" w14:paraId="17F48BB9" w14:textId="77777777" w:rsidTr="00242093">
        <w:trPr>
          <w:trHeight w:val="1237"/>
          <w:jc w:val="center"/>
        </w:trPr>
        <w:tc>
          <w:tcPr>
            <w:tcW w:w="1266" w:type="dxa"/>
            <w:tcBorders>
              <w:top w:val="nil"/>
              <w:left w:val="single" w:sz="8" w:space="0" w:color="auto"/>
              <w:bottom w:val="single" w:sz="4" w:space="0" w:color="auto"/>
              <w:right w:val="single" w:sz="4" w:space="0" w:color="auto"/>
            </w:tcBorders>
            <w:shd w:val="clear" w:color="auto" w:fill="auto"/>
            <w:vAlign w:val="center"/>
            <w:hideMark/>
          </w:tcPr>
          <w:p w14:paraId="53FE41F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Especificaciones</w:t>
            </w:r>
          </w:p>
        </w:tc>
        <w:tc>
          <w:tcPr>
            <w:tcW w:w="7088" w:type="dxa"/>
            <w:gridSpan w:val="4"/>
            <w:tcBorders>
              <w:top w:val="single" w:sz="4" w:space="0" w:color="auto"/>
              <w:left w:val="nil"/>
              <w:bottom w:val="single" w:sz="4" w:space="0" w:color="auto"/>
              <w:right w:val="single" w:sz="8" w:space="0" w:color="000000"/>
            </w:tcBorders>
            <w:shd w:val="clear" w:color="auto" w:fill="auto"/>
            <w:vAlign w:val="center"/>
          </w:tcPr>
          <w:p w14:paraId="5C35D335"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sz w:val="16"/>
                <w:szCs w:val="16"/>
                <w:lang w:val="es-PE"/>
              </w:rPr>
              <w:t>El Supervisor confirmará si el CONCESIONARIO ha cumplido con reportar en el SIDIG todas las actividades ejecutadas.</w:t>
            </w:r>
          </w:p>
        </w:tc>
      </w:tr>
      <w:tr w:rsidR="009F2B65" w:rsidRPr="00285D58" w14:paraId="72ACD47C" w14:textId="77777777" w:rsidTr="00242093">
        <w:trPr>
          <w:trHeight w:val="286"/>
          <w:jc w:val="center"/>
        </w:trPr>
        <w:tc>
          <w:tcPr>
            <w:tcW w:w="1266" w:type="dxa"/>
            <w:tcBorders>
              <w:top w:val="single" w:sz="4" w:space="0" w:color="auto"/>
              <w:left w:val="single" w:sz="8" w:space="0" w:color="auto"/>
              <w:bottom w:val="single" w:sz="4" w:space="0" w:color="auto"/>
              <w:right w:val="single" w:sz="4" w:space="0" w:color="auto"/>
            </w:tcBorders>
            <w:shd w:val="clear" w:color="CCCCFF" w:fill="5B9BD5"/>
            <w:vAlign w:val="center"/>
            <w:hideMark/>
          </w:tcPr>
          <w:p w14:paraId="1BA0E82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Frecuencia</w:t>
            </w:r>
          </w:p>
        </w:tc>
        <w:tc>
          <w:tcPr>
            <w:tcW w:w="2977" w:type="dxa"/>
            <w:gridSpan w:val="2"/>
            <w:tcBorders>
              <w:top w:val="single" w:sz="4" w:space="0" w:color="auto"/>
              <w:left w:val="nil"/>
              <w:bottom w:val="single" w:sz="4" w:space="0" w:color="auto"/>
              <w:right w:val="single" w:sz="4" w:space="0" w:color="auto"/>
            </w:tcBorders>
            <w:shd w:val="clear" w:color="CCCCFF" w:fill="5B9BD5"/>
            <w:vAlign w:val="center"/>
            <w:hideMark/>
          </w:tcPr>
          <w:p w14:paraId="06F75054"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Unidad de Medida</w:t>
            </w:r>
          </w:p>
        </w:tc>
        <w:tc>
          <w:tcPr>
            <w:tcW w:w="4111" w:type="dxa"/>
            <w:gridSpan w:val="2"/>
            <w:tcBorders>
              <w:top w:val="single" w:sz="4" w:space="0" w:color="auto"/>
              <w:left w:val="nil"/>
              <w:bottom w:val="single" w:sz="4" w:space="0" w:color="auto"/>
              <w:right w:val="single" w:sz="8" w:space="0" w:color="000000"/>
            </w:tcBorders>
            <w:shd w:val="clear" w:color="CCCCFF" w:fill="5B9BD5"/>
            <w:vAlign w:val="center"/>
            <w:hideMark/>
          </w:tcPr>
          <w:p w14:paraId="58D15B6A"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Nivel de servicio</w:t>
            </w:r>
          </w:p>
        </w:tc>
      </w:tr>
      <w:tr w:rsidR="009F2B65" w:rsidRPr="00285D58" w14:paraId="5D80A452"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B60973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Mensual</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966169"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Puntos</w:t>
            </w:r>
          </w:p>
        </w:tc>
        <w:tc>
          <w:tcPr>
            <w:tcW w:w="411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6B23F526" w14:textId="77777777" w:rsidR="009F2B65" w:rsidRPr="00285D58" w:rsidRDefault="009F2B65" w:rsidP="008D1FFF">
            <w:pPr>
              <w:spacing w:line="276" w:lineRule="auto"/>
              <w:rPr>
                <w:rFonts w:asciiTheme="minorHAnsi" w:eastAsia="Times New Roman" w:hAnsiTheme="minorHAnsi" w:cstheme="minorHAnsi"/>
                <w:sz w:val="16"/>
                <w:szCs w:val="16"/>
                <w:lang w:val="es-PE"/>
              </w:rPr>
            </w:pPr>
            <w:r w:rsidRPr="00285D58">
              <w:rPr>
                <w:rFonts w:asciiTheme="minorHAnsi" w:eastAsia="Times New Roman" w:hAnsiTheme="minorHAnsi" w:cstheme="minorHAnsi"/>
                <w:sz w:val="16"/>
                <w:szCs w:val="16"/>
                <w:lang w:val="es-PE"/>
              </w:rPr>
              <w:t>100</w:t>
            </w:r>
          </w:p>
        </w:tc>
      </w:tr>
      <w:tr w:rsidR="009F2B65" w:rsidRPr="00285D58" w14:paraId="6EA160BE" w14:textId="77777777" w:rsidTr="00242093">
        <w:trPr>
          <w:trHeight w:val="255"/>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vAlign w:val="center"/>
            <w:hideMark/>
          </w:tcPr>
          <w:p w14:paraId="2B2CBED3"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Cálculo de Puntaje Trimestral</w:t>
            </w:r>
          </w:p>
        </w:tc>
      </w:tr>
      <w:tr w:rsidR="009F2B65" w:rsidRPr="00285D58" w14:paraId="3FD3AD49" w14:textId="77777777" w:rsidTr="00242093">
        <w:trPr>
          <w:trHeight w:val="29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auto" w:fill="auto"/>
            <w:vAlign w:val="center"/>
            <w:hideMark/>
          </w:tcPr>
          <w:p w14:paraId="40094CCA" w14:textId="77777777" w:rsidR="009F2B65" w:rsidRPr="00285D58" w:rsidRDefault="009F2B65" w:rsidP="008D1FFF">
            <w:pPr>
              <w:spacing w:line="276" w:lineRule="auto"/>
              <w:rPr>
                <w:rFonts w:asciiTheme="minorHAnsi" w:eastAsia="Times New Roman" w:hAnsiTheme="minorHAnsi" w:cstheme="minorHAnsi"/>
                <w:b/>
                <w:bCs/>
                <w:sz w:val="16"/>
                <w:szCs w:val="20"/>
                <w:lang w:val="es-PE"/>
              </w:rPr>
            </w:pPr>
            <w:r w:rsidRPr="00285D58">
              <w:rPr>
                <w:rFonts w:asciiTheme="minorHAnsi" w:eastAsia="Times New Roman" w:hAnsiTheme="minorHAnsi" w:cstheme="minorHAnsi"/>
                <w:sz w:val="16"/>
                <w:szCs w:val="20"/>
                <w:lang w:val="es-PE"/>
              </w:rPr>
              <w:t xml:space="preserve">Promedio simple de los indicadores mensuales para el trimestre de evaluación. </w:t>
            </w:r>
          </w:p>
        </w:tc>
      </w:tr>
      <w:tr w:rsidR="009F2B65" w:rsidRPr="00285D58" w14:paraId="71A9B1F6" w14:textId="77777777" w:rsidTr="00242093">
        <w:trPr>
          <w:trHeight w:val="276"/>
          <w:jc w:val="center"/>
        </w:trPr>
        <w:tc>
          <w:tcPr>
            <w:tcW w:w="8354" w:type="dxa"/>
            <w:gridSpan w:val="5"/>
            <w:tcBorders>
              <w:top w:val="single" w:sz="4" w:space="0" w:color="auto"/>
              <w:left w:val="single" w:sz="8" w:space="0" w:color="auto"/>
              <w:bottom w:val="single" w:sz="4" w:space="0" w:color="auto"/>
              <w:right w:val="single" w:sz="8" w:space="0" w:color="000000"/>
            </w:tcBorders>
            <w:shd w:val="clear" w:color="CCCCFF" w:fill="5B9BD5"/>
            <w:noWrap/>
            <w:vAlign w:val="center"/>
            <w:hideMark/>
          </w:tcPr>
          <w:p w14:paraId="36ABA36F" w14:textId="77777777" w:rsidR="009F2B65" w:rsidRPr="00285D58" w:rsidRDefault="009F2B65" w:rsidP="008D1FFF">
            <w:pPr>
              <w:spacing w:line="276" w:lineRule="auto"/>
              <w:rPr>
                <w:rFonts w:asciiTheme="minorHAnsi" w:eastAsia="Times New Roman" w:hAnsiTheme="minorHAnsi" w:cstheme="minorHAnsi"/>
                <w:b/>
                <w:bCs/>
                <w:color w:val="FFFFFF"/>
                <w:sz w:val="16"/>
                <w:szCs w:val="16"/>
                <w:lang w:val="es-PE"/>
              </w:rPr>
            </w:pPr>
            <w:r w:rsidRPr="00285D58">
              <w:rPr>
                <w:rFonts w:asciiTheme="minorHAnsi" w:eastAsia="Times New Roman" w:hAnsiTheme="minorHAnsi" w:cstheme="minorHAnsi"/>
                <w:b/>
                <w:bCs/>
                <w:color w:val="FFFFFF"/>
                <w:sz w:val="16"/>
                <w:szCs w:val="16"/>
                <w:lang w:val="es-PE"/>
              </w:rPr>
              <w:t>Criterio de Deducción</w:t>
            </w:r>
          </w:p>
        </w:tc>
      </w:tr>
      <w:tr w:rsidR="009F2B65" w:rsidRPr="00285D58" w14:paraId="115547EC" w14:textId="77777777" w:rsidTr="00242093">
        <w:trPr>
          <w:trHeight w:val="255"/>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161D260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¿Aplica rectificación?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77479CBF"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Periodo de Rectificación</w:t>
            </w:r>
          </w:p>
        </w:tc>
      </w:tr>
      <w:tr w:rsidR="009F2B65" w:rsidRPr="00285D58" w14:paraId="6C4C2765" w14:textId="77777777" w:rsidTr="00242093">
        <w:trPr>
          <w:trHeight w:val="300"/>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0FB4D80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Sí (X)</w:t>
            </w:r>
          </w:p>
        </w:tc>
        <w:tc>
          <w:tcPr>
            <w:tcW w:w="6379" w:type="dxa"/>
            <w:gridSpan w:val="3"/>
            <w:vMerge w:val="restart"/>
            <w:tcBorders>
              <w:top w:val="single" w:sz="4" w:space="0" w:color="auto"/>
              <w:left w:val="single" w:sz="4" w:space="0" w:color="auto"/>
              <w:bottom w:val="single" w:sz="4" w:space="0" w:color="000000"/>
              <w:right w:val="single" w:sz="8" w:space="0" w:color="000000"/>
            </w:tcBorders>
            <w:shd w:val="clear" w:color="auto" w:fill="auto"/>
            <w:vAlign w:val="center"/>
            <w:hideMark/>
          </w:tcPr>
          <w:p w14:paraId="27CFDC8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Hasta 1 Día Calendario</w:t>
            </w:r>
          </w:p>
        </w:tc>
      </w:tr>
      <w:tr w:rsidR="009F2B65" w:rsidRPr="00285D58" w14:paraId="45D8D83C"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40902D4D"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No ()</w:t>
            </w:r>
          </w:p>
        </w:tc>
        <w:tc>
          <w:tcPr>
            <w:tcW w:w="6379" w:type="dxa"/>
            <w:gridSpan w:val="3"/>
            <w:vMerge/>
            <w:tcBorders>
              <w:top w:val="single" w:sz="4" w:space="0" w:color="auto"/>
              <w:left w:val="single" w:sz="4" w:space="0" w:color="auto"/>
              <w:bottom w:val="single" w:sz="4" w:space="0" w:color="000000"/>
              <w:right w:val="single" w:sz="8" w:space="0" w:color="000000"/>
            </w:tcBorders>
            <w:vAlign w:val="center"/>
            <w:hideMark/>
          </w:tcPr>
          <w:p w14:paraId="7626B41E"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r w:rsidR="009F2B65" w:rsidRPr="00285D58" w14:paraId="0997617E" w14:textId="77777777" w:rsidTr="00242093">
        <w:trPr>
          <w:trHeight w:val="276"/>
          <w:jc w:val="center"/>
        </w:trPr>
        <w:tc>
          <w:tcPr>
            <w:tcW w:w="197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AEC6105"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Deducción</w:t>
            </w:r>
          </w:p>
        </w:tc>
        <w:tc>
          <w:tcPr>
            <w:tcW w:w="6379" w:type="dxa"/>
            <w:gridSpan w:val="3"/>
            <w:tcBorders>
              <w:top w:val="single" w:sz="4" w:space="0" w:color="auto"/>
              <w:left w:val="nil"/>
              <w:bottom w:val="single" w:sz="4" w:space="0" w:color="auto"/>
              <w:right w:val="single" w:sz="8" w:space="0" w:color="000000"/>
            </w:tcBorders>
            <w:shd w:val="clear" w:color="auto" w:fill="auto"/>
            <w:vAlign w:val="center"/>
            <w:hideMark/>
          </w:tcPr>
          <w:p w14:paraId="4952D3E2" w14:textId="77777777" w:rsidR="009F2B65" w:rsidRPr="00285D58" w:rsidRDefault="009F2B65" w:rsidP="008D1FFF">
            <w:pPr>
              <w:spacing w:line="276" w:lineRule="auto"/>
              <w:rPr>
                <w:rFonts w:asciiTheme="minorHAnsi" w:eastAsia="Times New Roman" w:hAnsiTheme="minorHAnsi" w:cstheme="minorHAnsi"/>
                <w:b/>
                <w:bCs/>
                <w:sz w:val="16"/>
                <w:szCs w:val="16"/>
                <w:lang w:val="es-PE"/>
              </w:rPr>
            </w:pPr>
            <w:r w:rsidRPr="00285D58">
              <w:rPr>
                <w:rFonts w:asciiTheme="minorHAnsi" w:eastAsia="Times New Roman" w:hAnsiTheme="minorHAnsi" w:cstheme="minorHAnsi"/>
                <w:b/>
                <w:bCs/>
                <w:sz w:val="16"/>
                <w:szCs w:val="16"/>
                <w:lang w:val="es-PE"/>
              </w:rPr>
              <w:t>Criterio de Deducción</w:t>
            </w:r>
          </w:p>
        </w:tc>
      </w:tr>
      <w:tr w:rsidR="009F2B65" w:rsidRPr="00285D58" w14:paraId="2C186300" w14:textId="77777777" w:rsidTr="00242093">
        <w:trPr>
          <w:trHeight w:val="300"/>
          <w:jc w:val="center"/>
        </w:trPr>
        <w:tc>
          <w:tcPr>
            <w:tcW w:w="126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F83D0D4"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Área</w:t>
            </w:r>
          </w:p>
        </w:tc>
        <w:tc>
          <w:tcPr>
            <w:tcW w:w="709" w:type="dxa"/>
            <w:tcBorders>
              <w:top w:val="nil"/>
              <w:left w:val="nil"/>
              <w:bottom w:val="single" w:sz="4" w:space="0" w:color="auto"/>
              <w:right w:val="single" w:sz="4" w:space="0" w:color="auto"/>
            </w:tcBorders>
            <w:shd w:val="clear" w:color="FFFFCC" w:fill="FFFFFF"/>
            <w:noWrap/>
            <w:vAlign w:val="center"/>
            <w:hideMark/>
          </w:tcPr>
          <w:p w14:paraId="4EEF1561"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c>
          <w:tcPr>
            <w:tcW w:w="6379" w:type="dxa"/>
            <w:gridSpan w:val="3"/>
            <w:vMerge w:val="restart"/>
            <w:tcBorders>
              <w:top w:val="single" w:sz="4" w:space="0" w:color="auto"/>
              <w:left w:val="single" w:sz="4" w:space="0" w:color="auto"/>
              <w:bottom w:val="single" w:sz="8" w:space="0" w:color="000000"/>
              <w:right w:val="single" w:sz="8" w:space="0" w:color="000000"/>
            </w:tcBorders>
            <w:shd w:val="clear" w:color="FFFFCC" w:fill="FFFFFF"/>
            <w:vAlign w:val="center"/>
            <w:hideMark/>
          </w:tcPr>
          <w:p w14:paraId="45140534"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Se aplica Deducción de acuerdo a la puntuación trimestral que se obtenga en el indicador</w:t>
            </w:r>
          </w:p>
        </w:tc>
      </w:tr>
      <w:tr w:rsidR="009F2B65" w:rsidRPr="00285D58" w14:paraId="1B78571F" w14:textId="77777777" w:rsidTr="00242093">
        <w:trPr>
          <w:trHeight w:val="288"/>
          <w:jc w:val="center"/>
        </w:trPr>
        <w:tc>
          <w:tcPr>
            <w:tcW w:w="126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3E9AB8F0" w14:textId="77777777" w:rsidR="009F2B65" w:rsidRPr="00285D58" w:rsidRDefault="009F2B65" w:rsidP="008D1FFF">
            <w:pPr>
              <w:spacing w:line="276" w:lineRule="auto"/>
              <w:rPr>
                <w:rFonts w:asciiTheme="minorHAnsi" w:eastAsia="Times New Roman" w:hAnsiTheme="minorHAnsi" w:cstheme="minorHAnsi"/>
                <w:b/>
                <w:bCs/>
                <w:color w:val="000000"/>
                <w:sz w:val="16"/>
                <w:szCs w:val="16"/>
                <w:lang w:val="es-PE"/>
              </w:rPr>
            </w:pPr>
            <w:r w:rsidRPr="00285D58">
              <w:rPr>
                <w:rFonts w:asciiTheme="minorHAnsi" w:eastAsia="Times New Roman" w:hAnsiTheme="minorHAnsi" w:cstheme="minorHAnsi"/>
                <w:b/>
                <w:bCs/>
                <w:color w:val="000000"/>
                <w:sz w:val="16"/>
                <w:szCs w:val="16"/>
                <w:lang w:val="es-PE"/>
              </w:rPr>
              <w:t>Servicio</w:t>
            </w:r>
          </w:p>
        </w:tc>
        <w:tc>
          <w:tcPr>
            <w:tcW w:w="709" w:type="dxa"/>
            <w:tcBorders>
              <w:top w:val="nil"/>
              <w:left w:val="nil"/>
              <w:bottom w:val="single" w:sz="8" w:space="0" w:color="auto"/>
              <w:right w:val="single" w:sz="4" w:space="0" w:color="auto"/>
            </w:tcBorders>
            <w:shd w:val="clear" w:color="FFFFCC" w:fill="FFFFFF"/>
            <w:noWrap/>
            <w:vAlign w:val="center"/>
            <w:hideMark/>
          </w:tcPr>
          <w:p w14:paraId="50B5A308"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r w:rsidRPr="00285D58">
              <w:rPr>
                <w:rFonts w:asciiTheme="minorHAnsi" w:eastAsia="Times New Roman" w:hAnsiTheme="minorHAnsi" w:cstheme="minorHAnsi"/>
                <w:color w:val="000000"/>
                <w:sz w:val="16"/>
                <w:szCs w:val="16"/>
                <w:lang w:val="es-PE"/>
              </w:rPr>
              <w:t>X </w:t>
            </w:r>
          </w:p>
        </w:tc>
        <w:tc>
          <w:tcPr>
            <w:tcW w:w="6379" w:type="dxa"/>
            <w:gridSpan w:val="3"/>
            <w:vMerge/>
            <w:tcBorders>
              <w:top w:val="nil"/>
              <w:left w:val="nil"/>
              <w:bottom w:val="single" w:sz="8" w:space="0" w:color="auto"/>
              <w:right w:val="single" w:sz="4" w:space="0" w:color="auto"/>
            </w:tcBorders>
            <w:vAlign w:val="center"/>
            <w:hideMark/>
          </w:tcPr>
          <w:p w14:paraId="633C4D8F" w14:textId="77777777" w:rsidR="009F2B65" w:rsidRPr="00285D58" w:rsidRDefault="009F2B65" w:rsidP="008D1FFF">
            <w:pPr>
              <w:spacing w:line="276" w:lineRule="auto"/>
              <w:rPr>
                <w:rFonts w:asciiTheme="minorHAnsi" w:eastAsia="Times New Roman" w:hAnsiTheme="minorHAnsi" w:cstheme="minorHAnsi"/>
                <w:color w:val="000000"/>
                <w:sz w:val="16"/>
                <w:szCs w:val="16"/>
                <w:lang w:val="es-PE"/>
              </w:rPr>
            </w:pPr>
          </w:p>
        </w:tc>
      </w:tr>
    </w:tbl>
    <w:p w14:paraId="72B2F083" w14:textId="77777777" w:rsidR="009F2B65" w:rsidRPr="00285D58" w:rsidRDefault="009F2B65" w:rsidP="008D1FFF">
      <w:pPr>
        <w:spacing w:line="276" w:lineRule="auto"/>
        <w:jc w:val="both"/>
        <w:rPr>
          <w:rFonts w:asciiTheme="minorHAnsi" w:hAnsiTheme="minorHAnsi" w:cstheme="minorHAnsi"/>
          <w:lang w:val="es-PE"/>
        </w:rPr>
      </w:pPr>
    </w:p>
    <w:p w14:paraId="55C1D0E4" w14:textId="77777777" w:rsidR="009F2B65" w:rsidRPr="00285D58" w:rsidRDefault="009F2B65" w:rsidP="008D1FFF">
      <w:pPr>
        <w:tabs>
          <w:tab w:val="left" w:pos="4992"/>
        </w:tabs>
        <w:spacing w:line="276" w:lineRule="auto"/>
        <w:rPr>
          <w:rFonts w:asciiTheme="minorHAnsi" w:hAnsiTheme="minorHAnsi" w:cstheme="minorHAnsi"/>
        </w:rPr>
      </w:pPr>
    </w:p>
    <w:p w14:paraId="0777AC0C" w14:textId="77777777" w:rsidR="009F2B65" w:rsidRPr="00285D58" w:rsidRDefault="009F2B65" w:rsidP="008D1FFF">
      <w:pPr>
        <w:tabs>
          <w:tab w:val="left" w:pos="4992"/>
        </w:tabs>
        <w:spacing w:line="276" w:lineRule="auto"/>
        <w:rPr>
          <w:rFonts w:asciiTheme="minorHAnsi" w:hAnsiTheme="minorHAnsi" w:cstheme="minorHAnsi"/>
        </w:rPr>
      </w:pPr>
      <w:r w:rsidRPr="00285D58">
        <w:rPr>
          <w:rFonts w:asciiTheme="minorHAnsi" w:hAnsiTheme="minorHAnsi" w:cstheme="minorHAnsi"/>
        </w:rPr>
        <w:br w:type="page"/>
      </w:r>
    </w:p>
    <w:p w14:paraId="15100D72" w14:textId="12D2D6D5"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1" w:name="_Toc174098018"/>
      <w:bookmarkStart w:id="252" w:name="_Toc193979289"/>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2: CONTENIDO MÍNIMO DEL PLAN DE CONSERVACIÓN ANUAL</w:t>
      </w:r>
      <w:bookmarkEnd w:id="251"/>
      <w:bookmarkEnd w:id="252"/>
      <w:r w:rsidRPr="00285D58">
        <w:rPr>
          <w:rFonts w:asciiTheme="minorHAnsi" w:eastAsia="Arial" w:hAnsiTheme="minorHAnsi" w:cstheme="minorHAnsi"/>
          <w:b/>
          <w:color w:val="1F4E79" w:themeColor="accent5" w:themeShade="80"/>
          <w:sz w:val="22"/>
          <w:szCs w:val="22"/>
          <w:lang w:val="es-PE"/>
        </w:rPr>
        <w:t xml:space="preserve"> </w:t>
      </w:r>
    </w:p>
    <w:p w14:paraId="23E0940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Durante la etapa de Operación y Mantenimiento, el CONCESIONARIO deberá contar con un Plan de Conservación de vigencia anual que contenga las Actividades de Conservación y Mantenimiento para el equipamiento electromecánicos de los teleféricos, las infraestructuras y otros bienes que formen parte de los Bienes de la Concesión. </w:t>
      </w:r>
    </w:p>
    <w:p w14:paraId="7F74EBEE" w14:textId="77777777" w:rsidR="00091D1B" w:rsidRDefault="00091D1B" w:rsidP="008D1FFF">
      <w:pPr>
        <w:spacing w:line="276" w:lineRule="auto"/>
        <w:jc w:val="both"/>
        <w:rPr>
          <w:rFonts w:asciiTheme="minorHAnsi" w:hAnsiTheme="minorHAnsi" w:cstheme="minorHAnsi"/>
          <w:lang w:val="es-PE"/>
        </w:rPr>
      </w:pPr>
    </w:p>
    <w:p w14:paraId="799B7A33" w14:textId="101E8F8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de Conservación deberá describir las actividades de conservación y mantenimiento e indicar la frecuencia diaria, semanal, mensual y anual en un cronograma de actividades para el año de vigencia correspondiente. El CONCESIONARIO deberá realizar las actividades que permitan garantizar los Niveles de Servicio y el correcto estado de las instalaciones a lo largo del Plazo de la Concesión, así como también, extender la vida útil de los Bienes de la Concesión.  </w:t>
      </w:r>
    </w:p>
    <w:p w14:paraId="2DC02412" w14:textId="0AB9819B" w:rsidR="00091D1B" w:rsidRDefault="00091D1B" w:rsidP="008D1FFF">
      <w:pPr>
        <w:spacing w:line="276" w:lineRule="auto"/>
        <w:jc w:val="both"/>
        <w:rPr>
          <w:rFonts w:asciiTheme="minorHAnsi" w:hAnsiTheme="minorHAnsi" w:cstheme="minorHAnsi"/>
          <w:lang w:val="es-PE"/>
        </w:rPr>
      </w:pPr>
    </w:p>
    <w:p w14:paraId="5CABF66E" w14:textId="01DA461B"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Conservación Anual deberá contemplar:</w:t>
      </w:r>
    </w:p>
    <w:p w14:paraId="4C19B632"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Mantenimiento del Equipamiento Electromecánico de los Teleféricos</w:t>
      </w:r>
    </w:p>
    <w:p w14:paraId="116F8D02"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las Estaciones </w:t>
      </w:r>
    </w:p>
    <w:p w14:paraId="7F814E54" w14:textId="34791CC6"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las Vías Turísticas</w:t>
      </w:r>
    </w:p>
    <w:p w14:paraId="2551BA3D" w14:textId="1619ACB4" w:rsidR="000319D2" w:rsidRPr="00285D58" w:rsidRDefault="000319D2"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los Caminos Peatonales </w:t>
      </w:r>
    </w:p>
    <w:p w14:paraId="1EA6ED18" w14:textId="77777777" w:rsidR="009F2B65" w:rsidRPr="00285D58" w:rsidRDefault="009F2B65" w:rsidP="00A3732C">
      <w:pPr>
        <w:widowControl/>
        <w:numPr>
          <w:ilvl w:val="0"/>
          <w:numId w:val="269"/>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Mantenimiento de los Buses Turísticos</w:t>
      </w:r>
    </w:p>
    <w:p w14:paraId="04E27FDF" w14:textId="77777777" w:rsidR="009F2B65" w:rsidRPr="00285D58" w:rsidRDefault="009F2B65" w:rsidP="008D1FFF">
      <w:pPr>
        <w:spacing w:line="276" w:lineRule="auto"/>
        <w:jc w:val="both"/>
        <w:rPr>
          <w:rFonts w:asciiTheme="minorHAnsi" w:hAnsiTheme="minorHAnsi" w:cstheme="minorHAnsi"/>
          <w:u w:val="single"/>
          <w:lang w:val="es-PE"/>
        </w:rPr>
      </w:pPr>
    </w:p>
    <w:p w14:paraId="005052CD"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Mantenimiento del Equipamiento Electromecánico de los Teleféricos:</w:t>
      </w:r>
    </w:p>
    <w:p w14:paraId="24852C36"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mantenimiento de la totalidad de los componentes que conforman los teleféricos, como se define en el Reglamento UE 424/2016, entre los cuales se encuentran: subsistemas de seguridad, cabinas, pinzas, neumáticos y correas, engranajes de sincronización, equipo motriz, poleas, equipos de respaldo (grupo electrógeno, motor de combustión interna), cables, pilonas, balancines y ruedas, etc.</w:t>
      </w:r>
    </w:p>
    <w:p w14:paraId="23FDCDC4" w14:textId="77777777" w:rsidR="009F2B65" w:rsidRPr="00285D58" w:rsidRDefault="009F2B65" w:rsidP="008D1FFF">
      <w:pPr>
        <w:spacing w:line="276" w:lineRule="auto"/>
        <w:jc w:val="both"/>
        <w:rPr>
          <w:rFonts w:asciiTheme="minorHAnsi" w:hAnsiTheme="minorHAnsi" w:cstheme="minorHAnsi"/>
          <w:lang w:val="es-PE"/>
        </w:rPr>
      </w:pPr>
    </w:p>
    <w:p w14:paraId="5ACB9844"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mantenimiento deberán plasmarse en un plan de mantenimiento acorde a las características específicas del sistema y la tecnología empleada según lo indique el propio fabricante de la instalación y en conformidad con los requisitos indicados en la </w:t>
      </w:r>
      <w:r w:rsidRPr="00285D58">
        <w:rPr>
          <w:rFonts w:asciiTheme="minorHAnsi" w:hAnsiTheme="minorHAnsi" w:cstheme="minorHAnsi"/>
          <w:i/>
          <w:iCs/>
          <w:lang w:val="es-PE"/>
        </w:rPr>
        <w:t>Norma EN 1709 “Requisitos de seguridad de las instalaciones de transporte por cable destinadas a personas: Examen previo a la puesta en servicio, mantenimiento y controles en la explotación”</w:t>
      </w:r>
      <w:r w:rsidRPr="00285D58">
        <w:rPr>
          <w:rFonts w:asciiTheme="minorHAnsi" w:hAnsiTheme="minorHAnsi" w:cstheme="minorHAnsi"/>
          <w:lang w:val="es-PE"/>
        </w:rPr>
        <w:t xml:space="preserve">. Deberá emplearse la normativa vigente en la fecha de elaboración del plan.    </w:t>
      </w:r>
    </w:p>
    <w:p w14:paraId="035DD6AD" w14:textId="77777777" w:rsidR="00091D1B" w:rsidRDefault="00091D1B" w:rsidP="008D1FFF">
      <w:pPr>
        <w:spacing w:line="276" w:lineRule="auto"/>
        <w:jc w:val="both"/>
        <w:rPr>
          <w:rFonts w:asciiTheme="minorHAnsi" w:hAnsiTheme="minorHAnsi" w:cstheme="minorHAnsi"/>
          <w:lang w:val="es-PE"/>
        </w:rPr>
      </w:pPr>
    </w:p>
    <w:p w14:paraId="4F9D4E28" w14:textId="076D3383"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Mantenimiento del Equipamiento Electromecánico de los Teleféricos deberá contemplar como mínimo las siguientes actividades:</w:t>
      </w:r>
    </w:p>
    <w:p w14:paraId="60CC2C1F" w14:textId="77777777" w:rsidR="009F2B65" w:rsidRPr="00285D58" w:rsidRDefault="009F2B65" w:rsidP="00A3732C">
      <w:pPr>
        <w:widowControl/>
        <w:numPr>
          <w:ilvl w:val="0"/>
          <w:numId w:val="263"/>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Inspecciones mensuales: Verificación de roturas de hilos en cables y empalmes, de posición aparente (descarrilamiento), de aspecto aparente en ruedas y balancines (fisuras, daños físicos), de frenos, sistemas eléctricos, detectores de velocidad y antirretorno, acumuladores eléctricos, etc.</w:t>
      </w:r>
    </w:p>
    <w:p w14:paraId="13C58811" w14:textId="77777777" w:rsidR="009F2B65" w:rsidRPr="00285D58" w:rsidRDefault="009F2B65" w:rsidP="008D1FFF">
      <w:pPr>
        <w:spacing w:line="276" w:lineRule="auto"/>
        <w:jc w:val="both"/>
        <w:rPr>
          <w:rFonts w:asciiTheme="minorHAnsi" w:hAnsiTheme="minorHAnsi" w:cstheme="minorHAnsi"/>
          <w:lang w:val="es-PE"/>
        </w:rPr>
      </w:pPr>
    </w:p>
    <w:p w14:paraId="1C01AFBF" w14:textId="77777777" w:rsidR="009F2B65" w:rsidRPr="00285D58" w:rsidRDefault="009F2B65" w:rsidP="00A3732C">
      <w:pPr>
        <w:widowControl/>
        <w:numPr>
          <w:ilvl w:val="0"/>
          <w:numId w:val="262"/>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lastRenderedPageBreak/>
        <w:t>Inspecciones anuales: Revisión visual de las obras civiles de fundación para la identificación de deterioros causados por condiciones climáticas adversas y dispositivos mecánicos. Pruebas de funcionalidad, control visual de cables y empalmes por roturas de hilos o imperfecciones, dispositivos eléctricos de seguridad y señalización. Revisión visual de vehículos y revisión mediante ensayos para comprobar el estado de las pinzas, fuerza de apriete de pinzas, estado funcional de puertas, dispositivos de carga y disparo de frenos de a bordo óptimos.</w:t>
      </w:r>
    </w:p>
    <w:p w14:paraId="07BFF560"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Inspecciones plurianuales: Inspección de carros y frenos mecánicos, ensayos no destructivos en cables, ensayos en dispositivos eléctricos, control de deformaciones en cimientos y tirantes de anclaje, etc. </w:t>
      </w:r>
    </w:p>
    <w:p w14:paraId="6A35262F"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Grandes inspecciones: Revisión de los elementos de seguridad sometidos a fatiga mediante ensayos no destructivos y acciones correctivas correspondientes. La primera Gran Inspección se realizará a las 22 500 horas de funcionamiento o máximo 15 años después de la primera puesta en servicio. La segunda, a las 15 00 horas o 10 años después del primer Gran Inspección. Las subsiguientes a las 7 500 horas de uso o 5 años luego de las última Gran Inspección realizada. </w:t>
      </w:r>
    </w:p>
    <w:p w14:paraId="1406CFC3" w14:textId="77777777" w:rsidR="009F2B65" w:rsidRPr="00285D58" w:rsidRDefault="009F2B65" w:rsidP="00A3732C">
      <w:pPr>
        <w:widowControl/>
        <w:numPr>
          <w:ilvl w:val="0"/>
          <w:numId w:val="261"/>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Renovación de obras de ingeniería civil:  Renovación parcial o total de las obras de ingeniería civil después de acontecimientos excepcionales como resultado de un desgaste importante o un aumento significativo de la capacidad de transporte.</w:t>
      </w:r>
    </w:p>
    <w:p w14:paraId="645D3AE3"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Inspección y controles diarios durante la operación: Disparo de circuitos de vigilancia y seguridad, de paro eléctrico, de cambio de velocidad, de sistemas de frenado, medios de comunicación, posición de cables, estanqueidad y presión de servicio de sistemas hidráulicos, de pinzas, estado de zonas de embarque y desembarque. Realización de un recorrido de prueba donde se verifique el buen apoyo de los cables, libre paso de vehículos, funcionamiento del anemómetro, anomalías evidentes, accesos, etc. Durante la operación ser verificarán los valores de tensión, rotación de accionamiento de poleas y rodillos de estación, zonas de embarque y circulación de vehículos.</w:t>
      </w:r>
    </w:p>
    <w:p w14:paraId="67A90881"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Revisión periódica de motores eléctricos, reductores, autómatas y otros equipamientos mecánicos utilizados para el funcionamiento de los teleféricos, de acuerdo a las indicaciones y manuales de los propios fabricantes.  </w:t>
      </w:r>
    </w:p>
    <w:p w14:paraId="5AB8283C" w14:textId="77777777" w:rsidR="009F2B65" w:rsidRPr="00285D58" w:rsidRDefault="009F2B65" w:rsidP="00A77713">
      <w:pPr>
        <w:widowControl/>
        <w:spacing w:line="276" w:lineRule="auto"/>
        <w:ind w:left="1287"/>
        <w:contextualSpacing/>
        <w:jc w:val="both"/>
        <w:rPr>
          <w:rFonts w:asciiTheme="minorHAnsi" w:hAnsiTheme="minorHAnsi" w:cstheme="minorHAnsi"/>
          <w:lang w:val="es-PE"/>
        </w:rPr>
      </w:pPr>
    </w:p>
    <w:p w14:paraId="65EC6ACC"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Conservación de Estaciones:</w:t>
      </w:r>
    </w:p>
    <w:p w14:paraId="39CA0E9E"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conservación de las estructuras y elementos arquitectónicos, instalaciones sanitarias, instalaciones eléctricas y demás instalaciones de las Estaciones Centrales y Estaciones de los Teleféricos.</w:t>
      </w:r>
    </w:p>
    <w:p w14:paraId="179F9C9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específicas de las edificaciones y siguiendo lo establecido en la </w:t>
      </w:r>
      <w:r w:rsidRPr="00285D58">
        <w:rPr>
          <w:rFonts w:asciiTheme="minorHAnsi" w:hAnsiTheme="minorHAnsi" w:cstheme="minorHAnsi"/>
          <w:i/>
          <w:iCs/>
          <w:lang w:val="es-PE"/>
        </w:rPr>
        <w:t>Norma GE.040 Uso y Mantenimiento</w:t>
      </w:r>
      <w:r w:rsidRPr="00285D58">
        <w:rPr>
          <w:rFonts w:asciiTheme="minorHAnsi" w:hAnsiTheme="minorHAnsi" w:cstheme="minorHAnsi"/>
          <w:lang w:val="es-PE"/>
        </w:rPr>
        <w:t xml:space="preserve"> del Reglamento Nacional de Edificaciones vigente. Deberá emplearse la normativa vigente en la fecha de elaboración del plan.    </w:t>
      </w:r>
    </w:p>
    <w:p w14:paraId="61461FF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Conservación de las Estaciones deberá contemplar como mínimo las actividades de conservación rutinaria y periódica para:</w:t>
      </w:r>
    </w:p>
    <w:p w14:paraId="5A4651C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lastRenderedPageBreak/>
        <w:t>Áreas Exteriores de Estaciones</w:t>
      </w:r>
    </w:p>
    <w:p w14:paraId="56BB23F7"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Techos y Cubiertas</w:t>
      </w:r>
    </w:p>
    <w:p w14:paraId="645FA62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Fachadas y Muros</w:t>
      </w:r>
    </w:p>
    <w:p w14:paraId="4476F852" w14:textId="3889D570"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Puertas, Ventanas, Vidrios, otros</w:t>
      </w:r>
    </w:p>
    <w:p w14:paraId="232131D1"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Pisos Exteriores e Interiores</w:t>
      </w:r>
    </w:p>
    <w:p w14:paraId="4B80D21A"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Jardines y Áreas verdes</w:t>
      </w:r>
    </w:p>
    <w:p w14:paraId="28090B9C"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Accesos y Circulaciones peatonales y vehiculares</w:t>
      </w:r>
    </w:p>
    <w:p w14:paraId="7E0F232E"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Iluminación Exterior e Interior</w:t>
      </w:r>
    </w:p>
    <w:p w14:paraId="25C58EC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Instalaciones Sanitarias</w:t>
      </w:r>
    </w:p>
    <w:p w14:paraId="2704285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Instalaciones Eléctricas</w:t>
      </w:r>
    </w:p>
    <w:p w14:paraId="658B56BB"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Instalaciones de Climatización </w:t>
      </w:r>
    </w:p>
    <w:p w14:paraId="2D8B43B0"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Comunicaciones y CCTV</w:t>
      </w:r>
    </w:p>
    <w:p w14:paraId="52B08529" w14:textId="77777777" w:rsidR="009F2B65" w:rsidRPr="00285D58" w:rsidRDefault="009F2B65" w:rsidP="008D1FFF">
      <w:pPr>
        <w:spacing w:line="276" w:lineRule="auto"/>
        <w:jc w:val="both"/>
        <w:rPr>
          <w:rFonts w:asciiTheme="minorHAnsi" w:hAnsiTheme="minorHAnsi" w:cstheme="minorHAnsi"/>
          <w:lang w:val="es-PE"/>
        </w:rPr>
      </w:pPr>
    </w:p>
    <w:p w14:paraId="58F16802"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 xml:space="preserve">Conservación de Vías Turísticas:  </w:t>
      </w:r>
    </w:p>
    <w:p w14:paraId="40300711"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Comprende las acciones de conservación de las estructuras y obras de arte de las Vías Turísticas.</w:t>
      </w:r>
    </w:p>
    <w:p w14:paraId="0D8BF810"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técnicas de las vías y siguiendo lo establecido en el </w:t>
      </w:r>
      <w:r w:rsidRPr="00285D58">
        <w:rPr>
          <w:rFonts w:asciiTheme="minorHAnsi" w:hAnsiTheme="minorHAnsi" w:cstheme="minorHAnsi"/>
          <w:i/>
          <w:iCs/>
          <w:lang w:val="es-PE"/>
        </w:rPr>
        <w:t xml:space="preserve">Manual de Carreteras - Conservación Vial </w:t>
      </w:r>
      <w:r w:rsidRPr="00285D58">
        <w:rPr>
          <w:rFonts w:asciiTheme="minorHAnsi" w:hAnsiTheme="minorHAnsi" w:cstheme="minorHAnsi"/>
          <w:lang w:val="es-PE"/>
        </w:rPr>
        <w:t xml:space="preserve">publicado por el Ministerio de Transportes y Comunicaciones. Deberá emplearse la normativa vigente en la fecha de elaboración del plan.    </w:t>
      </w:r>
    </w:p>
    <w:p w14:paraId="4DB82BF8"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El Plan de Conservación de las Vías Turísticas deberá contemplar como mínimo las actividades de conservación rutinaria y periódica para:</w:t>
      </w:r>
    </w:p>
    <w:p w14:paraId="2D7B9EBD"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Plataforma y Taludes</w:t>
      </w:r>
    </w:p>
    <w:p w14:paraId="7A8583BC"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Calzada y Bermas</w:t>
      </w:r>
    </w:p>
    <w:p w14:paraId="6F1BC3A6"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Drenaje Superficial</w:t>
      </w:r>
    </w:p>
    <w:p w14:paraId="172D96FE"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Drenaje Subterráneo</w:t>
      </w:r>
    </w:p>
    <w:p w14:paraId="4B06401A"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Muros de Contención</w:t>
      </w:r>
    </w:p>
    <w:p w14:paraId="49D5F744"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Señalización y dispositivos de Seguridad Vial</w:t>
      </w:r>
    </w:p>
    <w:p w14:paraId="307BD308"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del Derecho de Vía</w:t>
      </w:r>
    </w:p>
    <w:p w14:paraId="195B9FE4" w14:textId="77777777" w:rsidR="009F2B65" w:rsidRPr="00285D58" w:rsidRDefault="009F2B65"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Obras de Arte</w:t>
      </w:r>
    </w:p>
    <w:p w14:paraId="6B11BA54" w14:textId="77777777" w:rsidR="009F2B65" w:rsidRPr="00285D58" w:rsidRDefault="009F2B65" w:rsidP="008D1FFF">
      <w:pPr>
        <w:spacing w:line="276" w:lineRule="auto"/>
        <w:jc w:val="both"/>
        <w:rPr>
          <w:rFonts w:asciiTheme="minorHAnsi" w:hAnsiTheme="minorHAnsi" w:cstheme="minorHAnsi"/>
          <w:u w:val="single"/>
          <w:lang w:val="es-PE"/>
        </w:rPr>
      </w:pPr>
    </w:p>
    <w:p w14:paraId="15D8D2D7" w14:textId="76ABF924" w:rsidR="000319D2" w:rsidRPr="00285D58" w:rsidRDefault="000319D2" w:rsidP="000319D2">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 xml:space="preserve">Conservación de los Caminos Peatonales:  </w:t>
      </w:r>
    </w:p>
    <w:p w14:paraId="3A1D4791" w14:textId="3266BC6B"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las acciones de conservación de las estructuras y obras complementarias de los Caminos Peatonales que conectan las estaciones de transporte por cable (estaciones de llegada), con los recorridos internos existentes. </w:t>
      </w:r>
    </w:p>
    <w:p w14:paraId="104F47C4" w14:textId="1FAE470B"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Las acciones de conservación deberán plasmarse en un plan de conservación acorde a las características técnicas de los caminos siguiendo las recomendaciones internacionales respecto al diseño </w:t>
      </w:r>
      <w:r w:rsidR="006F748F" w:rsidRPr="00285D58">
        <w:rPr>
          <w:rFonts w:asciiTheme="minorHAnsi" w:hAnsiTheme="minorHAnsi" w:cstheme="minorHAnsi"/>
          <w:lang w:val="es-PE"/>
        </w:rPr>
        <w:t xml:space="preserve">y mantenimiento </w:t>
      </w:r>
      <w:r w:rsidRPr="00285D58">
        <w:rPr>
          <w:rFonts w:asciiTheme="minorHAnsi" w:hAnsiTheme="minorHAnsi" w:cstheme="minorHAnsi"/>
          <w:lang w:val="es-PE"/>
        </w:rPr>
        <w:t xml:space="preserve">de senderos </w:t>
      </w:r>
      <w:r w:rsidR="006F748F" w:rsidRPr="00285D58">
        <w:rPr>
          <w:rFonts w:asciiTheme="minorHAnsi" w:hAnsiTheme="minorHAnsi" w:cstheme="minorHAnsi"/>
          <w:lang w:val="es-PE"/>
        </w:rPr>
        <w:t>turisticos</w:t>
      </w:r>
      <w:r w:rsidRPr="00285D58">
        <w:rPr>
          <w:rFonts w:asciiTheme="minorHAnsi" w:hAnsiTheme="minorHAnsi" w:cstheme="minorHAnsi"/>
          <w:lang w:val="es-PE"/>
        </w:rPr>
        <w:t xml:space="preserve"> y las disposiciones del</w:t>
      </w:r>
      <w:r w:rsidR="006F748F" w:rsidRPr="00285D58">
        <w:rPr>
          <w:rFonts w:asciiTheme="minorHAnsi" w:hAnsiTheme="minorHAnsi" w:cstheme="minorHAnsi"/>
          <w:lang w:val="es-PE"/>
        </w:rPr>
        <w:t xml:space="preserve"> Manual de Señalización Turística del Perú del MINCETUR. </w:t>
      </w:r>
      <w:r w:rsidRPr="00285D58">
        <w:rPr>
          <w:rFonts w:asciiTheme="minorHAnsi" w:hAnsiTheme="minorHAnsi" w:cstheme="minorHAnsi"/>
          <w:lang w:val="es-PE"/>
        </w:rPr>
        <w:t xml:space="preserve">    </w:t>
      </w:r>
    </w:p>
    <w:p w14:paraId="4C80E59F" w14:textId="15B9A468" w:rsidR="000319D2" w:rsidRPr="00285D58" w:rsidRDefault="000319D2" w:rsidP="000319D2">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El Plan de Conservación de </w:t>
      </w:r>
      <w:r w:rsidR="006F748F" w:rsidRPr="00285D58">
        <w:rPr>
          <w:rFonts w:asciiTheme="minorHAnsi" w:hAnsiTheme="minorHAnsi" w:cstheme="minorHAnsi"/>
          <w:lang w:val="es-PE"/>
        </w:rPr>
        <w:t>los Caminos Peatonales</w:t>
      </w:r>
      <w:r w:rsidRPr="00285D58">
        <w:rPr>
          <w:rFonts w:asciiTheme="minorHAnsi" w:hAnsiTheme="minorHAnsi" w:cstheme="minorHAnsi"/>
          <w:lang w:val="es-PE"/>
        </w:rPr>
        <w:t xml:space="preserve"> deberá contemplar como mínimo las actividades de conservación rutinaria y periódica para:</w:t>
      </w:r>
    </w:p>
    <w:p w14:paraId="07F5E02E" w14:textId="499D003D"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w:t>
      </w:r>
      <w:r w:rsidR="006F748F" w:rsidRPr="00285D58">
        <w:rPr>
          <w:rFonts w:asciiTheme="minorHAnsi" w:hAnsiTheme="minorHAnsi" w:cstheme="minorHAnsi"/>
          <w:lang w:val="es-PE"/>
        </w:rPr>
        <w:t xml:space="preserve">Calzada y </w:t>
      </w:r>
      <w:r w:rsidRPr="00285D58">
        <w:rPr>
          <w:rFonts w:asciiTheme="minorHAnsi" w:hAnsiTheme="minorHAnsi" w:cstheme="minorHAnsi"/>
          <w:lang w:val="es-PE"/>
        </w:rPr>
        <w:t>Taludes</w:t>
      </w:r>
    </w:p>
    <w:p w14:paraId="0A137905" w14:textId="2A1545BC"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lastRenderedPageBreak/>
        <w:t xml:space="preserve">Conservación de </w:t>
      </w:r>
      <w:r w:rsidR="006F748F" w:rsidRPr="00285D58">
        <w:rPr>
          <w:rFonts w:asciiTheme="minorHAnsi" w:hAnsiTheme="minorHAnsi" w:cstheme="minorHAnsi"/>
          <w:lang w:val="es-PE"/>
        </w:rPr>
        <w:t xml:space="preserve">Obras de </w:t>
      </w:r>
      <w:r w:rsidRPr="00285D58">
        <w:rPr>
          <w:rFonts w:asciiTheme="minorHAnsi" w:hAnsiTheme="minorHAnsi" w:cstheme="minorHAnsi"/>
          <w:lang w:val="es-PE"/>
        </w:rPr>
        <w:t>Drenaje</w:t>
      </w:r>
    </w:p>
    <w:p w14:paraId="28166AEB" w14:textId="763DF88C"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de </w:t>
      </w:r>
      <w:r w:rsidR="006F748F" w:rsidRPr="00285D58">
        <w:rPr>
          <w:rFonts w:asciiTheme="minorHAnsi" w:hAnsiTheme="minorHAnsi" w:cstheme="minorHAnsi"/>
          <w:lang w:val="es-PE"/>
        </w:rPr>
        <w:t xml:space="preserve">Obras de contención. </w:t>
      </w:r>
    </w:p>
    <w:p w14:paraId="7F107263" w14:textId="5FE093C5" w:rsidR="000319D2" w:rsidRPr="00285D58" w:rsidRDefault="000319D2" w:rsidP="00A3732C">
      <w:pPr>
        <w:widowControl/>
        <w:numPr>
          <w:ilvl w:val="0"/>
          <w:numId w:val="264"/>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Conservación de Señalización</w:t>
      </w:r>
    </w:p>
    <w:p w14:paraId="29D2F099" w14:textId="77777777" w:rsidR="009F2B65" w:rsidRPr="00285D58" w:rsidRDefault="009F2B65" w:rsidP="008D1FFF">
      <w:pPr>
        <w:spacing w:line="276" w:lineRule="auto"/>
        <w:jc w:val="both"/>
        <w:rPr>
          <w:rFonts w:asciiTheme="minorHAnsi" w:hAnsiTheme="minorHAnsi" w:cstheme="minorHAnsi"/>
          <w:u w:val="single"/>
          <w:lang w:val="es-PE"/>
        </w:rPr>
      </w:pPr>
    </w:p>
    <w:p w14:paraId="1C64F5DA" w14:textId="77777777" w:rsidR="009F2B65" w:rsidRPr="00285D58" w:rsidRDefault="009F2B65" w:rsidP="008D1FFF">
      <w:pPr>
        <w:spacing w:line="276" w:lineRule="auto"/>
        <w:jc w:val="both"/>
        <w:rPr>
          <w:rFonts w:asciiTheme="minorHAnsi" w:hAnsiTheme="minorHAnsi" w:cstheme="minorHAnsi"/>
          <w:u w:val="single"/>
          <w:lang w:val="es-PE"/>
        </w:rPr>
      </w:pPr>
      <w:r w:rsidRPr="00285D58">
        <w:rPr>
          <w:rFonts w:asciiTheme="minorHAnsi" w:hAnsiTheme="minorHAnsi" w:cstheme="minorHAnsi"/>
          <w:u w:val="single"/>
          <w:lang w:val="es-PE"/>
        </w:rPr>
        <w:t>Mantenimiento de los Buses:</w:t>
      </w:r>
    </w:p>
    <w:p w14:paraId="68385E9F"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 xml:space="preserve">Comprende las acciones de mantenimiento de los buses y sus componentes específicos según las indicaciones del proveedor y la normativa nacional vigente del Ministerio de Transportes y Comunicaciones, relativo a las Inspecciones Técnicas Vehiculares.  </w:t>
      </w:r>
    </w:p>
    <w:p w14:paraId="5592DCF7" w14:textId="77777777" w:rsidR="009F2B65" w:rsidRPr="00285D58" w:rsidRDefault="009F2B65" w:rsidP="008D1FFF">
      <w:pPr>
        <w:spacing w:line="276" w:lineRule="auto"/>
        <w:jc w:val="both"/>
        <w:rPr>
          <w:rFonts w:asciiTheme="minorHAnsi" w:hAnsiTheme="minorHAnsi" w:cstheme="minorHAnsi"/>
          <w:lang w:val="es-PE"/>
        </w:rPr>
      </w:pPr>
      <w:r w:rsidRPr="00285D58">
        <w:rPr>
          <w:rFonts w:asciiTheme="minorHAnsi" w:hAnsiTheme="minorHAnsi" w:cstheme="minorHAnsi"/>
          <w:lang w:val="es-PE"/>
        </w:rPr>
        <w:t>Contenido Mínimo del Plan de Conservación Anual:</w:t>
      </w:r>
    </w:p>
    <w:p w14:paraId="7E33DC73"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Mantenimiento del Equipamiento Electromecánico de los Teleféricos</w:t>
      </w:r>
    </w:p>
    <w:p w14:paraId="269D171F"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738CD71A"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7D24EE49"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Mantenimiento</w:t>
      </w:r>
    </w:p>
    <w:p w14:paraId="0CD671D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19D905D1"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del Equipamiento Electromecánico </w:t>
      </w:r>
    </w:p>
    <w:p w14:paraId="35C0E0D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Inventario del Equipamiento </w:t>
      </w:r>
    </w:p>
    <w:p w14:paraId="437D8D1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Ubicación del Equipamiento </w:t>
      </w:r>
    </w:p>
    <w:p w14:paraId="429B6D8C"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Técnica del Equipamiento</w:t>
      </w:r>
    </w:p>
    <w:p w14:paraId="5FC66FCB"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Acciones de Mantenimiento</w:t>
      </w:r>
    </w:p>
    <w:p w14:paraId="5ABBBA14"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Preventivo</w:t>
      </w:r>
    </w:p>
    <w:p w14:paraId="6EDE6A5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Correctivo</w:t>
      </w:r>
    </w:p>
    <w:p w14:paraId="65A2FDC6"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38EE712B"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2E78491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5799330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2B4853F0"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10C8EC57"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71F8A65"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600CEE6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6B23AC1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528E5FD9"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3AFFF228"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07F9B8B5"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122FB8DF"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Documentación y Manuales</w:t>
      </w:r>
    </w:p>
    <w:p w14:paraId="4BD3F091"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Manual de Mantenimiento del Fabricante de los Teleféricos</w:t>
      </w:r>
    </w:p>
    <w:p w14:paraId="1CC0D54D"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Manuales de Mantenimiento del Fabricante de otros componentes: motores eléctricos, reductores, autómatas y otros equipamientos mecánicos utilizados para el funcionamiento de los teleféricos. </w:t>
      </w:r>
    </w:p>
    <w:p w14:paraId="2CC3B0A8" w14:textId="77777777" w:rsidR="009F2B65" w:rsidRPr="00285D58" w:rsidRDefault="009F2B65" w:rsidP="00A3732C">
      <w:pPr>
        <w:widowControl/>
        <w:numPr>
          <w:ilvl w:val="0"/>
          <w:numId w:val="265"/>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6A5CF405"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0B0A5F9A" w14:textId="77777777" w:rsidR="009F2B65" w:rsidRPr="00285D58" w:rsidRDefault="009F2B65" w:rsidP="00A3732C">
      <w:pPr>
        <w:widowControl/>
        <w:numPr>
          <w:ilvl w:val="1"/>
          <w:numId w:val="265"/>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28024D1F" w14:textId="77777777" w:rsidR="009F2B65" w:rsidRPr="00285D58" w:rsidRDefault="009F2B65" w:rsidP="008D1FFF">
      <w:pPr>
        <w:spacing w:line="276" w:lineRule="auto"/>
        <w:jc w:val="both"/>
        <w:rPr>
          <w:rFonts w:asciiTheme="minorHAnsi" w:hAnsiTheme="minorHAnsi" w:cstheme="minorHAnsi"/>
          <w:lang w:val="es-PE"/>
        </w:rPr>
      </w:pPr>
    </w:p>
    <w:p w14:paraId="7B555E3F" w14:textId="77777777" w:rsidR="009F2B65" w:rsidRPr="00285D58" w:rsidRDefault="009F2B65" w:rsidP="008D1FFF">
      <w:pPr>
        <w:spacing w:line="276" w:lineRule="auto"/>
        <w:jc w:val="both"/>
        <w:rPr>
          <w:rFonts w:asciiTheme="minorHAnsi" w:hAnsiTheme="minorHAnsi" w:cstheme="minorHAnsi"/>
          <w:lang w:val="es-PE"/>
        </w:rPr>
      </w:pPr>
    </w:p>
    <w:p w14:paraId="150D9BBD"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Conservación de las Estaciones</w:t>
      </w:r>
    </w:p>
    <w:p w14:paraId="461C5716"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4845AE06"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3431FD83"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Conservación</w:t>
      </w:r>
    </w:p>
    <w:p w14:paraId="7CD7628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6DECC4DD"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 las Estructuras a Conservar  </w:t>
      </w:r>
    </w:p>
    <w:p w14:paraId="2F49460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Inventario y Ubicación de Estructuras</w:t>
      </w:r>
    </w:p>
    <w:p w14:paraId="29112CA0"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Acciones de Conservación </w:t>
      </w:r>
    </w:p>
    <w:p w14:paraId="12E9D00B"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Conservación Rutinaria</w:t>
      </w:r>
    </w:p>
    <w:p w14:paraId="2EDEE846"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Periódica </w:t>
      </w:r>
    </w:p>
    <w:p w14:paraId="38819AB3"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5F1893A0"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CE44FB8"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6DD32394"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5808C785"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63DB22BD"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68D09C4D"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2609288A"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4865058E"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6693071A"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31846D94"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406C8747"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1E8E97B2" w14:textId="77777777" w:rsidR="009F2B65" w:rsidRPr="00285D58" w:rsidRDefault="009F2B65" w:rsidP="00A3732C">
      <w:pPr>
        <w:widowControl/>
        <w:numPr>
          <w:ilvl w:val="0"/>
          <w:numId w:val="266"/>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F5E4687"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3EC49218" w14:textId="77777777" w:rsidR="009F2B65" w:rsidRPr="00285D58" w:rsidRDefault="009F2B65" w:rsidP="00A3732C">
      <w:pPr>
        <w:widowControl/>
        <w:numPr>
          <w:ilvl w:val="1"/>
          <w:numId w:val="266"/>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16256F86" w14:textId="77777777" w:rsidR="009F2B65" w:rsidRPr="00285D58" w:rsidRDefault="009F2B65" w:rsidP="008D1FFF">
      <w:pPr>
        <w:spacing w:line="276" w:lineRule="auto"/>
        <w:jc w:val="both"/>
        <w:rPr>
          <w:rFonts w:asciiTheme="minorHAnsi" w:hAnsiTheme="minorHAnsi" w:cstheme="minorHAnsi"/>
          <w:lang w:val="es-PE"/>
        </w:rPr>
      </w:pPr>
    </w:p>
    <w:p w14:paraId="35342220"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Conservación de las Vías Turísticas</w:t>
      </w:r>
    </w:p>
    <w:p w14:paraId="2C0DF32D"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2E36DF1D"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0A1A263E"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Conservación</w:t>
      </w:r>
    </w:p>
    <w:p w14:paraId="2839CFA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4CE0C756"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Descripción de las Edificaciones  </w:t>
      </w:r>
    </w:p>
    <w:p w14:paraId="664BFD84"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los Elementos sujetos a Conservación</w:t>
      </w:r>
    </w:p>
    <w:p w14:paraId="0C49918A"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Ubicación </w:t>
      </w:r>
    </w:p>
    <w:p w14:paraId="7D6113C6"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Acciones de Conservación </w:t>
      </w:r>
    </w:p>
    <w:p w14:paraId="10409F6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Conservación Rutinaria</w:t>
      </w:r>
    </w:p>
    <w:p w14:paraId="1A30BBE4"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Conservación Periódica </w:t>
      </w:r>
    </w:p>
    <w:p w14:paraId="5AA4E282"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0292766A"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7D5642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Conservación</w:t>
      </w:r>
    </w:p>
    <w:p w14:paraId="6070D782"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Conservación</w:t>
      </w:r>
    </w:p>
    <w:p w14:paraId="640879CE"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lastRenderedPageBreak/>
        <w:t>Calendario Mensual de Actividades</w:t>
      </w:r>
    </w:p>
    <w:p w14:paraId="3435BD09"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CA1DD03"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38A86E4B"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309C018C"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6BF42A94"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11125DFD"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08AC6DE2"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 aplicada</w:t>
      </w:r>
    </w:p>
    <w:p w14:paraId="5A0028B4" w14:textId="77777777" w:rsidR="009F2B65" w:rsidRPr="00285D58" w:rsidRDefault="009F2B65" w:rsidP="00A3732C">
      <w:pPr>
        <w:widowControl/>
        <w:numPr>
          <w:ilvl w:val="0"/>
          <w:numId w:val="268"/>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32664AB"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02F0E7D0" w14:textId="77777777" w:rsidR="009F2B65" w:rsidRPr="00285D58" w:rsidRDefault="009F2B65" w:rsidP="00A3732C">
      <w:pPr>
        <w:widowControl/>
        <w:numPr>
          <w:ilvl w:val="1"/>
          <w:numId w:val="268"/>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Diagramas y Planos</w:t>
      </w:r>
    </w:p>
    <w:p w14:paraId="6EF9DB6B" w14:textId="77777777" w:rsidR="009F2B65" w:rsidRPr="00285D58" w:rsidRDefault="009F2B65" w:rsidP="008D1FFF">
      <w:pPr>
        <w:spacing w:line="276" w:lineRule="auto"/>
        <w:jc w:val="both"/>
        <w:rPr>
          <w:rFonts w:asciiTheme="minorHAnsi" w:hAnsiTheme="minorHAnsi" w:cstheme="minorHAnsi"/>
          <w:lang w:val="es-PE"/>
        </w:rPr>
      </w:pPr>
    </w:p>
    <w:p w14:paraId="0263954F" w14:textId="77777777" w:rsidR="009F2B65" w:rsidRPr="00285D58" w:rsidRDefault="009F2B65" w:rsidP="00A3732C">
      <w:pPr>
        <w:widowControl/>
        <w:numPr>
          <w:ilvl w:val="0"/>
          <w:numId w:val="267"/>
        </w:numPr>
        <w:spacing w:line="276" w:lineRule="auto"/>
        <w:contextualSpacing/>
        <w:jc w:val="both"/>
        <w:rPr>
          <w:rFonts w:asciiTheme="minorHAnsi" w:hAnsiTheme="minorHAnsi" w:cstheme="minorHAnsi"/>
          <w:u w:val="single"/>
          <w:lang w:val="es-PE"/>
        </w:rPr>
      </w:pPr>
      <w:r w:rsidRPr="00285D58">
        <w:rPr>
          <w:rFonts w:asciiTheme="minorHAnsi" w:hAnsiTheme="minorHAnsi" w:cstheme="minorHAnsi"/>
          <w:u w:val="single"/>
          <w:lang w:val="es-PE"/>
        </w:rPr>
        <w:t>Plan de Mantenimiento de los Buses:</w:t>
      </w:r>
    </w:p>
    <w:p w14:paraId="41639E70" w14:textId="77777777" w:rsidR="009F2B65" w:rsidRPr="00285D58" w:rsidRDefault="009F2B65" w:rsidP="008D1FFF">
      <w:pPr>
        <w:spacing w:line="276" w:lineRule="auto"/>
        <w:ind w:left="1287"/>
        <w:contextualSpacing/>
        <w:jc w:val="both"/>
        <w:rPr>
          <w:rFonts w:asciiTheme="minorHAnsi" w:hAnsiTheme="minorHAnsi" w:cstheme="minorHAnsi"/>
          <w:u w:val="single"/>
          <w:lang w:val="es-PE"/>
        </w:rPr>
      </w:pPr>
    </w:p>
    <w:p w14:paraId="25C20502"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Introducción</w:t>
      </w:r>
    </w:p>
    <w:p w14:paraId="1F46F1CC"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Objetivos del Plan de Mantenimiento</w:t>
      </w:r>
    </w:p>
    <w:p w14:paraId="7FB6F14D"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Alcance del Plan</w:t>
      </w:r>
    </w:p>
    <w:p w14:paraId="28542124"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 xml:space="preserve">Especificaciones Técnicas de los Buses </w:t>
      </w:r>
    </w:p>
    <w:p w14:paraId="3E8839D2"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Acciones de Mantenimiento</w:t>
      </w:r>
    </w:p>
    <w:p w14:paraId="0B1EFBAB"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Preventivo</w:t>
      </w:r>
    </w:p>
    <w:p w14:paraId="3EA98273"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Mantenimiento Correctivo</w:t>
      </w:r>
    </w:p>
    <w:p w14:paraId="07FE3984"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Descripción de Procedimientos</w:t>
      </w:r>
    </w:p>
    <w:p w14:paraId="3EF13839"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Programación del Mantenimiento</w:t>
      </w:r>
    </w:p>
    <w:p w14:paraId="4706B02F"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Cronograma Anual de Mantenimiento</w:t>
      </w:r>
    </w:p>
    <w:p w14:paraId="66A1CDDE"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Frecuencia de las Actividades de Mantenimiento</w:t>
      </w:r>
    </w:p>
    <w:p w14:paraId="6863B2D6"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Calendario Mensual de Actividades</w:t>
      </w:r>
    </w:p>
    <w:p w14:paraId="53D098E1"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Recursos Necesarios</w:t>
      </w:r>
    </w:p>
    <w:p w14:paraId="0485C11D"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Personal de Mantenimiento</w:t>
      </w:r>
    </w:p>
    <w:p w14:paraId="1A4E330E"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Herramientas y Equipos</w:t>
      </w:r>
    </w:p>
    <w:p w14:paraId="4509586F"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Insumos y Repuestos</w:t>
      </w:r>
    </w:p>
    <w:p w14:paraId="12926495"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Control y Seguimiento</w:t>
      </w:r>
    </w:p>
    <w:p w14:paraId="15295BD5"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Registros de Mantenimiento</w:t>
      </w:r>
    </w:p>
    <w:p w14:paraId="6EB4BA97"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Seguridad y Normativas Aplicables</w:t>
      </w:r>
    </w:p>
    <w:p w14:paraId="2667263F" w14:textId="77777777" w:rsidR="009F2B65" w:rsidRPr="00285D58" w:rsidRDefault="009F2B65" w:rsidP="00A3732C">
      <w:pPr>
        <w:widowControl/>
        <w:numPr>
          <w:ilvl w:val="0"/>
          <w:numId w:val="270"/>
        </w:numPr>
        <w:spacing w:line="276" w:lineRule="auto"/>
        <w:ind w:left="1701" w:hanging="425"/>
        <w:contextualSpacing/>
        <w:jc w:val="both"/>
        <w:rPr>
          <w:rFonts w:asciiTheme="minorHAnsi" w:hAnsiTheme="minorHAnsi" w:cstheme="minorHAnsi"/>
          <w:lang w:val="es-PE"/>
        </w:rPr>
      </w:pPr>
      <w:r w:rsidRPr="00285D58">
        <w:rPr>
          <w:rFonts w:asciiTheme="minorHAnsi" w:hAnsiTheme="minorHAnsi" w:cstheme="minorHAnsi"/>
          <w:lang w:val="es-PE"/>
        </w:rPr>
        <w:t>Anexos</w:t>
      </w:r>
    </w:p>
    <w:p w14:paraId="5E330E3C" w14:textId="77777777" w:rsidR="009F2B65" w:rsidRPr="00285D58" w:rsidRDefault="009F2B65" w:rsidP="00A3732C">
      <w:pPr>
        <w:widowControl/>
        <w:numPr>
          <w:ilvl w:val="1"/>
          <w:numId w:val="270"/>
        </w:numPr>
        <w:spacing w:line="276" w:lineRule="auto"/>
        <w:ind w:left="1701" w:firstLine="0"/>
        <w:contextualSpacing/>
        <w:jc w:val="both"/>
        <w:rPr>
          <w:rFonts w:asciiTheme="minorHAnsi" w:hAnsiTheme="minorHAnsi" w:cstheme="minorHAnsi"/>
          <w:lang w:val="es-PE"/>
        </w:rPr>
      </w:pPr>
      <w:r w:rsidRPr="00285D58">
        <w:rPr>
          <w:rFonts w:asciiTheme="minorHAnsi" w:hAnsiTheme="minorHAnsi" w:cstheme="minorHAnsi"/>
          <w:lang w:val="es-PE"/>
        </w:rPr>
        <w:t xml:space="preserve">Formatos a emplear </w:t>
      </w:r>
    </w:p>
    <w:p w14:paraId="67B5FB58" w14:textId="77777777" w:rsidR="009F2B65" w:rsidRPr="00285D58" w:rsidRDefault="009F2B65" w:rsidP="008D1FFF">
      <w:pPr>
        <w:suppressLineNumbers/>
        <w:tabs>
          <w:tab w:val="num" w:pos="1100"/>
        </w:tabs>
        <w:suppressAutoHyphens/>
        <w:spacing w:line="276" w:lineRule="auto"/>
        <w:ind w:left="600" w:hanging="600"/>
        <w:jc w:val="both"/>
        <w:rPr>
          <w:rFonts w:asciiTheme="minorHAnsi" w:hAnsiTheme="minorHAnsi" w:cstheme="minorHAnsi"/>
          <w:b/>
          <w:lang w:val="es-PE"/>
        </w:rPr>
      </w:pPr>
    </w:p>
    <w:p w14:paraId="4B786038" w14:textId="77777777" w:rsidR="009F2B65" w:rsidRPr="00285D58" w:rsidRDefault="009F2B65" w:rsidP="008D1FFF">
      <w:pPr>
        <w:spacing w:line="276" w:lineRule="auto"/>
        <w:jc w:val="both"/>
        <w:rPr>
          <w:rFonts w:asciiTheme="minorHAnsi" w:hAnsiTheme="minorHAnsi" w:cstheme="minorHAnsi"/>
          <w:b/>
          <w:lang w:val="es-PE"/>
        </w:rPr>
      </w:pPr>
      <w:r w:rsidRPr="00285D58">
        <w:rPr>
          <w:rFonts w:asciiTheme="minorHAnsi" w:hAnsiTheme="minorHAnsi" w:cstheme="minorHAnsi"/>
          <w:b/>
          <w:lang w:val="es-PE"/>
        </w:rPr>
        <w:br w:type="page"/>
      </w:r>
    </w:p>
    <w:p w14:paraId="64102AD8" w14:textId="70F90FD8"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3" w:name="_Toc167972730"/>
      <w:bookmarkStart w:id="254" w:name="_Toc174098019"/>
      <w:bookmarkStart w:id="255" w:name="_Toc193979290"/>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3: CRITERIOS PARA EL ASEO Y LIMPIEZA DE LAS INSTALACIONES Y EQUIPAMIENTO ELECTROMECÁNICO</w:t>
      </w:r>
      <w:bookmarkEnd w:id="253"/>
      <w:bookmarkEnd w:id="254"/>
      <w:bookmarkEnd w:id="255"/>
      <w:r w:rsidRPr="00285D58">
        <w:rPr>
          <w:rFonts w:asciiTheme="minorHAnsi" w:eastAsia="Arial" w:hAnsiTheme="minorHAnsi" w:cstheme="minorHAnsi"/>
          <w:b/>
          <w:color w:val="1F4E79" w:themeColor="accent5" w:themeShade="80"/>
          <w:sz w:val="22"/>
          <w:szCs w:val="22"/>
          <w:lang w:val="es-PE"/>
        </w:rPr>
        <w:t xml:space="preserve"> </w:t>
      </w:r>
    </w:p>
    <w:p w14:paraId="5B488CE3" w14:textId="77777777" w:rsidR="009F2B65" w:rsidRPr="00285D58" w:rsidRDefault="009F2B65" w:rsidP="008D1FFF">
      <w:pPr>
        <w:spacing w:line="276" w:lineRule="auto"/>
        <w:jc w:val="both"/>
        <w:rPr>
          <w:rFonts w:asciiTheme="minorHAnsi" w:hAnsiTheme="minorHAnsi" w:cstheme="minorHAnsi"/>
          <w:lang w:val="es-PE"/>
        </w:rPr>
      </w:pPr>
    </w:p>
    <w:p w14:paraId="0951DA4D"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Plan de Aseo y Limpieza deberá contener el cronograma y detalle de las Actividades de Aseo y Limpieza diarias, semanales, mensuales y semestrales de limpieza para las estaciones (espacios internos y exteriores), cabinas y buses, especificando el personal e insumos para llevarlas a cabo.</w:t>
      </w:r>
    </w:p>
    <w:p w14:paraId="24307CCA"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Aseo y Limpieza de las instalaciones dentro del Área de la Concesión, contempla, pero no se limita a la limpieza interna y externa de las paredes, pisos, techos, ventanas, puertas y otras superficies que formen parte de las Estaciones Centrales y Estaciones del Teleférico. También incluye el Aseo y Limpieza de los aparatos sanitarios, luminarias, cestos y/o papeleros, mobiliario, equipos y cualquier otro elemento que forme parte de las instalaciones. Así mismo, incluye la limpieza interna y externa de las cabinas y buses.</w:t>
      </w:r>
    </w:p>
    <w:p w14:paraId="7330096D"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Diariamente, el CONCESIONARIO deberá limpiar las zonas circundantes a las estaciones y sus accesos, erradicando las malezas y los residuos generados por los Usuarios, la propia actividad del CONCESIONARIO y/o terceros.</w:t>
      </w:r>
    </w:p>
    <w:p w14:paraId="14E695B5"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Al menos dos (02) veces por semana, el CONCESIONARIO deberá lavar y desinfectarlos pisos de los andenes, espacios y áreas con afluencia de público.</w:t>
      </w:r>
    </w:p>
    <w:p w14:paraId="6D0A0503"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El CONCESIONARIO deberá instalar un número adecuado de cestos y/o papeleros, distribuidos convenientemente en las estaciones. Como mínimo, deberá instalarlos en servicios higiénicos, áreas administrativas, talleres, zonas de espera y zonas con gran afluencia de usuarios. </w:t>
      </w:r>
    </w:p>
    <w:p w14:paraId="346F3023"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y al inicio del día, el CONCESIONARIO deberá vaciar el contenido de los cestos y/o papeleros, lavarlos y desinfectarlos. Deberá repetir este procedimiento tantas veces al día como sea necesario. </w:t>
      </w:r>
    </w:p>
    <w:p w14:paraId="289685D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Diariamente y al inicio del día, el CONCESIONARIO deberá lavar y desinfectar los aparatos sanitarios. Deberá repetir este procedimiento tantas veces al día como sea necesario.</w:t>
      </w:r>
    </w:p>
    <w:p w14:paraId="319A05EA"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Periódicamente, cuando sea necesario, se limpiarán las partes bajas de las paredes expuestas al público, los vidrios de puertas y ventanas, se eliminarán grafitis y publicidades no autorizadas.</w:t>
      </w:r>
    </w:p>
    <w:p w14:paraId="7CE1B64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Periódicamente, cuando sea necesario, se limpiarán las luminarias, artefactos de alumbrado, señalización y otros elementos en general.</w:t>
      </w:r>
    </w:p>
    <w:p w14:paraId="7A1B8F12"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al inicio del día y antes de la apertura al público, el CONCESIONARIO deberá limpiar y desinfectar el interior de los buses, y lavar el exterior. Durante el día, cuando sea necesario, el CONCESIONARIO recogerá los residuos sólidos generados por los Usuarios al interior de los buses. Al menos (01) vez a la semana, el CONCESIONARIO deberá lavar el interior de los buses. </w:t>
      </w:r>
    </w:p>
    <w:p w14:paraId="0E4CA359"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Diariamente, al inicio del día y antes de la apertura al público, el CONCESIONARIO deberá limpiar, lavar y desinfectar el interior de las cabinas, y lavar el exterior. La limpieza, lavado y desinfección debe garantizar que, las superficies internas y externas, accesorios, </w:t>
      </w:r>
      <w:r w:rsidRPr="00285D58">
        <w:rPr>
          <w:rFonts w:asciiTheme="minorHAnsi" w:hAnsiTheme="minorHAnsi" w:cstheme="minorHAnsi"/>
          <w:lang w:val="es-PE"/>
        </w:rPr>
        <w:lastRenderedPageBreak/>
        <w:t xml:space="preserve">asientos, respaldares, vidrios, pisos y techos, se encuentren libres de polvo, suciedad y manchas de cualquier tipo y origen. </w:t>
      </w:r>
    </w:p>
    <w:p w14:paraId="2D233FE9"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Al menos dos (02) veces al año, el CONCESIONARIO efectuará las desinsectaciones, desratizaciones y desodorizaciones necesarias en las Estaciones.</w:t>
      </w:r>
    </w:p>
    <w:p w14:paraId="3C57986C"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CONCESIONARIO deberá asimismo mantener un nivel adecuado de limpieza y funcionalidad en las salas técnicas y talleres de mantenimiento.</w:t>
      </w:r>
    </w:p>
    <w:p w14:paraId="077F4BB8"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EL CONCESIONARIO implementará un plan de recojo diario de residuos sólidos generados en las estaciones y a lo largo del tramo de las vías turísticas, coordinando con los municipios localizados en el área de influencia directa.</w:t>
      </w:r>
    </w:p>
    <w:p w14:paraId="39887536" w14:textId="77777777" w:rsidR="009F2B65" w:rsidRPr="00285D58" w:rsidRDefault="009F2B65" w:rsidP="00A3732C">
      <w:pPr>
        <w:widowControl/>
        <w:numPr>
          <w:ilvl w:val="0"/>
          <w:numId w:val="260"/>
        </w:numPr>
        <w:spacing w:line="276" w:lineRule="auto"/>
        <w:contextualSpacing/>
        <w:jc w:val="both"/>
        <w:rPr>
          <w:rFonts w:asciiTheme="minorHAnsi" w:hAnsiTheme="minorHAnsi" w:cstheme="minorHAnsi"/>
          <w:lang w:val="es-PE"/>
        </w:rPr>
      </w:pPr>
      <w:r w:rsidRPr="00285D58">
        <w:rPr>
          <w:rFonts w:asciiTheme="minorHAnsi" w:hAnsiTheme="minorHAnsi" w:cstheme="minorHAnsi"/>
          <w:lang w:val="es-PE"/>
        </w:rPr>
        <w:t xml:space="preserve">El detalle y frecuencia de todas las actividades, así como los insumos y recursos necesarios, deberán plasmarse en un cronograma de actividades dentro del Plan de Aseo y Limpieza Anual. </w:t>
      </w:r>
    </w:p>
    <w:p w14:paraId="43056844" w14:textId="77777777" w:rsidR="009F2B65" w:rsidRPr="00285D58" w:rsidRDefault="009F2B65" w:rsidP="008D1FFF">
      <w:pPr>
        <w:spacing w:line="276" w:lineRule="auto"/>
        <w:jc w:val="both"/>
        <w:rPr>
          <w:rFonts w:asciiTheme="minorHAnsi" w:hAnsiTheme="minorHAnsi" w:cstheme="minorHAnsi"/>
          <w:lang w:val="es-PE"/>
        </w:rPr>
      </w:pPr>
    </w:p>
    <w:p w14:paraId="417DD5C4"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137E8A9C"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898444E"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0481690A"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3A74C1E"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74201088"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0D273881" w14:textId="77777777" w:rsidR="009F2B65" w:rsidRPr="00285D58" w:rsidRDefault="009F2B65" w:rsidP="008D1FFF">
      <w:pPr>
        <w:suppressLineNumbers/>
        <w:suppressAutoHyphens/>
        <w:autoSpaceDE w:val="0"/>
        <w:autoSpaceDN w:val="0"/>
        <w:spacing w:line="276" w:lineRule="auto"/>
        <w:ind w:left="570"/>
        <w:jc w:val="both"/>
        <w:rPr>
          <w:rFonts w:asciiTheme="minorHAnsi" w:hAnsiTheme="minorHAnsi" w:cstheme="minorHAnsi"/>
          <w:lang w:val="es-PE"/>
        </w:rPr>
      </w:pPr>
    </w:p>
    <w:p w14:paraId="34AF7386" w14:textId="77777777" w:rsidR="009F2B65" w:rsidRPr="00285D58" w:rsidRDefault="009F2B65" w:rsidP="008D1FFF">
      <w:pPr>
        <w:spacing w:line="276" w:lineRule="auto"/>
        <w:jc w:val="both"/>
        <w:rPr>
          <w:rFonts w:asciiTheme="minorHAnsi" w:eastAsia="Times New Roman" w:hAnsiTheme="minorHAnsi" w:cstheme="minorHAnsi"/>
          <w:bCs/>
          <w:lang w:val="es-PE" w:eastAsia="es-ES"/>
        </w:rPr>
      </w:pPr>
      <w:r w:rsidRPr="00285D58">
        <w:rPr>
          <w:rFonts w:asciiTheme="minorHAnsi" w:eastAsia="Times New Roman" w:hAnsiTheme="minorHAnsi" w:cstheme="minorHAnsi"/>
          <w:bCs/>
          <w:lang w:val="es-PE" w:eastAsia="es-ES"/>
        </w:rPr>
        <w:br w:type="page"/>
      </w:r>
    </w:p>
    <w:p w14:paraId="49EF9A2B" w14:textId="76EA6E6B" w:rsidR="009F2B65" w:rsidRPr="00285D58" w:rsidRDefault="009F2B65" w:rsidP="008D1FFF">
      <w:pPr>
        <w:pStyle w:val="Ttulo2"/>
        <w:spacing w:before="1" w:line="276" w:lineRule="auto"/>
        <w:jc w:val="both"/>
        <w:rPr>
          <w:rFonts w:asciiTheme="minorHAnsi" w:eastAsia="Arial" w:hAnsiTheme="minorHAnsi" w:cstheme="minorHAnsi"/>
          <w:b/>
          <w:color w:val="1F4E79" w:themeColor="accent5" w:themeShade="80"/>
          <w:sz w:val="22"/>
          <w:szCs w:val="22"/>
          <w:lang w:val="es-PE"/>
        </w:rPr>
      </w:pPr>
      <w:bookmarkStart w:id="256" w:name="_Toc167972731"/>
      <w:bookmarkStart w:id="257" w:name="_Toc174098020"/>
      <w:bookmarkStart w:id="258" w:name="_Toc193979291"/>
      <w:r w:rsidRPr="00285D58">
        <w:rPr>
          <w:rFonts w:asciiTheme="minorHAnsi" w:eastAsia="Arial" w:hAnsiTheme="minorHAnsi" w:cstheme="minorHAnsi"/>
          <w:b/>
          <w:color w:val="1F4E79" w:themeColor="accent5" w:themeShade="80"/>
          <w:sz w:val="22"/>
          <w:szCs w:val="22"/>
          <w:lang w:val="es-PE"/>
        </w:rPr>
        <w:lastRenderedPageBreak/>
        <w:t>A</w:t>
      </w:r>
      <w:r w:rsidR="002D5F82" w:rsidRPr="00285D58">
        <w:rPr>
          <w:rFonts w:asciiTheme="minorHAnsi" w:eastAsia="Arial" w:hAnsiTheme="minorHAnsi" w:cstheme="minorHAnsi"/>
          <w:b/>
          <w:color w:val="1F4E79" w:themeColor="accent5" w:themeShade="80"/>
          <w:sz w:val="22"/>
          <w:szCs w:val="22"/>
          <w:lang w:val="es-PE"/>
        </w:rPr>
        <w:t>NEXO 09 - A</w:t>
      </w:r>
      <w:r w:rsidRPr="00285D58">
        <w:rPr>
          <w:rFonts w:asciiTheme="minorHAnsi" w:eastAsia="Arial" w:hAnsiTheme="minorHAnsi" w:cstheme="minorHAnsi"/>
          <w:b/>
          <w:color w:val="1F4E79" w:themeColor="accent5" w:themeShade="80"/>
          <w:sz w:val="22"/>
          <w:szCs w:val="22"/>
          <w:lang w:val="es-PE"/>
        </w:rPr>
        <w:t>PÉNDICE 4</w:t>
      </w:r>
      <w:r w:rsidR="002D5F82" w:rsidRPr="00285D58">
        <w:rPr>
          <w:rFonts w:asciiTheme="minorHAnsi" w:eastAsia="Arial" w:hAnsiTheme="minorHAnsi" w:cstheme="minorHAnsi"/>
          <w:b/>
          <w:color w:val="1F4E79" w:themeColor="accent5" w:themeShade="80"/>
          <w:sz w:val="22"/>
          <w:szCs w:val="22"/>
          <w:lang w:val="es-PE"/>
        </w:rPr>
        <w:t>:</w:t>
      </w:r>
      <w:r w:rsidRPr="00285D58">
        <w:rPr>
          <w:rFonts w:asciiTheme="minorHAnsi" w:eastAsia="Arial" w:hAnsiTheme="minorHAnsi" w:cstheme="minorHAnsi"/>
          <w:b/>
          <w:color w:val="1F4E79" w:themeColor="accent5" w:themeShade="80"/>
          <w:sz w:val="22"/>
          <w:szCs w:val="22"/>
          <w:lang w:val="es-PE"/>
        </w:rPr>
        <w:t xml:space="preserve"> FORMATOS DE COMUNICACIÓN</w:t>
      </w:r>
      <w:bookmarkEnd w:id="256"/>
      <w:bookmarkEnd w:id="257"/>
      <w:bookmarkEnd w:id="258"/>
      <w:r w:rsidRPr="00285D58">
        <w:rPr>
          <w:rFonts w:asciiTheme="minorHAnsi" w:eastAsia="Arial" w:hAnsiTheme="minorHAnsi" w:cstheme="minorHAnsi"/>
          <w:b/>
          <w:color w:val="1F4E79" w:themeColor="accent5" w:themeShade="80"/>
          <w:sz w:val="22"/>
          <w:szCs w:val="22"/>
          <w:lang w:val="es-P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0F6FBEDC" w14:textId="77777777" w:rsidTr="00242093">
        <w:trPr>
          <w:trHeight w:val="70"/>
        </w:trPr>
        <w:tc>
          <w:tcPr>
            <w:tcW w:w="5000" w:type="pct"/>
          </w:tcPr>
          <w:p w14:paraId="07FA5032" w14:textId="77777777" w:rsidR="009F2B65" w:rsidRPr="00285D58" w:rsidRDefault="009F2B65" w:rsidP="008D1FFF">
            <w:pPr>
              <w:spacing w:line="276" w:lineRule="auto"/>
              <w:ind w:left="527"/>
              <w:jc w:val="both"/>
              <w:rPr>
                <w:rFonts w:asciiTheme="minorHAnsi" w:hAnsiTheme="minorHAnsi" w:cstheme="minorHAnsi"/>
                <w:lang w:val="es-PE"/>
              </w:rPr>
            </w:pPr>
          </w:p>
          <w:p w14:paraId="28E34936"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Incumplimiento de Nivel de Servicio</w:t>
            </w:r>
          </w:p>
          <w:p w14:paraId="327C5530" w14:textId="77777777" w:rsidR="009F2B65" w:rsidRPr="00285D58" w:rsidRDefault="009F2B65" w:rsidP="008D1FFF">
            <w:pPr>
              <w:spacing w:line="276" w:lineRule="auto"/>
              <w:ind w:left="527"/>
              <w:jc w:val="both"/>
              <w:rPr>
                <w:rFonts w:asciiTheme="minorHAnsi" w:hAnsiTheme="minorHAnsi" w:cstheme="minorHAnsi"/>
                <w:lang w:val="es-PE"/>
              </w:rPr>
            </w:pPr>
          </w:p>
          <w:p w14:paraId="66DCF198"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452D4848" w14:textId="77777777" w:rsidR="009F2B65" w:rsidRPr="00285D58" w:rsidRDefault="009F2B65" w:rsidP="008D1FFF">
            <w:pPr>
              <w:spacing w:line="276" w:lineRule="auto"/>
              <w:ind w:left="527"/>
              <w:jc w:val="both"/>
              <w:rPr>
                <w:rFonts w:asciiTheme="minorHAnsi" w:hAnsiTheme="minorHAnsi" w:cstheme="minorHAnsi"/>
                <w:lang w:val="es-PE"/>
              </w:rPr>
            </w:pPr>
          </w:p>
          <w:p w14:paraId="753AD9D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PCI N°____:</w:t>
            </w:r>
          </w:p>
          <w:p w14:paraId="6DC48F61"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Ref: Detección N° _____</w:t>
            </w:r>
          </w:p>
          <w:p w14:paraId="28BD80F0" w14:textId="77777777" w:rsidR="009F2B65" w:rsidRPr="00285D58" w:rsidRDefault="009F2B65" w:rsidP="008D1FFF">
            <w:pPr>
              <w:spacing w:line="276" w:lineRule="auto"/>
              <w:ind w:left="527"/>
              <w:jc w:val="both"/>
              <w:rPr>
                <w:rFonts w:asciiTheme="minorHAnsi" w:hAnsiTheme="minorHAnsi" w:cstheme="minorHAnsi"/>
                <w:lang w:val="es-PE"/>
              </w:rPr>
            </w:pPr>
          </w:p>
          <w:p w14:paraId="0908450B"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Sres. de (nombre del CONCESIONARIO):</w:t>
            </w:r>
          </w:p>
          <w:p w14:paraId="1D4D5FE9" w14:textId="73CCD493"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establecido en el </w:t>
            </w:r>
            <w:r w:rsidR="003B582D" w:rsidRPr="00285D58">
              <w:rPr>
                <w:rFonts w:asciiTheme="minorHAnsi" w:hAnsiTheme="minorHAnsi" w:cstheme="minorHAnsi"/>
                <w:lang w:val="es-PE"/>
              </w:rPr>
              <w:t xml:space="preserve">Anexo </w:t>
            </w:r>
            <w:r w:rsidRPr="00285D58">
              <w:rPr>
                <w:rFonts w:asciiTheme="minorHAnsi" w:hAnsiTheme="minorHAnsi" w:cstheme="minorHAnsi"/>
                <w:lang w:val="es-PE"/>
              </w:rPr>
              <w:t>09 del Contrato de Concesión, se comunica que se han hallado los siguientes defectos que han generado incumplimientos de Niveles de Servicios, conforme al cuadro adjunto.</w:t>
            </w:r>
          </w:p>
          <w:p w14:paraId="3C6527DD"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p w14:paraId="0FB7284C"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123B1A3B" w14:textId="77777777" w:rsidTr="00242093">
              <w:trPr>
                <w:trHeight w:val="433"/>
              </w:trPr>
              <w:tc>
                <w:tcPr>
                  <w:tcW w:w="1605" w:type="dxa"/>
                </w:tcPr>
                <w:p w14:paraId="0091AB61"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724" w:type="dxa"/>
                </w:tcPr>
                <w:p w14:paraId="6F684B7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631" w:type="dxa"/>
                </w:tcPr>
                <w:p w14:paraId="0F23893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631" w:type="dxa"/>
                </w:tcPr>
                <w:p w14:paraId="6153F3E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673" w:type="dxa"/>
                </w:tcPr>
                <w:p w14:paraId="6CC08E2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32195E1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176F4ABD" w14:textId="77777777" w:rsidTr="00242093">
              <w:trPr>
                <w:trHeight w:val="63"/>
              </w:trPr>
              <w:tc>
                <w:tcPr>
                  <w:tcW w:w="1605" w:type="dxa"/>
                </w:tcPr>
                <w:p w14:paraId="006A11AB"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0034847F"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79CBB887"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177307D2"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32FFB92A" w14:textId="77777777" w:rsidR="009F2B65" w:rsidRPr="00285D58" w:rsidRDefault="009F2B65" w:rsidP="008D1FFF">
                  <w:pPr>
                    <w:spacing w:line="276" w:lineRule="auto"/>
                    <w:jc w:val="both"/>
                    <w:rPr>
                      <w:rFonts w:asciiTheme="minorHAnsi" w:hAnsiTheme="minorHAnsi" w:cstheme="minorHAnsi"/>
                      <w:lang w:val="es-PE"/>
                    </w:rPr>
                  </w:pPr>
                </w:p>
              </w:tc>
            </w:tr>
            <w:tr w:rsidR="009F2B65" w:rsidRPr="00285D58" w14:paraId="1A464507" w14:textId="77777777" w:rsidTr="00242093">
              <w:trPr>
                <w:trHeight w:val="149"/>
              </w:trPr>
              <w:tc>
                <w:tcPr>
                  <w:tcW w:w="1605" w:type="dxa"/>
                </w:tcPr>
                <w:p w14:paraId="2392FD45"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590AF3EA"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143C4C86"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8507576"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71B72653" w14:textId="77777777" w:rsidR="009F2B65" w:rsidRPr="00285D58" w:rsidRDefault="009F2B65" w:rsidP="008D1FFF">
                  <w:pPr>
                    <w:spacing w:line="276" w:lineRule="auto"/>
                    <w:jc w:val="both"/>
                    <w:rPr>
                      <w:rFonts w:asciiTheme="minorHAnsi" w:hAnsiTheme="minorHAnsi" w:cstheme="minorHAnsi"/>
                      <w:lang w:val="es-PE"/>
                    </w:rPr>
                  </w:pPr>
                </w:p>
              </w:tc>
            </w:tr>
          </w:tbl>
          <w:p w14:paraId="14D2CF3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 </w:t>
            </w:r>
          </w:p>
          <w:p w14:paraId="76648197"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Plazo para subsanar defectos (en caso corresponda):</w:t>
            </w:r>
          </w:p>
          <w:p w14:paraId="08CC6D6D"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De acuerdo a la naturaleza de los defectos hallados se les otorgan los siguientes plazos máximos para que procedan a subsanar los siguientes defectos:</w:t>
            </w:r>
          </w:p>
          <w:p w14:paraId="258EB3E9"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900"/>
              <w:gridCol w:w="2744"/>
            </w:tblGrid>
            <w:tr w:rsidR="009F2B65" w:rsidRPr="00285D58" w14:paraId="0B30CE4F" w14:textId="77777777" w:rsidTr="00242093">
              <w:trPr>
                <w:trHeight w:val="361"/>
              </w:trPr>
              <w:tc>
                <w:tcPr>
                  <w:tcW w:w="1900" w:type="dxa"/>
                </w:tcPr>
                <w:p w14:paraId="6E98A5C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2744" w:type="dxa"/>
                </w:tcPr>
                <w:p w14:paraId="711D46C4"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Plazo para subsanar</w:t>
                  </w:r>
                </w:p>
              </w:tc>
            </w:tr>
            <w:tr w:rsidR="009F2B65" w:rsidRPr="00285D58" w14:paraId="712CAAF4" w14:textId="77777777" w:rsidTr="00242093">
              <w:trPr>
                <w:trHeight w:val="201"/>
              </w:trPr>
              <w:tc>
                <w:tcPr>
                  <w:tcW w:w="1900" w:type="dxa"/>
                </w:tcPr>
                <w:p w14:paraId="6A675EF9" w14:textId="77777777" w:rsidR="009F2B65" w:rsidRPr="00285D58" w:rsidRDefault="009F2B65" w:rsidP="008D1FFF">
                  <w:pPr>
                    <w:spacing w:line="276" w:lineRule="auto"/>
                    <w:jc w:val="both"/>
                    <w:rPr>
                      <w:rFonts w:asciiTheme="minorHAnsi" w:hAnsiTheme="minorHAnsi" w:cstheme="minorHAnsi"/>
                      <w:lang w:val="es-PE"/>
                    </w:rPr>
                  </w:pPr>
                </w:p>
              </w:tc>
              <w:tc>
                <w:tcPr>
                  <w:tcW w:w="2744" w:type="dxa"/>
                </w:tcPr>
                <w:p w14:paraId="1AB37217" w14:textId="77777777" w:rsidR="009F2B65" w:rsidRPr="00285D58" w:rsidRDefault="009F2B65" w:rsidP="008D1FFF">
                  <w:pPr>
                    <w:spacing w:line="276" w:lineRule="auto"/>
                    <w:jc w:val="both"/>
                    <w:rPr>
                      <w:rFonts w:asciiTheme="minorHAnsi" w:hAnsiTheme="minorHAnsi" w:cstheme="minorHAnsi"/>
                      <w:lang w:val="es-PE"/>
                    </w:rPr>
                  </w:pPr>
                </w:p>
              </w:tc>
            </w:tr>
            <w:tr w:rsidR="009F2B65" w:rsidRPr="00285D58" w14:paraId="0EE2DC2A" w14:textId="77777777" w:rsidTr="00242093">
              <w:tc>
                <w:tcPr>
                  <w:tcW w:w="1900" w:type="dxa"/>
                </w:tcPr>
                <w:p w14:paraId="59A7413C" w14:textId="77777777" w:rsidR="009F2B65" w:rsidRPr="00285D58" w:rsidRDefault="009F2B65" w:rsidP="008D1FFF">
                  <w:pPr>
                    <w:spacing w:line="276" w:lineRule="auto"/>
                    <w:jc w:val="both"/>
                    <w:rPr>
                      <w:rFonts w:asciiTheme="minorHAnsi" w:hAnsiTheme="minorHAnsi" w:cstheme="minorHAnsi"/>
                      <w:lang w:val="es-PE"/>
                    </w:rPr>
                  </w:pPr>
                </w:p>
              </w:tc>
              <w:tc>
                <w:tcPr>
                  <w:tcW w:w="2744" w:type="dxa"/>
                </w:tcPr>
                <w:p w14:paraId="007E7889" w14:textId="77777777" w:rsidR="009F2B65" w:rsidRPr="00285D58" w:rsidRDefault="009F2B65" w:rsidP="008D1FFF">
                  <w:pPr>
                    <w:spacing w:line="276" w:lineRule="auto"/>
                    <w:jc w:val="both"/>
                    <w:rPr>
                      <w:rFonts w:asciiTheme="minorHAnsi" w:hAnsiTheme="minorHAnsi" w:cstheme="minorHAnsi"/>
                      <w:lang w:val="es-PE"/>
                    </w:rPr>
                  </w:pPr>
                </w:p>
              </w:tc>
            </w:tr>
          </w:tbl>
          <w:p w14:paraId="3024FA2C" w14:textId="77777777" w:rsidR="009F2B65" w:rsidRPr="00285D58" w:rsidRDefault="009F2B65" w:rsidP="008D1FFF">
            <w:pPr>
              <w:spacing w:line="276" w:lineRule="auto"/>
              <w:ind w:left="527"/>
              <w:jc w:val="both"/>
              <w:rPr>
                <w:rFonts w:asciiTheme="minorHAnsi" w:hAnsiTheme="minorHAnsi" w:cstheme="minorHAnsi"/>
                <w:lang w:val="es-PE"/>
              </w:rPr>
            </w:pPr>
          </w:p>
          <w:p w14:paraId="159E30D5"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70C4181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 del Supervisor</w:t>
            </w:r>
          </w:p>
          <w:p w14:paraId="2DDDB943"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p w14:paraId="2E18FB5C" w14:textId="77777777" w:rsidR="009F2B65" w:rsidRPr="00285D58" w:rsidRDefault="009F2B65" w:rsidP="008D1FFF">
            <w:pPr>
              <w:spacing w:line="276" w:lineRule="auto"/>
              <w:ind w:left="527"/>
              <w:jc w:val="both"/>
              <w:rPr>
                <w:rFonts w:asciiTheme="minorHAnsi" w:hAnsiTheme="minorHAnsi" w:cstheme="minorHAnsi"/>
                <w:lang w:val="es-PE"/>
              </w:rPr>
            </w:pPr>
          </w:p>
        </w:tc>
      </w:tr>
    </w:tbl>
    <w:p w14:paraId="4CF9A782" w14:textId="77777777" w:rsidR="009F2B65" w:rsidRPr="00285D58" w:rsidRDefault="009F2B65" w:rsidP="008D1FFF">
      <w:pPr>
        <w:spacing w:line="276" w:lineRule="auto"/>
        <w:jc w:val="both"/>
        <w:rPr>
          <w:rFonts w:asciiTheme="minorHAnsi" w:hAnsiTheme="minorHAnsi" w:cstheme="minorHAnsi"/>
          <w:lang w:val="es-PE"/>
        </w:rPr>
      </w:pPr>
    </w:p>
    <w:p w14:paraId="209BF8CD" w14:textId="77777777" w:rsidR="009F2B65" w:rsidRPr="00285D58" w:rsidRDefault="009F2B65" w:rsidP="008D1FFF">
      <w:pPr>
        <w:spacing w:line="276" w:lineRule="auto"/>
        <w:jc w:val="both"/>
        <w:rPr>
          <w:rFonts w:asciiTheme="minorHAnsi" w:hAnsiTheme="minorHAnsi" w:cstheme="minorHAnsi"/>
          <w:lang w:val="es-P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201F4E98" w14:textId="77777777" w:rsidTr="00242093">
        <w:trPr>
          <w:trHeight w:val="11840"/>
        </w:trPr>
        <w:tc>
          <w:tcPr>
            <w:tcW w:w="5000" w:type="pct"/>
          </w:tcPr>
          <w:p w14:paraId="1AA48A65" w14:textId="77777777" w:rsidR="009F2B65" w:rsidRPr="00285D58" w:rsidRDefault="009F2B65" w:rsidP="008D1FFF">
            <w:pPr>
              <w:spacing w:line="276" w:lineRule="auto"/>
              <w:ind w:left="527"/>
              <w:jc w:val="both"/>
              <w:rPr>
                <w:rFonts w:asciiTheme="minorHAnsi" w:hAnsiTheme="minorHAnsi" w:cstheme="minorHAnsi"/>
                <w:lang w:val="es-PE"/>
              </w:rPr>
            </w:pPr>
          </w:p>
          <w:p w14:paraId="355E07D4"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Subsanación de Incumplimiento de Nivel de Servicio</w:t>
            </w:r>
          </w:p>
          <w:p w14:paraId="735F2043" w14:textId="77777777" w:rsidR="009F2B65" w:rsidRPr="00285D58" w:rsidRDefault="009F2B65" w:rsidP="008D1FFF">
            <w:pPr>
              <w:spacing w:line="276" w:lineRule="auto"/>
              <w:ind w:left="527"/>
              <w:jc w:val="both"/>
              <w:rPr>
                <w:rFonts w:asciiTheme="minorHAnsi" w:hAnsiTheme="minorHAnsi" w:cstheme="minorHAnsi"/>
                <w:lang w:val="es-PE"/>
              </w:rPr>
            </w:pPr>
          </w:p>
          <w:p w14:paraId="236598C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0BA326F9" w14:textId="77777777" w:rsidR="009F2B65" w:rsidRPr="00285D58" w:rsidRDefault="009F2B65" w:rsidP="008D1FFF">
            <w:pPr>
              <w:spacing w:line="276" w:lineRule="auto"/>
              <w:ind w:left="527"/>
              <w:jc w:val="both"/>
              <w:rPr>
                <w:rFonts w:asciiTheme="minorHAnsi" w:hAnsiTheme="minorHAnsi" w:cstheme="minorHAnsi"/>
                <w:lang w:val="es-PE"/>
              </w:rPr>
            </w:pPr>
          </w:p>
          <w:p w14:paraId="0D1ACAAB"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PCI N°____:</w:t>
            </w:r>
          </w:p>
          <w:p w14:paraId="57DDBC0A" w14:textId="77777777" w:rsidR="009F2B65" w:rsidRPr="00BB5F42" w:rsidRDefault="009F2B65" w:rsidP="008D1FFF">
            <w:pPr>
              <w:spacing w:line="276" w:lineRule="auto"/>
              <w:ind w:left="527"/>
              <w:jc w:val="both"/>
              <w:rPr>
                <w:rFonts w:asciiTheme="minorHAnsi" w:hAnsiTheme="minorHAnsi" w:cstheme="minorHAnsi"/>
                <w:lang w:val="pt-BR"/>
              </w:rPr>
            </w:pPr>
            <w:r w:rsidRPr="00BB5F42">
              <w:rPr>
                <w:rFonts w:asciiTheme="minorHAnsi" w:hAnsiTheme="minorHAnsi" w:cstheme="minorHAnsi"/>
                <w:lang w:val="pt-BR"/>
              </w:rPr>
              <w:t>Ref: Detección N° _____</w:t>
            </w:r>
          </w:p>
          <w:p w14:paraId="7083B521" w14:textId="77777777" w:rsidR="009F2B65" w:rsidRPr="00BB5F42" w:rsidRDefault="009F2B65" w:rsidP="008D1FFF">
            <w:pPr>
              <w:spacing w:line="276" w:lineRule="auto"/>
              <w:ind w:left="527"/>
              <w:jc w:val="both"/>
              <w:rPr>
                <w:rFonts w:asciiTheme="minorHAnsi" w:hAnsiTheme="minorHAnsi" w:cstheme="minorHAnsi"/>
                <w:lang w:val="pt-BR"/>
              </w:rPr>
            </w:pPr>
          </w:p>
          <w:p w14:paraId="07C8A99B" w14:textId="77777777" w:rsidR="009F2B65" w:rsidRPr="00BB5F42" w:rsidRDefault="009F2B65" w:rsidP="008D1FFF">
            <w:pPr>
              <w:spacing w:line="276" w:lineRule="auto"/>
              <w:ind w:left="527"/>
              <w:jc w:val="both"/>
              <w:rPr>
                <w:rFonts w:asciiTheme="minorHAnsi" w:hAnsiTheme="minorHAnsi" w:cstheme="minorHAnsi"/>
                <w:b/>
                <w:bCs/>
                <w:lang w:val="pt-BR"/>
              </w:rPr>
            </w:pPr>
            <w:r w:rsidRPr="00BB5F42">
              <w:rPr>
                <w:rFonts w:asciiTheme="minorHAnsi" w:hAnsiTheme="minorHAnsi" w:cstheme="minorHAnsi"/>
                <w:b/>
                <w:bCs/>
                <w:lang w:val="pt-BR"/>
              </w:rPr>
              <w:t>Sr. Supervisor:</w:t>
            </w:r>
          </w:p>
          <w:p w14:paraId="381F411A" w14:textId="77777777" w:rsidR="009F2B65" w:rsidRPr="00BB5F42" w:rsidRDefault="009F2B65" w:rsidP="008D1FFF">
            <w:pPr>
              <w:spacing w:line="276" w:lineRule="auto"/>
              <w:ind w:left="527"/>
              <w:jc w:val="both"/>
              <w:rPr>
                <w:rFonts w:asciiTheme="minorHAnsi" w:hAnsiTheme="minorHAnsi" w:cstheme="minorHAnsi"/>
                <w:lang w:val="pt-BR"/>
              </w:rPr>
            </w:pPr>
          </w:p>
          <w:p w14:paraId="22115937"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indicado en la Notificación de Incumplimiento del Nivel de Servicio N°_____ </w:t>
            </w:r>
          </w:p>
          <w:p w14:paraId="0E98537F"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se comunica lo siguiente:</w:t>
            </w:r>
          </w:p>
          <w:p w14:paraId="04C7F1AD"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Se han realizado las tareas necesarias para subsanar los defectos de acuerdo al siguiente detalle:</w:t>
            </w:r>
          </w:p>
          <w:p w14:paraId="058F38B7" w14:textId="77777777" w:rsidR="009F2B65" w:rsidRPr="00285D58" w:rsidRDefault="009F2B65" w:rsidP="008D1FFF">
            <w:pPr>
              <w:spacing w:line="276" w:lineRule="auto"/>
              <w:ind w:left="527"/>
              <w:jc w:val="both"/>
              <w:rPr>
                <w:rFonts w:asciiTheme="minorHAnsi" w:hAnsiTheme="minorHAnsi" w:cstheme="minorHAnsi"/>
                <w:lang w:val="es-PE"/>
              </w:rPr>
            </w:pPr>
          </w:p>
          <w:p w14:paraId="627F872A" w14:textId="77777777" w:rsidR="009F2B65" w:rsidRPr="00285D58" w:rsidRDefault="009F2B65" w:rsidP="008D1FFF">
            <w:pPr>
              <w:spacing w:line="276" w:lineRule="auto"/>
              <w:ind w:left="527"/>
              <w:jc w:val="both"/>
              <w:rPr>
                <w:rFonts w:asciiTheme="minorHAnsi" w:hAnsiTheme="minorHAnsi" w:cstheme="minorHAnsi"/>
                <w:lang w:val="es-PE"/>
              </w:rPr>
            </w:pPr>
          </w:p>
          <w:p w14:paraId="5171496C" w14:textId="77777777" w:rsidR="009F2B65" w:rsidRPr="00285D58" w:rsidRDefault="009F2B65" w:rsidP="008D1FFF">
            <w:pPr>
              <w:spacing w:line="276" w:lineRule="auto"/>
              <w:ind w:left="527"/>
              <w:jc w:val="both"/>
              <w:rPr>
                <w:rFonts w:asciiTheme="minorHAnsi" w:hAnsiTheme="minorHAnsi" w:cstheme="minorHAnsi"/>
                <w:lang w:val="es-PE"/>
              </w:rPr>
            </w:pPr>
          </w:p>
          <w:p w14:paraId="021A950C" w14:textId="77777777" w:rsidR="009F2B65" w:rsidRPr="00285D58" w:rsidRDefault="009F2B65" w:rsidP="008D1FFF">
            <w:pPr>
              <w:spacing w:line="276" w:lineRule="auto"/>
              <w:ind w:left="527"/>
              <w:jc w:val="both"/>
              <w:rPr>
                <w:rFonts w:asciiTheme="minorHAnsi" w:hAnsiTheme="minorHAnsi" w:cstheme="minorHAnsi"/>
                <w:lang w:val="es-PE"/>
              </w:rPr>
            </w:pPr>
          </w:p>
          <w:p w14:paraId="50D4948C"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065398A1" w14:textId="77777777" w:rsidR="009F2B65" w:rsidRPr="00285D58" w:rsidRDefault="009F2B65" w:rsidP="008D1FFF">
            <w:pPr>
              <w:spacing w:line="276" w:lineRule="auto"/>
              <w:ind w:left="527"/>
              <w:jc w:val="both"/>
              <w:rPr>
                <w:rFonts w:asciiTheme="minorHAnsi" w:hAnsiTheme="minorHAnsi" w:cstheme="minorHAnsi"/>
                <w:lang w:val="es-PE"/>
              </w:rPr>
            </w:pPr>
          </w:p>
          <w:p w14:paraId="501313D5" w14:textId="77777777" w:rsidR="009F2B65" w:rsidRPr="00285D58" w:rsidRDefault="009F2B65" w:rsidP="008D1FFF">
            <w:pPr>
              <w:spacing w:line="276" w:lineRule="auto"/>
              <w:ind w:left="527"/>
              <w:jc w:val="both"/>
              <w:rPr>
                <w:rFonts w:asciiTheme="minorHAnsi" w:hAnsiTheme="minorHAnsi" w:cstheme="minorHAnsi"/>
                <w:lang w:val="es-PE"/>
              </w:rPr>
            </w:pPr>
          </w:p>
          <w:p w14:paraId="06ECA6D4" w14:textId="77777777" w:rsidR="009F2B65" w:rsidRPr="00285D58" w:rsidRDefault="009F2B65" w:rsidP="008D1FFF">
            <w:pPr>
              <w:spacing w:line="276" w:lineRule="auto"/>
              <w:ind w:left="527"/>
              <w:jc w:val="both"/>
              <w:rPr>
                <w:rFonts w:asciiTheme="minorHAnsi" w:hAnsiTheme="minorHAnsi" w:cstheme="minorHAnsi"/>
                <w:lang w:val="es-PE"/>
              </w:rPr>
            </w:pPr>
          </w:p>
          <w:p w14:paraId="3FC8BB54"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w:t>
            </w:r>
          </w:p>
          <w:p w14:paraId="12C754B8"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CONCESIONARIO</w:t>
            </w:r>
          </w:p>
          <w:p w14:paraId="0409CA19" w14:textId="77777777" w:rsidR="009F2B65" w:rsidRPr="00285D58" w:rsidRDefault="009F2B65" w:rsidP="008D1FFF">
            <w:pPr>
              <w:spacing w:line="276" w:lineRule="auto"/>
              <w:ind w:left="527"/>
              <w:jc w:val="both"/>
              <w:rPr>
                <w:rFonts w:asciiTheme="minorHAnsi" w:hAnsiTheme="minorHAnsi" w:cstheme="minorHAnsi"/>
                <w:lang w:val="es-PE"/>
              </w:rPr>
            </w:pPr>
          </w:p>
          <w:p w14:paraId="069ADDDA"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p w14:paraId="7E3DB395" w14:textId="77777777" w:rsidR="009F2B65" w:rsidRPr="00285D58" w:rsidRDefault="009F2B65" w:rsidP="008D1FFF">
            <w:pPr>
              <w:spacing w:line="276" w:lineRule="auto"/>
              <w:ind w:left="527"/>
              <w:jc w:val="both"/>
              <w:rPr>
                <w:rFonts w:asciiTheme="minorHAnsi" w:hAnsiTheme="minorHAnsi" w:cstheme="minorHAnsi"/>
                <w:lang w:val="es-PE"/>
              </w:rPr>
            </w:pPr>
          </w:p>
        </w:tc>
      </w:tr>
    </w:tbl>
    <w:p w14:paraId="6C16F39C" w14:textId="77777777" w:rsidR="009F2B65" w:rsidRPr="00285D58" w:rsidRDefault="009F2B65" w:rsidP="008D1FFF">
      <w:pPr>
        <w:spacing w:line="276" w:lineRule="auto"/>
        <w:jc w:val="both"/>
        <w:rPr>
          <w:rFonts w:asciiTheme="minorHAnsi" w:hAnsiTheme="minorHAnsi" w:cstheme="minorHAnsi"/>
          <w:lang w:val="es-PE"/>
        </w:rPr>
      </w:pPr>
    </w:p>
    <w:p w14:paraId="478C9212" w14:textId="77777777" w:rsidR="009F2B65" w:rsidRPr="00285D58" w:rsidRDefault="009F2B65" w:rsidP="008D1FFF">
      <w:pPr>
        <w:spacing w:line="276" w:lineRule="auto"/>
        <w:jc w:val="both"/>
        <w:rPr>
          <w:rFonts w:asciiTheme="minorHAnsi" w:hAnsiTheme="minorHAnsi" w:cstheme="minorHAnsi"/>
          <w:lang w:val="es-PE"/>
        </w:rPr>
      </w:pPr>
    </w:p>
    <w:p w14:paraId="76CC93AD" w14:textId="77777777" w:rsidR="009F2B65" w:rsidRPr="00285D58" w:rsidRDefault="009F2B65" w:rsidP="008D1FFF">
      <w:pPr>
        <w:spacing w:line="276" w:lineRule="auto"/>
        <w:jc w:val="both"/>
        <w:rPr>
          <w:rFonts w:asciiTheme="minorHAnsi" w:hAnsiTheme="minorHAnsi" w:cstheme="minorHAnsi"/>
          <w:lang w:val="es-P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28"/>
      </w:tblGrid>
      <w:tr w:rsidR="009F2B65" w:rsidRPr="00285D58" w14:paraId="1300B815" w14:textId="77777777" w:rsidTr="00242093">
        <w:trPr>
          <w:trHeight w:val="12168"/>
        </w:trPr>
        <w:tc>
          <w:tcPr>
            <w:tcW w:w="5000" w:type="pct"/>
          </w:tcPr>
          <w:p w14:paraId="214A5D91" w14:textId="77777777" w:rsidR="009F2B65" w:rsidRPr="00285D58" w:rsidRDefault="009F2B65" w:rsidP="008D1FFF">
            <w:pPr>
              <w:spacing w:line="276" w:lineRule="auto"/>
              <w:ind w:left="527"/>
              <w:jc w:val="both"/>
              <w:rPr>
                <w:rFonts w:asciiTheme="minorHAnsi" w:hAnsiTheme="minorHAnsi" w:cstheme="minorHAnsi"/>
                <w:lang w:val="es-PE"/>
              </w:rPr>
            </w:pPr>
          </w:p>
          <w:p w14:paraId="3CF4581F"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Notificación de Verificación de Subsanación de Incumplimiento de Nivel de Servicio</w:t>
            </w:r>
          </w:p>
          <w:p w14:paraId="04E56BF1" w14:textId="77777777" w:rsidR="009F2B65" w:rsidRPr="00285D58" w:rsidRDefault="009F2B65" w:rsidP="008D1FFF">
            <w:pPr>
              <w:spacing w:line="276" w:lineRule="auto"/>
              <w:ind w:left="527"/>
              <w:jc w:val="both"/>
              <w:rPr>
                <w:rFonts w:asciiTheme="minorHAnsi" w:hAnsiTheme="minorHAnsi" w:cstheme="minorHAnsi"/>
                <w:lang w:val="es-PE"/>
              </w:rPr>
            </w:pPr>
          </w:p>
          <w:p w14:paraId="706AA562"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Lugar:</w:t>
            </w:r>
            <w:r w:rsidRPr="00285D58">
              <w:rPr>
                <w:rFonts w:asciiTheme="minorHAnsi" w:hAnsiTheme="minorHAnsi" w:cstheme="minorHAnsi"/>
                <w:lang w:val="es-PE"/>
              </w:rPr>
              <w:br/>
              <w:t>Fecha:</w:t>
            </w:r>
          </w:p>
          <w:p w14:paraId="4657A094" w14:textId="77777777" w:rsidR="009F2B65" w:rsidRPr="00285D58" w:rsidRDefault="009F2B65" w:rsidP="008D1FFF">
            <w:pPr>
              <w:spacing w:line="276" w:lineRule="auto"/>
              <w:ind w:left="527"/>
              <w:jc w:val="both"/>
              <w:rPr>
                <w:rFonts w:asciiTheme="minorHAnsi" w:hAnsiTheme="minorHAnsi" w:cstheme="minorHAnsi"/>
                <w:lang w:val="es-PE"/>
              </w:rPr>
            </w:pPr>
          </w:p>
          <w:p w14:paraId="2AB830E6"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Notificación de Incumplimiento de Nivel de Servicio N°____:</w:t>
            </w:r>
          </w:p>
          <w:p w14:paraId="7738A6F1" w14:textId="77777777" w:rsidR="009F2B65" w:rsidRPr="00285D58" w:rsidRDefault="009F2B65" w:rsidP="008D1FFF">
            <w:pPr>
              <w:spacing w:line="276" w:lineRule="auto"/>
              <w:ind w:left="527"/>
              <w:jc w:val="both"/>
              <w:rPr>
                <w:rFonts w:asciiTheme="minorHAnsi" w:hAnsiTheme="minorHAnsi" w:cstheme="minorHAnsi"/>
                <w:lang w:val="es-PE"/>
              </w:rPr>
            </w:pPr>
          </w:p>
          <w:p w14:paraId="53695F04" w14:textId="77777777" w:rsidR="009F2B65" w:rsidRPr="00285D58" w:rsidRDefault="009F2B65" w:rsidP="008D1FFF">
            <w:pPr>
              <w:spacing w:line="276" w:lineRule="auto"/>
              <w:ind w:left="527"/>
              <w:jc w:val="both"/>
              <w:rPr>
                <w:rFonts w:asciiTheme="minorHAnsi" w:hAnsiTheme="minorHAnsi" w:cstheme="minorHAnsi"/>
                <w:b/>
                <w:bCs/>
                <w:lang w:val="es-PE"/>
              </w:rPr>
            </w:pPr>
            <w:r w:rsidRPr="00285D58">
              <w:rPr>
                <w:rFonts w:asciiTheme="minorHAnsi" w:hAnsiTheme="minorHAnsi" w:cstheme="minorHAnsi"/>
                <w:b/>
                <w:bCs/>
                <w:lang w:val="es-PE"/>
              </w:rPr>
              <w:t>Sres. de (nombre del CONCESIONARIO):</w:t>
            </w:r>
          </w:p>
          <w:p w14:paraId="0C6EF2D9" w14:textId="14040FF4"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De acuerdo a lo establecido en el </w:t>
            </w:r>
            <w:r w:rsidR="003B582D" w:rsidRPr="00285D58">
              <w:rPr>
                <w:rFonts w:asciiTheme="minorHAnsi" w:hAnsiTheme="minorHAnsi" w:cstheme="minorHAnsi"/>
                <w:lang w:val="es-PE"/>
              </w:rPr>
              <w:t xml:space="preserve">Anexo </w:t>
            </w:r>
            <w:r w:rsidRPr="00285D58">
              <w:rPr>
                <w:rFonts w:asciiTheme="minorHAnsi" w:hAnsiTheme="minorHAnsi" w:cstheme="minorHAnsi"/>
                <w:lang w:val="es-PE"/>
              </w:rPr>
              <w:t>09 del Contrato de Concesión, se comunica que se ha cumplido con subsanar los defectos identificados en la Notificación de Incumplimiento de Nivel de Servicio N°________ para los siguientes casos:</w:t>
            </w:r>
          </w:p>
          <w:p w14:paraId="176732DF" w14:textId="77777777" w:rsidR="009F2B65" w:rsidRPr="00285D58" w:rsidRDefault="009F2B65" w:rsidP="008D1FFF">
            <w:pPr>
              <w:spacing w:line="276" w:lineRule="auto"/>
              <w:ind w:left="527"/>
              <w:jc w:val="both"/>
              <w:rPr>
                <w:rFonts w:asciiTheme="minorHAnsi" w:hAnsiTheme="minorHAnsi" w:cstheme="minorHAnsi"/>
                <w:lang w:val="es-PE"/>
              </w:rPr>
            </w:pPr>
          </w:p>
          <w:p w14:paraId="6D1745CA"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p w14:paraId="30DD39BD" w14:textId="77777777" w:rsidR="009F2B65" w:rsidRPr="00285D58" w:rsidRDefault="009F2B65" w:rsidP="008D1FFF">
            <w:pPr>
              <w:spacing w:line="276" w:lineRule="auto"/>
              <w:ind w:left="527"/>
              <w:jc w:val="both"/>
              <w:rPr>
                <w:rFonts w:asciiTheme="minorHAnsi" w:hAnsiTheme="minorHAnsi" w:cstheme="minorHAnsi"/>
                <w:lang w:val="es-PE"/>
              </w:rPr>
            </w:pP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11D97AED" w14:textId="77777777" w:rsidTr="00242093">
              <w:trPr>
                <w:trHeight w:val="433"/>
              </w:trPr>
              <w:tc>
                <w:tcPr>
                  <w:tcW w:w="1783" w:type="dxa"/>
                </w:tcPr>
                <w:p w14:paraId="31FCDC1B"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830" w:type="dxa"/>
                </w:tcPr>
                <w:p w14:paraId="4C94C67C"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793" w:type="dxa"/>
                </w:tcPr>
                <w:p w14:paraId="028F524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793" w:type="dxa"/>
                </w:tcPr>
                <w:p w14:paraId="4F531480"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810" w:type="dxa"/>
                </w:tcPr>
                <w:p w14:paraId="414655A2"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424FFE3E"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2FB4DD77" w14:textId="77777777" w:rsidTr="00242093">
              <w:trPr>
                <w:trHeight w:val="63"/>
              </w:trPr>
              <w:tc>
                <w:tcPr>
                  <w:tcW w:w="1783" w:type="dxa"/>
                </w:tcPr>
                <w:p w14:paraId="5F4D86E0" w14:textId="77777777" w:rsidR="009F2B65" w:rsidRPr="00285D58" w:rsidRDefault="009F2B65" w:rsidP="008D1FFF">
                  <w:pPr>
                    <w:spacing w:line="276" w:lineRule="auto"/>
                    <w:jc w:val="both"/>
                    <w:rPr>
                      <w:rFonts w:asciiTheme="minorHAnsi" w:hAnsiTheme="minorHAnsi" w:cstheme="minorHAnsi"/>
                      <w:lang w:val="es-PE"/>
                    </w:rPr>
                  </w:pPr>
                </w:p>
              </w:tc>
              <w:tc>
                <w:tcPr>
                  <w:tcW w:w="1830" w:type="dxa"/>
                </w:tcPr>
                <w:p w14:paraId="3C3C22BB" w14:textId="77777777" w:rsidR="009F2B65" w:rsidRPr="00285D58" w:rsidRDefault="009F2B65" w:rsidP="008D1FFF">
                  <w:pPr>
                    <w:spacing w:line="276" w:lineRule="auto"/>
                    <w:jc w:val="both"/>
                    <w:rPr>
                      <w:rFonts w:asciiTheme="minorHAnsi" w:hAnsiTheme="minorHAnsi" w:cstheme="minorHAnsi"/>
                      <w:lang w:val="es-PE"/>
                    </w:rPr>
                  </w:pPr>
                </w:p>
              </w:tc>
              <w:tc>
                <w:tcPr>
                  <w:tcW w:w="1793" w:type="dxa"/>
                </w:tcPr>
                <w:p w14:paraId="6A0D343A" w14:textId="77777777" w:rsidR="009F2B65" w:rsidRPr="00285D58" w:rsidRDefault="009F2B65" w:rsidP="008D1FFF">
                  <w:pPr>
                    <w:spacing w:line="276" w:lineRule="auto"/>
                    <w:jc w:val="both"/>
                    <w:rPr>
                      <w:rFonts w:asciiTheme="minorHAnsi" w:hAnsiTheme="minorHAnsi" w:cstheme="minorHAnsi"/>
                      <w:lang w:val="es-PE"/>
                    </w:rPr>
                  </w:pPr>
                </w:p>
              </w:tc>
              <w:tc>
                <w:tcPr>
                  <w:tcW w:w="1793" w:type="dxa"/>
                </w:tcPr>
                <w:p w14:paraId="17997C2D" w14:textId="77777777" w:rsidR="009F2B65" w:rsidRPr="00285D58" w:rsidRDefault="009F2B65" w:rsidP="008D1FFF">
                  <w:pPr>
                    <w:spacing w:line="276" w:lineRule="auto"/>
                    <w:jc w:val="both"/>
                    <w:rPr>
                      <w:rFonts w:asciiTheme="minorHAnsi" w:hAnsiTheme="minorHAnsi" w:cstheme="minorHAnsi"/>
                      <w:lang w:val="es-PE"/>
                    </w:rPr>
                  </w:pPr>
                </w:p>
              </w:tc>
              <w:tc>
                <w:tcPr>
                  <w:tcW w:w="1810" w:type="dxa"/>
                </w:tcPr>
                <w:p w14:paraId="763D7B6C" w14:textId="77777777" w:rsidR="009F2B65" w:rsidRPr="00285D58" w:rsidRDefault="009F2B65" w:rsidP="008D1FFF">
                  <w:pPr>
                    <w:spacing w:line="276" w:lineRule="auto"/>
                    <w:jc w:val="both"/>
                    <w:rPr>
                      <w:rFonts w:asciiTheme="minorHAnsi" w:hAnsiTheme="minorHAnsi" w:cstheme="minorHAnsi"/>
                      <w:lang w:val="es-PE"/>
                    </w:rPr>
                  </w:pPr>
                </w:p>
              </w:tc>
            </w:tr>
          </w:tbl>
          <w:p w14:paraId="48A0E231" w14:textId="77777777" w:rsidR="009F2B65" w:rsidRPr="00285D58" w:rsidRDefault="009F2B65" w:rsidP="008D1FFF">
            <w:pPr>
              <w:spacing w:line="276" w:lineRule="auto"/>
              <w:ind w:left="527"/>
              <w:jc w:val="both"/>
              <w:rPr>
                <w:rFonts w:asciiTheme="minorHAnsi" w:hAnsiTheme="minorHAnsi" w:cstheme="minorHAnsi"/>
                <w:lang w:val="es-PE"/>
              </w:rPr>
            </w:pPr>
          </w:p>
          <w:p w14:paraId="5F1241F9" w14:textId="7AE4C38D"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Por otro lado, de acuerdo a lo establecido en el A</w:t>
            </w:r>
            <w:r w:rsidR="003B582D" w:rsidRPr="00285D58">
              <w:rPr>
                <w:rFonts w:asciiTheme="minorHAnsi" w:hAnsiTheme="minorHAnsi" w:cstheme="minorHAnsi"/>
                <w:lang w:val="es-PE"/>
              </w:rPr>
              <w:t>nexo</w:t>
            </w:r>
            <w:r w:rsidRPr="00285D58">
              <w:rPr>
                <w:rFonts w:asciiTheme="minorHAnsi" w:hAnsiTheme="minorHAnsi" w:cstheme="minorHAnsi"/>
                <w:lang w:val="es-PE"/>
              </w:rPr>
              <w:t xml:space="preserve"> 09 del Contrato de Concesión, se comunica que no se ha cumplido con subsanar los defectos establecidos en la Notificación de Incumplimiento de Nivel de Servicio N°_____.</w:t>
            </w:r>
          </w:p>
          <w:p w14:paraId="5A79D4EF"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 xml:space="preserve"> </w:t>
            </w:r>
          </w:p>
          <w:p w14:paraId="0EEAA8BF" w14:textId="77777777" w:rsidR="009F2B65" w:rsidRPr="00285D58" w:rsidRDefault="009F2B65" w:rsidP="008D1FFF">
            <w:pPr>
              <w:spacing w:line="276" w:lineRule="auto"/>
              <w:ind w:left="527"/>
              <w:jc w:val="both"/>
              <w:rPr>
                <w:rFonts w:asciiTheme="minorHAnsi" w:hAnsiTheme="minorHAnsi" w:cstheme="minorHAnsi"/>
                <w:b/>
                <w:bCs/>
                <w:u w:val="single"/>
                <w:lang w:val="es-PE"/>
              </w:rPr>
            </w:pPr>
            <w:r w:rsidRPr="00285D58">
              <w:rPr>
                <w:rFonts w:asciiTheme="minorHAnsi" w:hAnsiTheme="minorHAnsi" w:cstheme="minorHAnsi"/>
                <w:b/>
                <w:bCs/>
                <w:u w:val="single"/>
                <w:lang w:val="es-PE"/>
              </w:rPr>
              <w:t>Nivel de Servicio involucrado:</w:t>
            </w:r>
          </w:p>
          <w:tbl>
            <w:tblPr>
              <w:tblStyle w:val="Tablaconcuadrcula"/>
              <w:tblW w:w="0" w:type="auto"/>
              <w:tblInd w:w="414" w:type="dxa"/>
              <w:tblLook w:val="04A0" w:firstRow="1" w:lastRow="0" w:firstColumn="1" w:lastColumn="0" w:noHBand="0" w:noVBand="1"/>
            </w:tblPr>
            <w:tblGrid>
              <w:gridCol w:w="1605"/>
              <w:gridCol w:w="1724"/>
              <w:gridCol w:w="1631"/>
              <w:gridCol w:w="1631"/>
              <w:gridCol w:w="1673"/>
            </w:tblGrid>
            <w:tr w:rsidR="009F2B65" w:rsidRPr="00285D58" w14:paraId="64409A6D" w14:textId="77777777" w:rsidTr="00242093">
              <w:trPr>
                <w:trHeight w:val="433"/>
              </w:trPr>
              <w:tc>
                <w:tcPr>
                  <w:tcW w:w="1605" w:type="dxa"/>
                </w:tcPr>
                <w:p w14:paraId="5B586BA5"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Ítem</w:t>
                  </w:r>
                </w:p>
              </w:tc>
              <w:tc>
                <w:tcPr>
                  <w:tcW w:w="1724" w:type="dxa"/>
                </w:tcPr>
                <w:p w14:paraId="6A2684FC"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Valor detectado</w:t>
                  </w:r>
                </w:p>
              </w:tc>
              <w:tc>
                <w:tcPr>
                  <w:tcW w:w="1631" w:type="dxa"/>
                </w:tcPr>
                <w:p w14:paraId="62C8B4E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inicio</w:t>
                  </w:r>
                </w:p>
              </w:tc>
              <w:tc>
                <w:tcPr>
                  <w:tcW w:w="1631" w:type="dxa"/>
                </w:tcPr>
                <w:p w14:paraId="48D0D75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Fecha fin</w:t>
                  </w:r>
                </w:p>
              </w:tc>
              <w:tc>
                <w:tcPr>
                  <w:tcW w:w="1673" w:type="dxa"/>
                </w:tcPr>
                <w:p w14:paraId="0EE1DAC8"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Periodo </w:t>
                  </w:r>
                </w:p>
                <w:p w14:paraId="0992EAA6" w14:textId="77777777" w:rsidR="009F2B65" w:rsidRPr="00285D58" w:rsidRDefault="009F2B65" w:rsidP="008D1FFF">
                  <w:pPr>
                    <w:spacing w:line="276" w:lineRule="auto"/>
                    <w:jc w:val="both"/>
                    <w:rPr>
                      <w:rFonts w:asciiTheme="minorHAnsi" w:hAnsiTheme="minorHAnsi" w:cstheme="minorHAnsi"/>
                      <w:b/>
                      <w:bCs/>
                      <w:lang w:val="es-PE"/>
                    </w:rPr>
                  </w:pPr>
                  <w:r w:rsidRPr="00285D58">
                    <w:rPr>
                      <w:rFonts w:asciiTheme="minorHAnsi" w:hAnsiTheme="minorHAnsi" w:cstheme="minorHAnsi"/>
                      <w:b/>
                      <w:bCs/>
                      <w:lang w:val="es-PE"/>
                    </w:rPr>
                    <w:t xml:space="preserve">(días u horas) </w:t>
                  </w:r>
                </w:p>
              </w:tc>
            </w:tr>
            <w:tr w:rsidR="009F2B65" w:rsidRPr="00285D58" w14:paraId="6FC2B25A" w14:textId="77777777" w:rsidTr="00242093">
              <w:trPr>
                <w:trHeight w:val="63"/>
              </w:trPr>
              <w:tc>
                <w:tcPr>
                  <w:tcW w:w="1605" w:type="dxa"/>
                </w:tcPr>
                <w:p w14:paraId="1D712350" w14:textId="77777777" w:rsidR="009F2B65" w:rsidRPr="00285D58" w:rsidRDefault="009F2B65" w:rsidP="008D1FFF">
                  <w:pPr>
                    <w:spacing w:line="276" w:lineRule="auto"/>
                    <w:jc w:val="both"/>
                    <w:rPr>
                      <w:rFonts w:asciiTheme="minorHAnsi" w:hAnsiTheme="minorHAnsi" w:cstheme="minorHAnsi"/>
                      <w:lang w:val="es-PE"/>
                    </w:rPr>
                  </w:pPr>
                </w:p>
              </w:tc>
              <w:tc>
                <w:tcPr>
                  <w:tcW w:w="1724" w:type="dxa"/>
                </w:tcPr>
                <w:p w14:paraId="18647421"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0C7D514" w14:textId="77777777" w:rsidR="009F2B65" w:rsidRPr="00285D58" w:rsidRDefault="009F2B65" w:rsidP="008D1FFF">
                  <w:pPr>
                    <w:spacing w:line="276" w:lineRule="auto"/>
                    <w:jc w:val="both"/>
                    <w:rPr>
                      <w:rFonts w:asciiTheme="minorHAnsi" w:hAnsiTheme="minorHAnsi" w:cstheme="minorHAnsi"/>
                      <w:lang w:val="es-PE"/>
                    </w:rPr>
                  </w:pPr>
                </w:p>
              </w:tc>
              <w:tc>
                <w:tcPr>
                  <w:tcW w:w="1631" w:type="dxa"/>
                </w:tcPr>
                <w:p w14:paraId="6D4637DB" w14:textId="77777777" w:rsidR="009F2B65" w:rsidRPr="00285D58" w:rsidRDefault="009F2B65" w:rsidP="008D1FFF">
                  <w:pPr>
                    <w:spacing w:line="276" w:lineRule="auto"/>
                    <w:jc w:val="both"/>
                    <w:rPr>
                      <w:rFonts w:asciiTheme="minorHAnsi" w:hAnsiTheme="minorHAnsi" w:cstheme="minorHAnsi"/>
                      <w:lang w:val="es-PE"/>
                    </w:rPr>
                  </w:pPr>
                </w:p>
              </w:tc>
              <w:tc>
                <w:tcPr>
                  <w:tcW w:w="1673" w:type="dxa"/>
                </w:tcPr>
                <w:p w14:paraId="39D9B35C" w14:textId="77777777" w:rsidR="009F2B65" w:rsidRPr="00285D58" w:rsidRDefault="009F2B65" w:rsidP="008D1FFF">
                  <w:pPr>
                    <w:spacing w:line="276" w:lineRule="auto"/>
                    <w:jc w:val="both"/>
                    <w:rPr>
                      <w:rFonts w:asciiTheme="minorHAnsi" w:hAnsiTheme="minorHAnsi" w:cstheme="minorHAnsi"/>
                      <w:lang w:val="es-PE"/>
                    </w:rPr>
                  </w:pPr>
                </w:p>
              </w:tc>
            </w:tr>
          </w:tbl>
          <w:p w14:paraId="1B41100C" w14:textId="77777777" w:rsidR="009F2B65" w:rsidRPr="00285D58" w:rsidRDefault="009F2B65" w:rsidP="008D1FFF">
            <w:pPr>
              <w:spacing w:line="276" w:lineRule="auto"/>
              <w:ind w:left="527"/>
              <w:jc w:val="both"/>
              <w:rPr>
                <w:rFonts w:asciiTheme="minorHAnsi" w:hAnsiTheme="minorHAnsi" w:cstheme="minorHAnsi"/>
                <w:lang w:val="es-PE"/>
              </w:rPr>
            </w:pPr>
          </w:p>
          <w:p w14:paraId="2A115ED3"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Sin otro particular los saluda atentamente.</w:t>
            </w:r>
          </w:p>
          <w:p w14:paraId="776F7C8C"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Firma del Supervisor</w:t>
            </w:r>
          </w:p>
          <w:p w14:paraId="0B09F409" w14:textId="77777777" w:rsidR="009F2B65" w:rsidRPr="00285D58" w:rsidRDefault="009F2B65" w:rsidP="008D1FFF">
            <w:pPr>
              <w:spacing w:line="276" w:lineRule="auto"/>
              <w:ind w:left="527"/>
              <w:jc w:val="both"/>
              <w:rPr>
                <w:rFonts w:asciiTheme="minorHAnsi" w:hAnsiTheme="minorHAnsi" w:cstheme="minorHAnsi"/>
                <w:lang w:val="es-PE"/>
              </w:rPr>
            </w:pPr>
          </w:p>
          <w:p w14:paraId="17E3A369" w14:textId="77777777" w:rsidR="009F2B65" w:rsidRPr="00285D58" w:rsidRDefault="009F2B65" w:rsidP="008D1FFF">
            <w:pPr>
              <w:spacing w:line="276" w:lineRule="auto"/>
              <w:ind w:left="527"/>
              <w:jc w:val="both"/>
              <w:rPr>
                <w:rFonts w:asciiTheme="minorHAnsi" w:hAnsiTheme="minorHAnsi" w:cstheme="minorHAnsi"/>
                <w:lang w:val="es-PE"/>
              </w:rPr>
            </w:pPr>
            <w:r w:rsidRPr="00285D58">
              <w:rPr>
                <w:rFonts w:asciiTheme="minorHAnsi" w:hAnsiTheme="minorHAnsi" w:cstheme="minorHAnsi"/>
                <w:lang w:val="es-PE"/>
              </w:rPr>
              <w:t>Cc: CONCEDENTE</w:t>
            </w:r>
          </w:p>
        </w:tc>
      </w:tr>
    </w:tbl>
    <w:p w14:paraId="1DA2B54E" w14:textId="5ACE63E2" w:rsidR="00285D58" w:rsidRDefault="00285D58" w:rsidP="008D1FFF">
      <w:pPr>
        <w:spacing w:line="276" w:lineRule="auto"/>
        <w:jc w:val="both"/>
        <w:rPr>
          <w:rFonts w:asciiTheme="minorHAnsi" w:hAnsiTheme="minorHAnsi" w:cstheme="minorHAnsi"/>
          <w:color w:val="C45911"/>
        </w:rPr>
      </w:pPr>
    </w:p>
    <w:p w14:paraId="3ADAC917" w14:textId="77777777" w:rsidR="00285D58" w:rsidRDefault="00285D58">
      <w:pPr>
        <w:rPr>
          <w:rFonts w:asciiTheme="minorHAnsi" w:hAnsiTheme="minorHAnsi" w:cstheme="minorHAnsi"/>
          <w:color w:val="C45911"/>
        </w:rPr>
      </w:pPr>
      <w:r>
        <w:rPr>
          <w:rFonts w:asciiTheme="minorHAnsi" w:hAnsiTheme="minorHAnsi" w:cstheme="minorHAnsi"/>
          <w:color w:val="C45911"/>
        </w:rPr>
        <w:br w:type="page"/>
      </w:r>
    </w:p>
    <w:p w14:paraId="76615816" w14:textId="79D0F73F" w:rsidR="00285D58" w:rsidRPr="00996684" w:rsidRDefault="00285D58" w:rsidP="00285D58">
      <w:pPr>
        <w:pStyle w:val="Ttulo2"/>
        <w:spacing w:before="1" w:line="276" w:lineRule="auto"/>
        <w:jc w:val="both"/>
        <w:rPr>
          <w:rFonts w:ascii="Calibri" w:eastAsia="Arial" w:hAnsi="Calibri" w:cs="Calibri"/>
          <w:b/>
          <w:color w:val="1F4E79" w:themeColor="accent5" w:themeShade="80"/>
          <w:sz w:val="22"/>
          <w:szCs w:val="22"/>
          <w:lang w:val="es-PE"/>
        </w:rPr>
      </w:pPr>
      <w:bookmarkStart w:id="259" w:name="_Toc193979292"/>
      <w:r w:rsidRPr="00996684">
        <w:rPr>
          <w:rFonts w:ascii="Calibri" w:eastAsia="Arial" w:hAnsi="Calibri" w:cs="Calibri"/>
          <w:b/>
          <w:color w:val="1F4E79" w:themeColor="accent5" w:themeShade="80"/>
          <w:sz w:val="22"/>
          <w:szCs w:val="22"/>
          <w:lang w:val="es-PE"/>
        </w:rPr>
        <w:lastRenderedPageBreak/>
        <w:t>ANEXO 09 - APÉNDICE 5: PRESTACI</w:t>
      </w:r>
      <w:r w:rsidR="0007066B">
        <w:rPr>
          <w:rFonts w:ascii="Calibri" w:eastAsia="Arial" w:hAnsi="Calibri" w:cs="Calibri"/>
          <w:b/>
          <w:color w:val="1F4E79" w:themeColor="accent5" w:themeShade="80"/>
          <w:sz w:val="22"/>
          <w:szCs w:val="22"/>
          <w:lang w:val="es-PE"/>
        </w:rPr>
        <w:t>ONES</w:t>
      </w:r>
      <w:r w:rsidRPr="00996684">
        <w:rPr>
          <w:rFonts w:ascii="Calibri" w:eastAsia="Arial" w:hAnsi="Calibri" w:cs="Calibri"/>
          <w:b/>
          <w:color w:val="1F4E79" w:themeColor="accent5" w:themeShade="80"/>
          <w:sz w:val="22"/>
          <w:szCs w:val="22"/>
          <w:lang w:val="es-PE"/>
        </w:rPr>
        <w:t xml:space="preserve"> DE SERVICIOS EN CASO DE SUSPENSIÓN DE</w:t>
      </w:r>
      <w:r>
        <w:rPr>
          <w:rFonts w:ascii="Calibri" w:eastAsia="Arial" w:hAnsi="Calibri" w:cs="Calibri"/>
          <w:b/>
          <w:color w:val="1F4E79" w:themeColor="accent5" w:themeShade="80"/>
          <w:sz w:val="22"/>
          <w:szCs w:val="22"/>
          <w:lang w:val="es-PE"/>
        </w:rPr>
        <w:t xml:space="preserve"> LA CONCESIÓN</w:t>
      </w:r>
      <w:bookmarkEnd w:id="259"/>
      <w:r w:rsidRPr="00996684">
        <w:rPr>
          <w:rFonts w:ascii="Calibri" w:eastAsia="Arial" w:hAnsi="Calibri" w:cs="Calibri"/>
          <w:b/>
          <w:color w:val="1F4E79" w:themeColor="accent5" w:themeShade="80"/>
          <w:sz w:val="22"/>
          <w:szCs w:val="22"/>
          <w:lang w:val="es-PE"/>
        </w:rPr>
        <w:t xml:space="preserve"> </w:t>
      </w:r>
    </w:p>
    <w:p w14:paraId="50CB4539" w14:textId="77777777" w:rsidR="00285D58" w:rsidRDefault="00285D58" w:rsidP="00285D58">
      <w:pPr>
        <w:jc w:val="both"/>
        <w:rPr>
          <w:rFonts w:ascii="Calibri" w:hAnsi="Calibri" w:cs="Calibri"/>
        </w:rPr>
      </w:pPr>
    </w:p>
    <w:p w14:paraId="212B73FA" w14:textId="77777777" w:rsidR="00285D58" w:rsidRDefault="00285D58" w:rsidP="00285D58">
      <w:pPr>
        <w:jc w:val="both"/>
        <w:rPr>
          <w:rFonts w:ascii="Calibri" w:hAnsi="Calibri" w:cs="Calibri"/>
        </w:rPr>
      </w:pPr>
      <w:r>
        <w:rPr>
          <w:rFonts w:ascii="Calibri" w:hAnsi="Calibri" w:cs="Calibri"/>
        </w:rPr>
        <w:t>Durante el Periodo Operativo, e</w:t>
      </w:r>
      <w:r w:rsidRPr="00996684">
        <w:rPr>
          <w:rFonts w:ascii="Calibri" w:hAnsi="Calibri" w:cs="Calibri"/>
        </w:rPr>
        <w:t xml:space="preserve">n caso que </w:t>
      </w:r>
      <w:r>
        <w:rPr>
          <w:rFonts w:ascii="Calibri" w:hAnsi="Calibri" w:cs="Calibri"/>
        </w:rPr>
        <w:t>se origine la suspensión del plazo de la concesión</w:t>
      </w:r>
      <w:r w:rsidRPr="00996684">
        <w:rPr>
          <w:rFonts w:ascii="Calibri" w:hAnsi="Calibri" w:cs="Calibri"/>
        </w:rPr>
        <w:t xml:space="preserve">, el CONCESIONARIO deberá mantener la prestación de todos los </w:t>
      </w:r>
      <w:r>
        <w:rPr>
          <w:rFonts w:ascii="Calibri" w:hAnsi="Calibri" w:cs="Calibri"/>
        </w:rPr>
        <w:t>S</w:t>
      </w:r>
      <w:r w:rsidRPr="00996684">
        <w:rPr>
          <w:rFonts w:ascii="Calibri" w:hAnsi="Calibri" w:cs="Calibri"/>
        </w:rPr>
        <w:t xml:space="preserve">ervicios </w:t>
      </w:r>
      <w:r>
        <w:rPr>
          <w:rFonts w:ascii="Calibri" w:hAnsi="Calibri" w:cs="Calibri"/>
        </w:rPr>
        <w:t>O</w:t>
      </w:r>
      <w:r w:rsidRPr="00996684">
        <w:rPr>
          <w:rFonts w:ascii="Calibri" w:hAnsi="Calibri" w:cs="Calibri"/>
        </w:rPr>
        <w:t>bligatorios indicados en est</w:t>
      </w:r>
      <w:r>
        <w:rPr>
          <w:rFonts w:ascii="Calibri" w:hAnsi="Calibri" w:cs="Calibri"/>
        </w:rPr>
        <w:t>e</w:t>
      </w:r>
      <w:r w:rsidRPr="00996684">
        <w:rPr>
          <w:rFonts w:ascii="Calibri" w:hAnsi="Calibri" w:cs="Calibri"/>
        </w:rPr>
        <w:t xml:space="preserve"> Anexo, salvo por los servicios asociados al transporte por teleférico y buses, en ese sentido, el CONCESIONARIO deberá continuar brindando los siguientes Servicios Obligatorios: </w:t>
      </w:r>
    </w:p>
    <w:p w14:paraId="1B0CF040" w14:textId="77777777" w:rsidR="00285D58" w:rsidRPr="00996684" w:rsidRDefault="00285D58" w:rsidP="00285D58">
      <w:pPr>
        <w:rPr>
          <w:rFonts w:ascii="Calibri" w:hAnsi="Calibri" w:cs="Calibri"/>
        </w:rPr>
      </w:pPr>
    </w:p>
    <w:p w14:paraId="5A698417"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73270">
        <w:rPr>
          <w:rFonts w:ascii="Calibri" w:hAnsi="Calibri" w:cs="Calibri"/>
          <w:b/>
          <w:bCs/>
        </w:rPr>
        <w:t xml:space="preserve">Servicio de Conservación y Mantenimiento: </w:t>
      </w:r>
      <w:r w:rsidRPr="00996684">
        <w:rPr>
          <w:rFonts w:ascii="Calibri" w:hAnsi="Calibri" w:cs="Calibri"/>
        </w:rPr>
        <w:t xml:space="preserve">Comprende las labores y actividades de Conservación y Mantenimiento de las Obras (Estaciones Centrales, Estaciones del Teleférico, Vías Turísticas y Caminos Peatonales), del Equipamiento Electromecánico (Cables, Cabinas, Pinzas, etc.) y de los Buses con los siguientes métodos: </w:t>
      </w:r>
    </w:p>
    <w:p w14:paraId="1CFD5314"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Mantenimiento Preventivo (actividades rutinarias o periódicas) </w:t>
      </w:r>
    </w:p>
    <w:p w14:paraId="3D68EF3F"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Mantenimiento Correctivo</w:t>
      </w:r>
    </w:p>
    <w:p w14:paraId="7DAF1A93"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Reposición de Insumos y Componentes </w:t>
      </w:r>
    </w:p>
    <w:p w14:paraId="419B7FAD" w14:textId="77777777" w:rsidR="00285D58" w:rsidRPr="00996684" w:rsidRDefault="00285D58" w:rsidP="00A3732C">
      <w:pPr>
        <w:widowControl/>
        <w:numPr>
          <w:ilvl w:val="0"/>
          <w:numId w:val="278"/>
        </w:numPr>
        <w:spacing w:line="276" w:lineRule="auto"/>
        <w:ind w:left="851" w:hanging="283"/>
        <w:jc w:val="both"/>
        <w:rPr>
          <w:rFonts w:ascii="Calibri" w:hAnsi="Calibri" w:cs="Calibri"/>
        </w:rPr>
      </w:pPr>
      <w:r w:rsidRPr="00996684">
        <w:rPr>
          <w:rFonts w:ascii="Calibri" w:hAnsi="Calibri" w:cs="Calibri"/>
        </w:rPr>
        <w:t xml:space="preserve">Reposición de Bienes y Mobiliario </w:t>
      </w:r>
    </w:p>
    <w:p w14:paraId="057DD682" w14:textId="77777777" w:rsidR="00285D58" w:rsidRPr="00996684" w:rsidRDefault="00285D58" w:rsidP="00285D58">
      <w:pPr>
        <w:spacing w:line="276" w:lineRule="auto"/>
        <w:jc w:val="both"/>
        <w:rPr>
          <w:rFonts w:ascii="Calibri" w:hAnsi="Calibri" w:cs="Calibri"/>
        </w:rPr>
      </w:pPr>
    </w:p>
    <w:p w14:paraId="479AF7B7"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96684">
        <w:rPr>
          <w:rFonts w:ascii="Calibri" w:hAnsi="Calibri" w:cs="Calibri"/>
          <w:b/>
          <w:bCs/>
        </w:rPr>
        <w:t xml:space="preserve">Servicio de Aseo y Limpieza: </w:t>
      </w:r>
      <w:r w:rsidRPr="00996684">
        <w:rPr>
          <w:rFonts w:ascii="Calibri" w:hAnsi="Calibri" w:cs="Calibri"/>
        </w:rPr>
        <w:t xml:space="preserve">Comprende los siguientes servicios: </w:t>
      </w:r>
    </w:p>
    <w:p w14:paraId="1F1E140E"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en las Estaciones Centrales y Estaciones de los Teleféricos </w:t>
      </w:r>
    </w:p>
    <w:p w14:paraId="5FF41821"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del Equipamiento Electromecánico de los Teleféricos </w:t>
      </w:r>
    </w:p>
    <w:p w14:paraId="324E88EC"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Aseo y Limpieza de Buses </w:t>
      </w:r>
    </w:p>
    <w:p w14:paraId="09E7A4E6"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Gestión de Residuos Sólidos generados dentro de las Estaciones, Cabinas y Buses </w:t>
      </w:r>
    </w:p>
    <w:p w14:paraId="16ADB2E5" w14:textId="77777777" w:rsidR="00285D58" w:rsidRPr="00996684" w:rsidRDefault="00285D58" w:rsidP="00A3732C">
      <w:pPr>
        <w:widowControl/>
        <w:numPr>
          <w:ilvl w:val="0"/>
          <w:numId w:val="279"/>
        </w:numPr>
        <w:spacing w:line="276" w:lineRule="auto"/>
        <w:ind w:left="851" w:hanging="283"/>
        <w:jc w:val="both"/>
        <w:rPr>
          <w:rFonts w:ascii="Calibri" w:hAnsi="Calibri" w:cs="Calibri"/>
        </w:rPr>
      </w:pPr>
      <w:r w:rsidRPr="00996684">
        <w:rPr>
          <w:rFonts w:ascii="Calibri" w:hAnsi="Calibri" w:cs="Calibri"/>
        </w:rPr>
        <w:t xml:space="preserve">Servicio de Control de Plagas </w:t>
      </w:r>
    </w:p>
    <w:p w14:paraId="20B4BC88" w14:textId="77777777" w:rsidR="00285D58" w:rsidRPr="00996684" w:rsidRDefault="00285D58" w:rsidP="00285D58">
      <w:pPr>
        <w:spacing w:line="276" w:lineRule="auto"/>
        <w:jc w:val="both"/>
        <w:rPr>
          <w:rFonts w:ascii="Calibri" w:hAnsi="Calibri" w:cs="Calibri"/>
        </w:rPr>
      </w:pPr>
    </w:p>
    <w:p w14:paraId="50B16FDE" w14:textId="77777777"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rPr>
      </w:pPr>
      <w:r w:rsidRPr="00996684">
        <w:rPr>
          <w:rFonts w:ascii="Calibri" w:hAnsi="Calibri" w:cs="Calibri"/>
          <w:b/>
          <w:bCs/>
        </w:rPr>
        <w:t xml:space="preserve">Servicio de Seguridad y Vigilancia: </w:t>
      </w:r>
    </w:p>
    <w:p w14:paraId="421D75E9"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dentro de las Estaciones </w:t>
      </w:r>
    </w:p>
    <w:p w14:paraId="7F413273"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rutinaria </w:t>
      </w:r>
    </w:p>
    <w:p w14:paraId="03395892"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Vigilancia correctiva o Atención de Emergencias </w:t>
      </w:r>
    </w:p>
    <w:p w14:paraId="4A079701" w14:textId="77777777" w:rsidR="00285D58" w:rsidRPr="00996684" w:rsidRDefault="00285D58" w:rsidP="00A3732C">
      <w:pPr>
        <w:widowControl/>
        <w:numPr>
          <w:ilvl w:val="0"/>
          <w:numId w:val="280"/>
        </w:numPr>
        <w:spacing w:line="276" w:lineRule="auto"/>
        <w:ind w:left="851" w:hanging="283"/>
        <w:jc w:val="both"/>
        <w:rPr>
          <w:rFonts w:ascii="Calibri" w:hAnsi="Calibri" w:cs="Calibri"/>
        </w:rPr>
      </w:pPr>
      <w:r w:rsidRPr="00996684">
        <w:rPr>
          <w:rFonts w:ascii="Calibri" w:hAnsi="Calibri" w:cs="Calibri"/>
        </w:rPr>
        <w:t xml:space="preserve">Implementación de cámaras de videovigilancia </w:t>
      </w:r>
    </w:p>
    <w:p w14:paraId="2038E386" w14:textId="77777777" w:rsidR="00285D58" w:rsidRPr="00996684" w:rsidRDefault="00285D58" w:rsidP="00285D58">
      <w:pPr>
        <w:spacing w:line="276" w:lineRule="auto"/>
        <w:jc w:val="both"/>
        <w:rPr>
          <w:rFonts w:ascii="Calibri" w:hAnsi="Calibri" w:cs="Calibri"/>
        </w:rPr>
      </w:pPr>
    </w:p>
    <w:p w14:paraId="417D5436" w14:textId="004FE0FC" w:rsidR="00285D58" w:rsidRPr="00996684" w:rsidRDefault="00285D58" w:rsidP="00A3732C">
      <w:pPr>
        <w:pStyle w:val="Prrafodelista"/>
        <w:widowControl/>
        <w:numPr>
          <w:ilvl w:val="0"/>
          <w:numId w:val="247"/>
        </w:numPr>
        <w:spacing w:line="276" w:lineRule="auto"/>
        <w:ind w:left="284" w:hanging="283"/>
        <w:jc w:val="both"/>
        <w:rPr>
          <w:rFonts w:ascii="Calibri" w:hAnsi="Calibri" w:cs="Calibri"/>
          <w:b/>
          <w:bCs/>
        </w:rPr>
      </w:pPr>
      <w:r w:rsidRPr="00996684">
        <w:rPr>
          <w:rFonts w:ascii="Calibri" w:hAnsi="Calibri" w:cs="Calibri"/>
          <w:b/>
          <w:bCs/>
        </w:rPr>
        <w:t>Servicio de la Administración de los Servicios</w:t>
      </w:r>
      <w:r w:rsidR="003878C5">
        <w:rPr>
          <w:rFonts w:ascii="Calibri" w:hAnsi="Calibri" w:cs="Calibri"/>
          <w:b/>
          <w:bCs/>
        </w:rPr>
        <w:t xml:space="preserve"> Obligatorios</w:t>
      </w:r>
      <w:r w:rsidRPr="00996684">
        <w:rPr>
          <w:rFonts w:ascii="Calibri" w:hAnsi="Calibri" w:cs="Calibri"/>
          <w:b/>
          <w:bCs/>
        </w:rPr>
        <w:t xml:space="preserve">: </w:t>
      </w:r>
    </w:p>
    <w:p w14:paraId="00146EDE"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Elaboración de Informes Mensuales de Actividades </w:t>
      </w:r>
    </w:p>
    <w:p w14:paraId="2AEDE68F"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Evaluación periódica de los Niveles de Servicio e Indicadores </w:t>
      </w:r>
    </w:p>
    <w:p w14:paraId="03B2C05D"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Registro y documentación de Actividades de Operación </w:t>
      </w:r>
    </w:p>
    <w:p w14:paraId="7B8A6AAD"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Cumplimiento de los Instrumentos de Gestión Ambiental </w:t>
      </w:r>
    </w:p>
    <w:p w14:paraId="082B6636" w14:textId="77777777" w:rsidR="00285D58" w:rsidRPr="00996684" w:rsidRDefault="00285D58" w:rsidP="00A3732C">
      <w:pPr>
        <w:widowControl/>
        <w:numPr>
          <w:ilvl w:val="0"/>
          <w:numId w:val="281"/>
        </w:numPr>
        <w:spacing w:line="276" w:lineRule="auto"/>
        <w:ind w:left="851" w:hanging="283"/>
        <w:jc w:val="both"/>
        <w:rPr>
          <w:rFonts w:ascii="Calibri" w:hAnsi="Calibri" w:cs="Calibri"/>
        </w:rPr>
      </w:pPr>
      <w:r w:rsidRPr="00996684">
        <w:rPr>
          <w:rFonts w:ascii="Calibri" w:hAnsi="Calibri" w:cs="Calibri"/>
        </w:rPr>
        <w:t xml:space="preserve">Gestión documentaria </w:t>
      </w:r>
    </w:p>
    <w:p w14:paraId="03FCE6BC" w14:textId="77777777" w:rsidR="00285D58" w:rsidRPr="00996684" w:rsidRDefault="00285D58" w:rsidP="00285D58">
      <w:pPr>
        <w:rPr>
          <w:rFonts w:ascii="Calibri" w:hAnsi="Calibri" w:cs="Calibri"/>
        </w:rPr>
      </w:pPr>
    </w:p>
    <w:p w14:paraId="182C67DB" w14:textId="77777777" w:rsidR="00285D58" w:rsidRPr="00996684" w:rsidRDefault="00285D58" w:rsidP="00285D58">
      <w:pPr>
        <w:spacing w:line="276" w:lineRule="auto"/>
        <w:rPr>
          <w:rFonts w:ascii="Calibri" w:eastAsia="Times New Roman" w:hAnsi="Calibri" w:cs="Calibri"/>
          <w:b/>
          <w:caps/>
          <w:color w:val="000000"/>
        </w:rPr>
      </w:pPr>
      <w:r w:rsidRPr="00996684">
        <w:rPr>
          <w:rFonts w:ascii="Calibri" w:eastAsia="Times New Roman" w:hAnsi="Calibri" w:cs="Calibri"/>
          <w:b/>
          <w:caps/>
          <w:color w:val="000000"/>
        </w:rPr>
        <w:t xml:space="preserve">COSTOS NO DEDUCIBLES DE LOS SERVICIOS OBLIGATORIOS en caso de suspensión del servicio </w:t>
      </w:r>
    </w:p>
    <w:p w14:paraId="7A9900D1" w14:textId="77777777" w:rsidR="00285D58" w:rsidRPr="00996684" w:rsidRDefault="00285D58" w:rsidP="00285D58">
      <w:pPr>
        <w:rPr>
          <w:rFonts w:ascii="Calibri" w:hAnsi="Calibri" w:cs="Calibri"/>
        </w:rPr>
      </w:pPr>
      <w:r w:rsidRPr="00996684">
        <w:rPr>
          <w:rFonts w:ascii="Calibri" w:hAnsi="Calibri" w:cs="Calibri"/>
        </w:rPr>
        <w:t xml:space="preserve">Los costos de las siguientes partidas podrían no deducirse del pago por O&amp;M en caso de que el servicio se encuentre suspendido: </w:t>
      </w:r>
    </w:p>
    <w:p w14:paraId="5AC13DF9" w14:textId="77777777" w:rsidR="00285D58" w:rsidRPr="00996684" w:rsidRDefault="00285D58" w:rsidP="00285D58">
      <w:pPr>
        <w:rPr>
          <w:rFonts w:ascii="Calibri" w:hAnsi="Calibri" w:cs="Calibri"/>
        </w:rPr>
      </w:pPr>
    </w:p>
    <w:p w14:paraId="42735099"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lastRenderedPageBreak/>
        <w:t>COSTOS DE O&amp;M DE LOS TELEFÉRICOS (INC. ESTACIONES)</w:t>
      </w:r>
    </w:p>
    <w:p w14:paraId="5CE7E0EF"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 xml:space="preserve">1.1. PERSONAL </w:t>
      </w:r>
    </w:p>
    <w:p w14:paraId="46AD2B7B"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CALIFICADA</w:t>
      </w:r>
    </w:p>
    <w:p w14:paraId="7C69F4C8"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SEMI CALIFICADA</w:t>
      </w:r>
    </w:p>
    <w:p w14:paraId="07E09A77"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NO CALIFICADA</w:t>
      </w:r>
    </w:p>
    <w:p w14:paraId="4E9279CE" w14:textId="77777777" w:rsidR="00285D58" w:rsidRPr="00996684" w:rsidRDefault="00285D58" w:rsidP="00285D58">
      <w:pPr>
        <w:pStyle w:val="Prrafodelista"/>
        <w:ind w:left="1080"/>
        <w:rPr>
          <w:rFonts w:ascii="Calibri" w:hAnsi="Calibri" w:cs="Calibri"/>
        </w:rPr>
      </w:pPr>
    </w:p>
    <w:p w14:paraId="6457C4FA"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1.2. SERVICIOS</w:t>
      </w:r>
    </w:p>
    <w:tbl>
      <w:tblPr>
        <w:tblW w:w="4961" w:type="dxa"/>
        <w:tblInd w:w="1346" w:type="dxa"/>
        <w:tblCellMar>
          <w:left w:w="70" w:type="dxa"/>
          <w:right w:w="70" w:type="dxa"/>
        </w:tblCellMar>
        <w:tblLook w:val="04A0" w:firstRow="1" w:lastRow="0" w:firstColumn="1" w:lastColumn="0" w:noHBand="0" w:noVBand="1"/>
      </w:tblPr>
      <w:tblGrid>
        <w:gridCol w:w="4961"/>
      </w:tblGrid>
      <w:tr w:rsidR="00285D58" w:rsidRPr="00996684" w14:paraId="468246B4" w14:textId="77777777" w:rsidTr="00285D58">
        <w:trPr>
          <w:trHeight w:val="300"/>
        </w:trPr>
        <w:tc>
          <w:tcPr>
            <w:tcW w:w="4961" w:type="dxa"/>
            <w:shd w:val="clear" w:color="auto" w:fill="auto"/>
            <w:noWrap/>
            <w:vAlign w:val="bottom"/>
            <w:hideMark/>
          </w:tcPr>
          <w:p w14:paraId="162C8F4D"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ESPECIALIZADOS</w:t>
            </w:r>
          </w:p>
        </w:tc>
      </w:tr>
      <w:tr w:rsidR="00285D58" w:rsidRPr="00996684" w14:paraId="5295FE2D" w14:textId="77777777" w:rsidTr="00285D58">
        <w:trPr>
          <w:trHeight w:val="300"/>
        </w:trPr>
        <w:tc>
          <w:tcPr>
            <w:tcW w:w="4961" w:type="dxa"/>
            <w:shd w:val="clear" w:color="auto" w:fill="auto"/>
            <w:noWrap/>
            <w:vAlign w:val="bottom"/>
            <w:hideMark/>
          </w:tcPr>
          <w:p w14:paraId="0EDF370B"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EXTRAORDINARIO ANUALIZADO</w:t>
            </w:r>
          </w:p>
          <w:p w14:paraId="244F57B2" w14:textId="77777777" w:rsidR="00285D58" w:rsidRPr="00996684" w:rsidRDefault="00285D58" w:rsidP="00285D58">
            <w:pPr>
              <w:rPr>
                <w:rFonts w:ascii="Calibri" w:eastAsia="Times New Roman" w:hAnsi="Calibri" w:cs="Calibri"/>
                <w:color w:val="000000"/>
              </w:rPr>
            </w:pPr>
          </w:p>
          <w:p w14:paraId="12E41212" w14:textId="77777777" w:rsidR="00285D58" w:rsidRPr="00996684" w:rsidRDefault="00285D58" w:rsidP="00285D58">
            <w:pPr>
              <w:rPr>
                <w:rFonts w:ascii="Calibri" w:eastAsia="Times New Roman" w:hAnsi="Calibri" w:cs="Calibri"/>
                <w:color w:val="000000"/>
              </w:rPr>
            </w:pPr>
          </w:p>
        </w:tc>
      </w:tr>
      <w:tr w:rsidR="00285D58" w:rsidRPr="00996684" w14:paraId="70B92159" w14:textId="77777777" w:rsidTr="00285D58">
        <w:trPr>
          <w:trHeight w:val="300"/>
        </w:trPr>
        <w:tc>
          <w:tcPr>
            <w:tcW w:w="4961" w:type="dxa"/>
            <w:shd w:val="clear" w:color="auto" w:fill="auto"/>
            <w:noWrap/>
            <w:vAlign w:val="bottom"/>
            <w:hideMark/>
          </w:tcPr>
          <w:p w14:paraId="5F44E2AE"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GENERALES</w:t>
            </w:r>
          </w:p>
        </w:tc>
      </w:tr>
      <w:tr w:rsidR="00285D58" w:rsidRPr="00996684" w14:paraId="278DDEC8" w14:textId="77777777" w:rsidTr="00285D58">
        <w:trPr>
          <w:trHeight w:val="300"/>
        </w:trPr>
        <w:tc>
          <w:tcPr>
            <w:tcW w:w="4961" w:type="dxa"/>
            <w:shd w:val="clear" w:color="auto" w:fill="auto"/>
            <w:noWrap/>
            <w:vAlign w:val="bottom"/>
            <w:hideMark/>
          </w:tcPr>
          <w:p w14:paraId="0941420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ALIMENTACIÓN ELÉCTRICA (MOTOR)</w:t>
            </w:r>
          </w:p>
        </w:tc>
      </w:tr>
      <w:tr w:rsidR="00285D58" w:rsidRPr="00996684" w14:paraId="3E26FFB8" w14:textId="77777777" w:rsidTr="00285D58">
        <w:trPr>
          <w:trHeight w:val="300"/>
        </w:trPr>
        <w:tc>
          <w:tcPr>
            <w:tcW w:w="4961" w:type="dxa"/>
            <w:shd w:val="clear" w:color="auto" w:fill="auto"/>
            <w:noWrap/>
            <w:vAlign w:val="bottom"/>
            <w:hideMark/>
          </w:tcPr>
          <w:p w14:paraId="08A85DE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ALIMENTACIÓN ELÉCTRICA (ESTACIONES)</w:t>
            </w:r>
          </w:p>
        </w:tc>
      </w:tr>
      <w:tr w:rsidR="00285D58" w:rsidRPr="00996684" w14:paraId="51749619" w14:textId="77777777" w:rsidTr="00285D58">
        <w:trPr>
          <w:trHeight w:val="300"/>
        </w:trPr>
        <w:tc>
          <w:tcPr>
            <w:tcW w:w="4961" w:type="dxa"/>
            <w:shd w:val="clear" w:color="auto" w:fill="auto"/>
            <w:noWrap/>
            <w:vAlign w:val="bottom"/>
            <w:hideMark/>
          </w:tcPr>
          <w:p w14:paraId="792D146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AGUA Y ALCANTARILLADO</w:t>
            </w:r>
          </w:p>
        </w:tc>
      </w:tr>
      <w:tr w:rsidR="00285D58" w:rsidRPr="00996684" w14:paraId="5956DEA9" w14:textId="77777777" w:rsidTr="00285D58">
        <w:trPr>
          <w:trHeight w:val="300"/>
        </w:trPr>
        <w:tc>
          <w:tcPr>
            <w:tcW w:w="4961" w:type="dxa"/>
            <w:shd w:val="clear" w:color="auto" w:fill="auto"/>
            <w:noWrap/>
            <w:vAlign w:val="bottom"/>
            <w:hideMark/>
          </w:tcPr>
          <w:p w14:paraId="00AF1F7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INTERNET + TELEFONÍA FIJA (5 EXTENSIONES)</w:t>
            </w:r>
          </w:p>
        </w:tc>
      </w:tr>
      <w:tr w:rsidR="00285D58" w:rsidRPr="00996684" w14:paraId="1000D0CB" w14:textId="77777777" w:rsidTr="00285D58">
        <w:trPr>
          <w:trHeight w:val="300"/>
        </w:trPr>
        <w:tc>
          <w:tcPr>
            <w:tcW w:w="4961" w:type="dxa"/>
            <w:shd w:val="clear" w:color="auto" w:fill="auto"/>
            <w:noWrap/>
            <w:vAlign w:val="bottom"/>
            <w:hideMark/>
          </w:tcPr>
          <w:p w14:paraId="74A8EF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DE RADIO + PLAN DE RADIO ILIMITADO</w:t>
            </w:r>
          </w:p>
        </w:tc>
      </w:tr>
      <w:tr w:rsidR="00285D58" w:rsidRPr="00996684" w14:paraId="3A5371F7" w14:textId="77777777" w:rsidTr="00285D58">
        <w:trPr>
          <w:trHeight w:val="300"/>
        </w:trPr>
        <w:tc>
          <w:tcPr>
            <w:tcW w:w="4961" w:type="dxa"/>
            <w:shd w:val="clear" w:color="auto" w:fill="auto"/>
            <w:noWrap/>
            <w:vAlign w:val="bottom"/>
            <w:hideMark/>
          </w:tcPr>
          <w:p w14:paraId="0A56ADB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CELULAR + PLAN ILIMITADO</w:t>
            </w:r>
          </w:p>
        </w:tc>
      </w:tr>
      <w:tr w:rsidR="00285D58" w:rsidRPr="00996684" w14:paraId="18C7EBA9" w14:textId="77777777" w:rsidTr="00285D58">
        <w:trPr>
          <w:trHeight w:val="300"/>
        </w:trPr>
        <w:tc>
          <w:tcPr>
            <w:tcW w:w="4961" w:type="dxa"/>
            <w:shd w:val="clear" w:color="auto" w:fill="auto"/>
            <w:noWrap/>
            <w:vAlign w:val="bottom"/>
            <w:hideMark/>
          </w:tcPr>
          <w:p w14:paraId="2E47EFD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RECOLECCIÓN DE RESIDUOS ORDINARIOS</w:t>
            </w:r>
          </w:p>
        </w:tc>
      </w:tr>
      <w:tr w:rsidR="00285D58" w:rsidRPr="00996684" w14:paraId="020ACEA6" w14:textId="77777777" w:rsidTr="00285D58">
        <w:trPr>
          <w:trHeight w:val="300"/>
        </w:trPr>
        <w:tc>
          <w:tcPr>
            <w:tcW w:w="4961" w:type="dxa"/>
            <w:shd w:val="clear" w:color="auto" w:fill="auto"/>
            <w:noWrap/>
            <w:vAlign w:val="bottom"/>
            <w:hideMark/>
          </w:tcPr>
          <w:p w14:paraId="48A877D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RECOLECCIÓN DE RESIDUOS PELIGROSOS Y ESPECIALES</w:t>
            </w:r>
          </w:p>
        </w:tc>
      </w:tr>
      <w:tr w:rsidR="00285D58" w:rsidRPr="00996684" w14:paraId="0BF81A2C" w14:textId="77777777" w:rsidTr="00285D58">
        <w:trPr>
          <w:trHeight w:val="300"/>
        </w:trPr>
        <w:tc>
          <w:tcPr>
            <w:tcW w:w="4961" w:type="dxa"/>
            <w:shd w:val="clear" w:color="auto" w:fill="auto"/>
            <w:noWrap/>
            <w:vAlign w:val="bottom"/>
            <w:hideMark/>
          </w:tcPr>
          <w:p w14:paraId="73A671B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MANEJO DE REDES SOCIALES Y WEB</w:t>
            </w:r>
          </w:p>
          <w:p w14:paraId="5365A19F" w14:textId="77777777" w:rsidR="00285D58" w:rsidRPr="00996684" w:rsidRDefault="00285D58" w:rsidP="00285D58">
            <w:pPr>
              <w:rPr>
                <w:rFonts w:ascii="Calibri" w:eastAsia="Times New Roman" w:hAnsi="Calibri" w:cs="Calibri"/>
                <w:color w:val="000000"/>
              </w:rPr>
            </w:pPr>
          </w:p>
          <w:p w14:paraId="7CF63264" w14:textId="77777777" w:rsidR="00285D58" w:rsidRPr="00996684" w:rsidRDefault="00285D58" w:rsidP="00285D58">
            <w:pPr>
              <w:rPr>
                <w:rFonts w:ascii="Calibri" w:eastAsia="Times New Roman" w:hAnsi="Calibri" w:cs="Calibri"/>
                <w:color w:val="000000"/>
              </w:rPr>
            </w:pPr>
          </w:p>
        </w:tc>
      </w:tr>
      <w:tr w:rsidR="00285D58" w:rsidRPr="00996684" w14:paraId="4438B570" w14:textId="77777777" w:rsidTr="00285D58">
        <w:trPr>
          <w:trHeight w:val="300"/>
        </w:trPr>
        <w:tc>
          <w:tcPr>
            <w:tcW w:w="4961" w:type="dxa"/>
            <w:shd w:val="clear" w:color="auto" w:fill="auto"/>
            <w:noWrap/>
            <w:vAlign w:val="bottom"/>
            <w:hideMark/>
          </w:tcPr>
          <w:p w14:paraId="4810B691"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SERVICIOS ELECTRÓNICOS</w:t>
            </w:r>
          </w:p>
        </w:tc>
      </w:tr>
      <w:tr w:rsidR="00285D58" w:rsidRPr="00996684" w14:paraId="535A4C40" w14:textId="77777777" w:rsidTr="00285D58">
        <w:trPr>
          <w:trHeight w:val="300"/>
        </w:trPr>
        <w:tc>
          <w:tcPr>
            <w:tcW w:w="4961" w:type="dxa"/>
            <w:shd w:val="clear" w:color="auto" w:fill="auto"/>
            <w:noWrap/>
            <w:vAlign w:val="bottom"/>
            <w:hideMark/>
          </w:tcPr>
          <w:p w14:paraId="4E955E9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EQUIPOS DE COMPUTACIÓN</w:t>
            </w:r>
          </w:p>
        </w:tc>
      </w:tr>
      <w:tr w:rsidR="00285D58" w:rsidRPr="00996684" w14:paraId="1771F7DB" w14:textId="77777777" w:rsidTr="00285D58">
        <w:trPr>
          <w:trHeight w:val="300"/>
        </w:trPr>
        <w:tc>
          <w:tcPr>
            <w:tcW w:w="4961" w:type="dxa"/>
            <w:shd w:val="clear" w:color="auto" w:fill="auto"/>
            <w:noWrap/>
            <w:vAlign w:val="bottom"/>
            <w:hideMark/>
          </w:tcPr>
          <w:p w14:paraId="4A2C101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TI</w:t>
            </w:r>
          </w:p>
        </w:tc>
      </w:tr>
      <w:tr w:rsidR="00285D58" w:rsidRPr="00996684" w14:paraId="1524FD2A" w14:textId="77777777" w:rsidTr="00285D58">
        <w:trPr>
          <w:trHeight w:val="300"/>
        </w:trPr>
        <w:tc>
          <w:tcPr>
            <w:tcW w:w="4961" w:type="dxa"/>
            <w:shd w:val="clear" w:color="auto" w:fill="auto"/>
            <w:noWrap/>
            <w:vAlign w:val="bottom"/>
            <w:hideMark/>
          </w:tcPr>
          <w:p w14:paraId="0A3E5A9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CÁMARAS DE SEGURIDAD</w:t>
            </w:r>
          </w:p>
        </w:tc>
      </w:tr>
      <w:tr w:rsidR="00285D58" w:rsidRPr="00996684" w14:paraId="6E5D6B8D" w14:textId="77777777" w:rsidTr="00285D58">
        <w:trPr>
          <w:trHeight w:val="300"/>
        </w:trPr>
        <w:tc>
          <w:tcPr>
            <w:tcW w:w="4961" w:type="dxa"/>
            <w:shd w:val="clear" w:color="auto" w:fill="auto"/>
            <w:noWrap/>
            <w:vAlign w:val="bottom"/>
            <w:hideMark/>
          </w:tcPr>
          <w:p w14:paraId="4710E63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PANELES INFORMATIVOS LED ANUAL</w:t>
            </w:r>
          </w:p>
        </w:tc>
      </w:tr>
      <w:tr w:rsidR="00285D58" w:rsidRPr="00996684" w14:paraId="7C8A5E4A" w14:textId="77777777" w:rsidTr="00285D58">
        <w:trPr>
          <w:trHeight w:val="300"/>
        </w:trPr>
        <w:tc>
          <w:tcPr>
            <w:tcW w:w="4961" w:type="dxa"/>
            <w:shd w:val="clear" w:color="auto" w:fill="auto"/>
            <w:noWrap/>
            <w:vAlign w:val="bottom"/>
            <w:hideMark/>
          </w:tcPr>
          <w:p w14:paraId="10F405A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MOLINETES DE COBRO MENSUAL</w:t>
            </w:r>
          </w:p>
        </w:tc>
      </w:tr>
      <w:tr w:rsidR="00285D58" w:rsidRPr="00996684" w14:paraId="1641BDD1" w14:textId="77777777" w:rsidTr="00285D58">
        <w:trPr>
          <w:trHeight w:val="300"/>
        </w:trPr>
        <w:tc>
          <w:tcPr>
            <w:tcW w:w="4961" w:type="dxa"/>
            <w:shd w:val="clear" w:color="auto" w:fill="auto"/>
            <w:noWrap/>
            <w:vAlign w:val="bottom"/>
            <w:hideMark/>
          </w:tcPr>
          <w:p w14:paraId="63502FA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ASCENSORES MENSUAL</w:t>
            </w:r>
          </w:p>
        </w:tc>
      </w:tr>
      <w:tr w:rsidR="00285D58" w:rsidRPr="00996684" w14:paraId="36F6C1FE" w14:textId="77777777" w:rsidTr="00285D58">
        <w:trPr>
          <w:trHeight w:val="300"/>
        </w:trPr>
        <w:tc>
          <w:tcPr>
            <w:tcW w:w="4961" w:type="dxa"/>
            <w:shd w:val="clear" w:color="auto" w:fill="auto"/>
            <w:noWrap/>
            <w:vAlign w:val="bottom"/>
            <w:hideMark/>
          </w:tcPr>
          <w:p w14:paraId="731BB6B7"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A/C ANUAL</w:t>
            </w:r>
          </w:p>
          <w:p w14:paraId="093D88BD" w14:textId="77777777" w:rsidR="00285D58" w:rsidRPr="00996684" w:rsidRDefault="00285D58" w:rsidP="00285D58">
            <w:pPr>
              <w:rPr>
                <w:rFonts w:ascii="Calibri" w:eastAsia="Times New Roman" w:hAnsi="Calibri" w:cs="Calibri"/>
                <w:color w:val="000000"/>
              </w:rPr>
            </w:pPr>
          </w:p>
          <w:p w14:paraId="18B370B0" w14:textId="77777777" w:rsidR="00285D58" w:rsidRPr="00996684" w:rsidRDefault="00285D58" w:rsidP="00285D58">
            <w:pPr>
              <w:rPr>
                <w:rFonts w:ascii="Calibri" w:eastAsia="Times New Roman" w:hAnsi="Calibri" w:cs="Calibri"/>
                <w:color w:val="000000"/>
              </w:rPr>
            </w:pPr>
          </w:p>
        </w:tc>
      </w:tr>
      <w:tr w:rsidR="00285D58" w:rsidRPr="00996684" w14:paraId="5AB5612D" w14:textId="77777777" w:rsidTr="00285D58">
        <w:trPr>
          <w:trHeight w:val="300"/>
        </w:trPr>
        <w:tc>
          <w:tcPr>
            <w:tcW w:w="4961" w:type="dxa"/>
            <w:shd w:val="clear" w:color="auto" w:fill="auto"/>
            <w:noWrap/>
            <w:vAlign w:val="bottom"/>
            <w:hideMark/>
          </w:tcPr>
          <w:p w14:paraId="337CEDA3"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SERVICIO DE VIGILANCIA</w:t>
            </w:r>
          </w:p>
        </w:tc>
      </w:tr>
      <w:tr w:rsidR="00285D58" w:rsidRPr="00996684" w14:paraId="5CB98239" w14:textId="77777777" w:rsidTr="00285D58">
        <w:trPr>
          <w:trHeight w:val="300"/>
        </w:trPr>
        <w:tc>
          <w:tcPr>
            <w:tcW w:w="4961" w:type="dxa"/>
            <w:shd w:val="clear" w:color="auto" w:fill="auto"/>
            <w:noWrap/>
            <w:vAlign w:val="bottom"/>
            <w:hideMark/>
          </w:tcPr>
          <w:p w14:paraId="7B5DE8D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COORDINADOR DE SEGURIDAD (8H)</w:t>
            </w:r>
          </w:p>
        </w:tc>
      </w:tr>
      <w:tr w:rsidR="00285D58" w:rsidRPr="00996684" w14:paraId="6439FAA9" w14:textId="77777777" w:rsidTr="00285D58">
        <w:trPr>
          <w:trHeight w:val="300"/>
        </w:trPr>
        <w:tc>
          <w:tcPr>
            <w:tcW w:w="4961" w:type="dxa"/>
            <w:shd w:val="clear" w:color="auto" w:fill="auto"/>
            <w:noWrap/>
            <w:vAlign w:val="bottom"/>
            <w:hideMark/>
          </w:tcPr>
          <w:p w14:paraId="53C5BEE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SISTEMA DE ALARMA MENSUAL</w:t>
            </w:r>
          </w:p>
        </w:tc>
      </w:tr>
      <w:tr w:rsidR="00285D58" w:rsidRPr="00A3225A" w14:paraId="2B120BEE" w14:textId="77777777" w:rsidTr="00285D58">
        <w:trPr>
          <w:trHeight w:val="300"/>
        </w:trPr>
        <w:tc>
          <w:tcPr>
            <w:tcW w:w="4961" w:type="dxa"/>
            <w:shd w:val="clear" w:color="auto" w:fill="auto"/>
            <w:noWrap/>
            <w:vAlign w:val="bottom"/>
            <w:hideMark/>
          </w:tcPr>
          <w:p w14:paraId="1F521591" w14:textId="77777777" w:rsidR="00285D58" w:rsidRPr="00BB5F42" w:rsidRDefault="00285D58" w:rsidP="00285D58">
            <w:pPr>
              <w:rPr>
                <w:rFonts w:ascii="Calibri" w:eastAsia="Times New Roman" w:hAnsi="Calibri" w:cs="Calibri"/>
                <w:color w:val="000000"/>
                <w:lang w:val="pt-BR"/>
              </w:rPr>
            </w:pPr>
            <w:r w:rsidRPr="00BB5F42">
              <w:rPr>
                <w:rFonts w:ascii="Calibri" w:eastAsia="Times New Roman" w:hAnsi="Calibri" w:cs="Calibri"/>
                <w:color w:val="000000"/>
                <w:lang w:val="pt-BR"/>
              </w:rPr>
              <w:t>VIGILANCIA: RECORREDOR S/ARMA (16H)</w:t>
            </w:r>
          </w:p>
        </w:tc>
      </w:tr>
      <w:tr w:rsidR="00285D58" w:rsidRPr="00996684" w14:paraId="07777433" w14:textId="77777777" w:rsidTr="00285D58">
        <w:trPr>
          <w:trHeight w:val="300"/>
        </w:trPr>
        <w:tc>
          <w:tcPr>
            <w:tcW w:w="4961" w:type="dxa"/>
            <w:shd w:val="clear" w:color="auto" w:fill="auto"/>
            <w:noWrap/>
            <w:vAlign w:val="bottom"/>
            <w:hideMark/>
          </w:tcPr>
          <w:p w14:paraId="6E60826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RECORREDOR MOTORIZADO (24H)</w:t>
            </w:r>
          </w:p>
        </w:tc>
      </w:tr>
      <w:tr w:rsidR="00285D58" w:rsidRPr="00996684" w14:paraId="5A458CD1" w14:textId="77777777" w:rsidTr="00285D58">
        <w:trPr>
          <w:trHeight w:val="300"/>
        </w:trPr>
        <w:tc>
          <w:tcPr>
            <w:tcW w:w="4961" w:type="dxa"/>
            <w:shd w:val="clear" w:color="auto" w:fill="auto"/>
            <w:noWrap/>
            <w:vAlign w:val="bottom"/>
            <w:hideMark/>
          </w:tcPr>
          <w:p w14:paraId="0CB186CC"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VIGILANCIA: MONITOR DE VIDEOVIGILANCIA</w:t>
            </w:r>
          </w:p>
          <w:p w14:paraId="118CF16A" w14:textId="77777777" w:rsidR="00285D58" w:rsidRPr="00996684" w:rsidRDefault="00285D58" w:rsidP="00285D58">
            <w:pPr>
              <w:rPr>
                <w:rFonts w:ascii="Calibri" w:eastAsia="Times New Roman" w:hAnsi="Calibri" w:cs="Calibri"/>
                <w:color w:val="000000"/>
              </w:rPr>
            </w:pPr>
          </w:p>
          <w:p w14:paraId="671636EA" w14:textId="77777777" w:rsidR="00285D58" w:rsidRPr="00996684" w:rsidRDefault="00285D58" w:rsidP="00285D58">
            <w:pPr>
              <w:rPr>
                <w:rFonts w:ascii="Calibri" w:eastAsia="Times New Roman" w:hAnsi="Calibri" w:cs="Calibri"/>
                <w:color w:val="000000"/>
              </w:rPr>
            </w:pPr>
          </w:p>
        </w:tc>
      </w:tr>
      <w:tr w:rsidR="00285D58" w:rsidRPr="00996684" w14:paraId="37F02075" w14:textId="77777777" w:rsidTr="00285D58">
        <w:trPr>
          <w:trHeight w:val="300"/>
        </w:trPr>
        <w:tc>
          <w:tcPr>
            <w:tcW w:w="4961" w:type="dxa"/>
            <w:shd w:val="clear" w:color="auto" w:fill="auto"/>
            <w:noWrap/>
            <w:vAlign w:val="bottom"/>
            <w:hideMark/>
          </w:tcPr>
          <w:p w14:paraId="393817A6"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TALLERES Y CAPACITACIONES</w:t>
            </w:r>
          </w:p>
        </w:tc>
      </w:tr>
      <w:tr w:rsidR="00285D58" w:rsidRPr="00996684" w14:paraId="0C14ED6B" w14:textId="77777777" w:rsidTr="00285D58">
        <w:trPr>
          <w:trHeight w:val="300"/>
        </w:trPr>
        <w:tc>
          <w:tcPr>
            <w:tcW w:w="4961" w:type="dxa"/>
            <w:shd w:val="clear" w:color="auto" w:fill="auto"/>
            <w:noWrap/>
            <w:vAlign w:val="bottom"/>
            <w:hideMark/>
          </w:tcPr>
          <w:p w14:paraId="121A0A9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TALLER DE CAPACITACIÓN SSO</w:t>
            </w:r>
          </w:p>
        </w:tc>
      </w:tr>
      <w:tr w:rsidR="00285D58" w:rsidRPr="00996684" w14:paraId="7BD67D9F" w14:textId="77777777" w:rsidTr="00285D58">
        <w:trPr>
          <w:trHeight w:val="300"/>
        </w:trPr>
        <w:tc>
          <w:tcPr>
            <w:tcW w:w="4961" w:type="dxa"/>
            <w:shd w:val="clear" w:color="auto" w:fill="auto"/>
            <w:noWrap/>
            <w:vAlign w:val="bottom"/>
            <w:hideMark/>
          </w:tcPr>
          <w:p w14:paraId="19E4DBF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TRABAJO EN ALTURAS AVANZADO</w:t>
            </w:r>
          </w:p>
        </w:tc>
      </w:tr>
      <w:tr w:rsidR="00285D58" w:rsidRPr="00996684" w14:paraId="44E98042" w14:textId="77777777" w:rsidTr="00285D58">
        <w:trPr>
          <w:trHeight w:val="300"/>
        </w:trPr>
        <w:tc>
          <w:tcPr>
            <w:tcW w:w="4961" w:type="dxa"/>
            <w:shd w:val="clear" w:color="auto" w:fill="auto"/>
            <w:noWrap/>
            <w:vAlign w:val="bottom"/>
            <w:hideMark/>
          </w:tcPr>
          <w:p w14:paraId="6E9E2B2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EXAMEN MÉDICO OCUPACIONAL</w:t>
            </w:r>
          </w:p>
        </w:tc>
      </w:tr>
      <w:tr w:rsidR="00285D58" w:rsidRPr="00996684" w14:paraId="4FD11DED" w14:textId="77777777" w:rsidTr="00285D58">
        <w:trPr>
          <w:trHeight w:val="300"/>
        </w:trPr>
        <w:tc>
          <w:tcPr>
            <w:tcW w:w="4961" w:type="dxa"/>
            <w:shd w:val="clear" w:color="auto" w:fill="auto"/>
            <w:noWrap/>
            <w:vAlign w:val="bottom"/>
            <w:hideMark/>
          </w:tcPr>
          <w:p w14:paraId="4CEA33C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OPERACIÓN Y MANTENIMIENTO BÁSICO</w:t>
            </w:r>
          </w:p>
        </w:tc>
      </w:tr>
      <w:tr w:rsidR="00285D58" w:rsidRPr="00996684" w14:paraId="5C5CBD83" w14:textId="77777777" w:rsidTr="00285D58">
        <w:trPr>
          <w:trHeight w:val="300"/>
        </w:trPr>
        <w:tc>
          <w:tcPr>
            <w:tcW w:w="4961" w:type="dxa"/>
            <w:shd w:val="clear" w:color="auto" w:fill="auto"/>
            <w:noWrap/>
            <w:vAlign w:val="bottom"/>
            <w:hideMark/>
          </w:tcPr>
          <w:p w14:paraId="2475F5A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PRIMEROS AUXILIOS BÁSICO</w:t>
            </w:r>
          </w:p>
        </w:tc>
      </w:tr>
      <w:tr w:rsidR="00285D58" w:rsidRPr="00996684" w14:paraId="4723A608" w14:textId="77777777" w:rsidTr="00285D58">
        <w:trPr>
          <w:trHeight w:val="300"/>
        </w:trPr>
        <w:tc>
          <w:tcPr>
            <w:tcW w:w="4961" w:type="dxa"/>
            <w:shd w:val="clear" w:color="auto" w:fill="auto"/>
            <w:noWrap/>
            <w:vAlign w:val="bottom"/>
            <w:hideMark/>
          </w:tcPr>
          <w:p w14:paraId="6CDF21E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RESCATE EN ALTURAS</w:t>
            </w:r>
          </w:p>
        </w:tc>
      </w:tr>
      <w:tr w:rsidR="00285D58" w:rsidRPr="00996684" w14:paraId="09863ADC" w14:textId="77777777" w:rsidTr="00285D58">
        <w:trPr>
          <w:trHeight w:val="300"/>
        </w:trPr>
        <w:tc>
          <w:tcPr>
            <w:tcW w:w="4961" w:type="dxa"/>
            <w:shd w:val="clear" w:color="auto" w:fill="auto"/>
            <w:noWrap/>
            <w:vAlign w:val="bottom"/>
            <w:hideMark/>
          </w:tcPr>
          <w:p w14:paraId="3DA54CF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PROTOCOLO COVID</w:t>
            </w:r>
          </w:p>
        </w:tc>
      </w:tr>
      <w:tr w:rsidR="00285D58" w:rsidRPr="00996684" w14:paraId="19E09406" w14:textId="77777777" w:rsidTr="00285D58">
        <w:trPr>
          <w:trHeight w:val="300"/>
        </w:trPr>
        <w:tc>
          <w:tcPr>
            <w:tcW w:w="4961" w:type="dxa"/>
            <w:shd w:val="clear" w:color="auto" w:fill="auto"/>
            <w:noWrap/>
            <w:vAlign w:val="bottom"/>
            <w:hideMark/>
          </w:tcPr>
          <w:p w14:paraId="7D8CB3F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PRUEBA RÁPIDA SEMANAL</w:t>
            </w:r>
          </w:p>
        </w:tc>
      </w:tr>
      <w:tr w:rsidR="00285D58" w:rsidRPr="00996684" w14:paraId="0167250C" w14:textId="77777777" w:rsidTr="00285D58">
        <w:trPr>
          <w:trHeight w:val="300"/>
        </w:trPr>
        <w:tc>
          <w:tcPr>
            <w:tcW w:w="4961" w:type="dxa"/>
            <w:shd w:val="clear" w:color="auto" w:fill="auto"/>
            <w:noWrap/>
            <w:vAlign w:val="bottom"/>
            <w:hideMark/>
          </w:tcPr>
          <w:p w14:paraId="579B71B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MASCARILLAS DESCARTABLES </w:t>
            </w:r>
          </w:p>
        </w:tc>
      </w:tr>
      <w:tr w:rsidR="00285D58" w:rsidRPr="00A3225A" w14:paraId="72BD4639" w14:textId="77777777" w:rsidTr="00285D58">
        <w:trPr>
          <w:trHeight w:val="300"/>
        </w:trPr>
        <w:tc>
          <w:tcPr>
            <w:tcW w:w="4961" w:type="dxa"/>
            <w:shd w:val="clear" w:color="auto" w:fill="auto"/>
            <w:noWrap/>
            <w:vAlign w:val="bottom"/>
            <w:hideMark/>
          </w:tcPr>
          <w:p w14:paraId="6D04F87A" w14:textId="77777777" w:rsidR="00285D58" w:rsidRPr="00BB5F42" w:rsidRDefault="00285D58" w:rsidP="00285D58">
            <w:pPr>
              <w:rPr>
                <w:rFonts w:ascii="Calibri" w:eastAsia="Times New Roman" w:hAnsi="Calibri" w:cs="Calibri"/>
                <w:color w:val="000000"/>
                <w:lang w:val="pt-BR"/>
              </w:rPr>
            </w:pPr>
            <w:r w:rsidRPr="00BB5F42">
              <w:rPr>
                <w:rFonts w:ascii="Calibri" w:eastAsia="Times New Roman" w:hAnsi="Calibri" w:cs="Calibri"/>
                <w:color w:val="000000"/>
                <w:lang w:val="pt-BR"/>
              </w:rPr>
              <w:t>ALCOHOL E INSUMOS DE HIGIENE PERSONAL</w:t>
            </w:r>
          </w:p>
        </w:tc>
      </w:tr>
    </w:tbl>
    <w:p w14:paraId="623BDF48" w14:textId="77777777" w:rsidR="00285D58" w:rsidRPr="00BB5F42" w:rsidRDefault="00285D58" w:rsidP="00285D58">
      <w:pPr>
        <w:pStyle w:val="Prrafodelista"/>
        <w:ind w:left="1080"/>
        <w:rPr>
          <w:rFonts w:ascii="Calibri" w:hAnsi="Calibri" w:cs="Calibri"/>
          <w:lang w:val="pt-BR"/>
        </w:rPr>
      </w:pPr>
    </w:p>
    <w:p w14:paraId="2DF1C09F"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1.3. MANTENIMIENTO</w:t>
      </w:r>
    </w:p>
    <w:tbl>
      <w:tblPr>
        <w:tblW w:w="7513" w:type="dxa"/>
        <w:tblInd w:w="1418" w:type="dxa"/>
        <w:tblCellMar>
          <w:left w:w="70" w:type="dxa"/>
          <w:right w:w="70" w:type="dxa"/>
        </w:tblCellMar>
        <w:tblLook w:val="04A0" w:firstRow="1" w:lastRow="0" w:firstColumn="1" w:lastColumn="0" w:noHBand="0" w:noVBand="1"/>
      </w:tblPr>
      <w:tblGrid>
        <w:gridCol w:w="7513"/>
      </w:tblGrid>
      <w:tr w:rsidR="00285D58" w:rsidRPr="00996684" w14:paraId="362D64B2" w14:textId="77777777" w:rsidTr="00285D58">
        <w:trPr>
          <w:trHeight w:val="300"/>
        </w:trPr>
        <w:tc>
          <w:tcPr>
            <w:tcW w:w="7513" w:type="dxa"/>
            <w:shd w:val="clear" w:color="auto" w:fill="auto"/>
            <w:noWrap/>
            <w:vAlign w:val="bottom"/>
            <w:hideMark/>
          </w:tcPr>
          <w:p w14:paraId="2E776A1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MANTENIMIENTO ELECTROMECÁNICO</w:t>
            </w:r>
          </w:p>
        </w:tc>
      </w:tr>
      <w:tr w:rsidR="00285D58" w:rsidRPr="00996684" w14:paraId="7F0DF613" w14:textId="77777777" w:rsidTr="00285D58">
        <w:trPr>
          <w:trHeight w:val="300"/>
        </w:trPr>
        <w:tc>
          <w:tcPr>
            <w:tcW w:w="7513" w:type="dxa"/>
            <w:shd w:val="clear" w:color="auto" w:fill="auto"/>
            <w:noWrap/>
            <w:vAlign w:val="bottom"/>
            <w:hideMark/>
          </w:tcPr>
          <w:p w14:paraId="067CDBE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DESENGRASANTE, LUBRICANTES Y GRASAS</w:t>
            </w:r>
          </w:p>
        </w:tc>
      </w:tr>
      <w:tr w:rsidR="00285D58" w:rsidRPr="00996684" w14:paraId="644F3BF8" w14:textId="77777777" w:rsidTr="00285D58">
        <w:trPr>
          <w:trHeight w:val="300"/>
        </w:trPr>
        <w:tc>
          <w:tcPr>
            <w:tcW w:w="7513" w:type="dxa"/>
            <w:shd w:val="clear" w:color="auto" w:fill="auto"/>
            <w:noWrap/>
            <w:vAlign w:val="bottom"/>
            <w:hideMark/>
          </w:tcPr>
          <w:p w14:paraId="55A6351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REPUESTOS DE COMPONENTES ELECTROMECÁNICOS</w:t>
            </w:r>
          </w:p>
        </w:tc>
      </w:tr>
      <w:tr w:rsidR="00285D58" w:rsidRPr="00996684" w14:paraId="33ADF1A7" w14:textId="77777777" w:rsidTr="00285D58">
        <w:trPr>
          <w:trHeight w:val="300"/>
        </w:trPr>
        <w:tc>
          <w:tcPr>
            <w:tcW w:w="7513" w:type="dxa"/>
            <w:shd w:val="clear" w:color="auto" w:fill="auto"/>
            <w:noWrap/>
            <w:vAlign w:val="bottom"/>
            <w:hideMark/>
          </w:tcPr>
          <w:p w14:paraId="4EBC950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MOTORREDUCTOR PRINCIPAL</w:t>
            </w:r>
          </w:p>
        </w:tc>
      </w:tr>
      <w:tr w:rsidR="00285D58" w:rsidRPr="00996684" w14:paraId="6545BE86" w14:textId="77777777" w:rsidTr="00285D58">
        <w:trPr>
          <w:trHeight w:val="300"/>
        </w:trPr>
        <w:tc>
          <w:tcPr>
            <w:tcW w:w="7513" w:type="dxa"/>
            <w:shd w:val="clear" w:color="auto" w:fill="auto"/>
            <w:noWrap/>
            <w:vAlign w:val="bottom"/>
            <w:hideMark/>
          </w:tcPr>
          <w:p w14:paraId="331C71C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MOTOR SECUNDARIO</w:t>
            </w:r>
          </w:p>
        </w:tc>
      </w:tr>
      <w:tr w:rsidR="00285D58" w:rsidRPr="00996684" w14:paraId="216CCAB3" w14:textId="77777777" w:rsidTr="00285D58">
        <w:trPr>
          <w:trHeight w:val="300"/>
        </w:trPr>
        <w:tc>
          <w:tcPr>
            <w:tcW w:w="7513" w:type="dxa"/>
            <w:shd w:val="clear" w:color="auto" w:fill="auto"/>
            <w:noWrap/>
            <w:vAlign w:val="bottom"/>
            <w:hideMark/>
          </w:tcPr>
          <w:p w14:paraId="3FAB15B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GRUPOS ELECTRÓGENOS</w:t>
            </w:r>
          </w:p>
        </w:tc>
      </w:tr>
      <w:tr w:rsidR="00285D58" w:rsidRPr="00996684" w14:paraId="1E39B407" w14:textId="77777777" w:rsidTr="00285D58">
        <w:trPr>
          <w:trHeight w:val="300"/>
        </w:trPr>
        <w:tc>
          <w:tcPr>
            <w:tcW w:w="7513" w:type="dxa"/>
            <w:shd w:val="clear" w:color="auto" w:fill="auto"/>
            <w:noWrap/>
            <w:vAlign w:val="bottom"/>
            <w:hideMark/>
          </w:tcPr>
          <w:p w14:paraId="65A8F7D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AUTÓMATAS DE CONTROL</w:t>
            </w:r>
          </w:p>
        </w:tc>
      </w:tr>
      <w:tr w:rsidR="00285D58" w:rsidRPr="00996684" w14:paraId="1A8DC7B0" w14:textId="77777777" w:rsidTr="00285D58">
        <w:trPr>
          <w:trHeight w:val="300"/>
        </w:trPr>
        <w:tc>
          <w:tcPr>
            <w:tcW w:w="7513" w:type="dxa"/>
            <w:shd w:val="clear" w:color="auto" w:fill="auto"/>
            <w:noWrap/>
            <w:vAlign w:val="bottom"/>
            <w:hideMark/>
          </w:tcPr>
          <w:p w14:paraId="26BC22B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VEHÍCULOS</w:t>
            </w:r>
          </w:p>
        </w:tc>
      </w:tr>
      <w:tr w:rsidR="00285D58" w:rsidRPr="00996684" w14:paraId="480B8440" w14:textId="77777777" w:rsidTr="00285D58">
        <w:trPr>
          <w:trHeight w:val="300"/>
        </w:trPr>
        <w:tc>
          <w:tcPr>
            <w:tcW w:w="7513" w:type="dxa"/>
            <w:shd w:val="clear" w:color="auto" w:fill="auto"/>
            <w:noWrap/>
            <w:vAlign w:val="bottom"/>
            <w:hideMark/>
          </w:tcPr>
          <w:p w14:paraId="4C327DA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ALQUILER DE GRÚA 10TON</w:t>
            </w:r>
          </w:p>
        </w:tc>
      </w:tr>
      <w:tr w:rsidR="00285D58" w:rsidRPr="00996684" w14:paraId="69F510FE" w14:textId="77777777" w:rsidTr="00285D58">
        <w:trPr>
          <w:trHeight w:val="300"/>
        </w:trPr>
        <w:tc>
          <w:tcPr>
            <w:tcW w:w="7513" w:type="dxa"/>
            <w:shd w:val="clear" w:color="auto" w:fill="auto"/>
            <w:noWrap/>
            <w:vAlign w:val="bottom"/>
            <w:hideMark/>
          </w:tcPr>
          <w:p w14:paraId="7CDD6C81"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ALQUILER ELEVADOR DE CANASTA 2 PERSONAS</w:t>
            </w:r>
          </w:p>
          <w:p w14:paraId="55988839" w14:textId="77777777" w:rsidR="00285D58" w:rsidRPr="00996684" w:rsidRDefault="00285D58" w:rsidP="00285D58">
            <w:pPr>
              <w:rPr>
                <w:rFonts w:ascii="Calibri" w:eastAsia="Times New Roman" w:hAnsi="Calibri" w:cs="Calibri"/>
                <w:color w:val="000000"/>
              </w:rPr>
            </w:pPr>
          </w:p>
          <w:p w14:paraId="57AEDA2F" w14:textId="77777777" w:rsidR="00285D58" w:rsidRPr="00996684" w:rsidRDefault="00285D58" w:rsidP="00285D58">
            <w:pPr>
              <w:rPr>
                <w:rFonts w:ascii="Calibri" w:eastAsia="Times New Roman" w:hAnsi="Calibri" w:cs="Calibri"/>
                <w:color w:val="000000"/>
              </w:rPr>
            </w:pPr>
          </w:p>
        </w:tc>
      </w:tr>
      <w:tr w:rsidR="00285D58" w:rsidRPr="00996684" w14:paraId="1C099F3E" w14:textId="77777777" w:rsidTr="00285D58">
        <w:trPr>
          <w:trHeight w:val="300"/>
        </w:trPr>
        <w:tc>
          <w:tcPr>
            <w:tcW w:w="7513" w:type="dxa"/>
            <w:shd w:val="clear" w:color="auto" w:fill="auto"/>
            <w:noWrap/>
            <w:vAlign w:val="bottom"/>
            <w:hideMark/>
          </w:tcPr>
          <w:p w14:paraId="7999CAE5"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REPUESTOS PARA MANTENIMIENTO DE EDIFICIOS</w:t>
            </w:r>
          </w:p>
        </w:tc>
      </w:tr>
      <w:tr w:rsidR="00285D58" w:rsidRPr="00996684" w14:paraId="74477353" w14:textId="77777777" w:rsidTr="00285D58">
        <w:trPr>
          <w:trHeight w:val="300"/>
        </w:trPr>
        <w:tc>
          <w:tcPr>
            <w:tcW w:w="7513" w:type="dxa"/>
            <w:shd w:val="clear" w:color="auto" w:fill="auto"/>
            <w:noWrap/>
            <w:vAlign w:val="bottom"/>
            <w:hideMark/>
          </w:tcPr>
          <w:p w14:paraId="382EBE4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TABLERO ELECTRICO</w:t>
            </w:r>
          </w:p>
        </w:tc>
      </w:tr>
      <w:tr w:rsidR="00285D58" w:rsidRPr="00996684" w14:paraId="1223B961" w14:textId="77777777" w:rsidTr="00285D58">
        <w:trPr>
          <w:trHeight w:val="300"/>
        </w:trPr>
        <w:tc>
          <w:tcPr>
            <w:tcW w:w="7513" w:type="dxa"/>
            <w:shd w:val="clear" w:color="auto" w:fill="auto"/>
            <w:noWrap/>
            <w:vAlign w:val="bottom"/>
            <w:hideMark/>
          </w:tcPr>
          <w:p w14:paraId="742031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LUMINARIAS 4X36W-4X18W</w:t>
            </w:r>
          </w:p>
        </w:tc>
      </w:tr>
      <w:tr w:rsidR="00285D58" w:rsidRPr="00996684" w14:paraId="24488323" w14:textId="77777777" w:rsidTr="00285D58">
        <w:trPr>
          <w:trHeight w:val="300"/>
        </w:trPr>
        <w:tc>
          <w:tcPr>
            <w:tcW w:w="7513" w:type="dxa"/>
            <w:shd w:val="clear" w:color="auto" w:fill="auto"/>
            <w:noWrap/>
            <w:vAlign w:val="bottom"/>
            <w:hideMark/>
          </w:tcPr>
          <w:p w14:paraId="7F8B765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SANITARIOS</w:t>
            </w:r>
          </w:p>
        </w:tc>
      </w:tr>
      <w:tr w:rsidR="00285D58" w:rsidRPr="00996684" w14:paraId="5F0DD8BF" w14:textId="77777777" w:rsidTr="00285D58">
        <w:trPr>
          <w:trHeight w:val="300"/>
        </w:trPr>
        <w:tc>
          <w:tcPr>
            <w:tcW w:w="7513" w:type="dxa"/>
            <w:shd w:val="clear" w:color="auto" w:fill="auto"/>
            <w:noWrap/>
            <w:vAlign w:val="bottom"/>
            <w:hideMark/>
          </w:tcPr>
          <w:p w14:paraId="0CDB95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PINTURA PAREDES</w:t>
            </w:r>
          </w:p>
        </w:tc>
      </w:tr>
      <w:tr w:rsidR="00285D58" w:rsidRPr="00996684" w14:paraId="231CD3A0" w14:textId="77777777" w:rsidTr="00285D58">
        <w:trPr>
          <w:trHeight w:val="300"/>
        </w:trPr>
        <w:tc>
          <w:tcPr>
            <w:tcW w:w="7513" w:type="dxa"/>
            <w:shd w:val="clear" w:color="auto" w:fill="auto"/>
            <w:noWrap/>
            <w:vAlign w:val="bottom"/>
            <w:hideMark/>
          </w:tcPr>
          <w:p w14:paraId="3140EEF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PINTURA REVESTIMIENTO DE METALES</w:t>
            </w:r>
          </w:p>
        </w:tc>
      </w:tr>
      <w:tr w:rsidR="00285D58" w:rsidRPr="00996684" w14:paraId="30C3DBA7" w14:textId="77777777" w:rsidTr="00285D58">
        <w:trPr>
          <w:trHeight w:val="300"/>
        </w:trPr>
        <w:tc>
          <w:tcPr>
            <w:tcW w:w="7513" w:type="dxa"/>
            <w:shd w:val="clear" w:color="auto" w:fill="auto"/>
            <w:noWrap/>
            <w:vAlign w:val="bottom"/>
            <w:hideMark/>
          </w:tcPr>
          <w:p w14:paraId="23EF5CB2"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PISOS (LOSETA)</w:t>
            </w:r>
          </w:p>
        </w:tc>
      </w:tr>
      <w:tr w:rsidR="00285D58" w:rsidRPr="00996684" w14:paraId="5B120881" w14:textId="77777777" w:rsidTr="00285D58">
        <w:trPr>
          <w:trHeight w:val="300"/>
        </w:trPr>
        <w:tc>
          <w:tcPr>
            <w:tcW w:w="7513" w:type="dxa"/>
            <w:shd w:val="clear" w:color="auto" w:fill="auto"/>
            <w:noWrap/>
            <w:vAlign w:val="bottom"/>
            <w:hideMark/>
          </w:tcPr>
          <w:p w14:paraId="64CE57F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VIDRIOS (TEMPLADO 6mm)</w:t>
            </w:r>
          </w:p>
        </w:tc>
      </w:tr>
      <w:tr w:rsidR="00285D58" w:rsidRPr="00996684" w14:paraId="09DE9979" w14:textId="77777777" w:rsidTr="00285D58">
        <w:trPr>
          <w:trHeight w:val="300"/>
        </w:trPr>
        <w:tc>
          <w:tcPr>
            <w:tcW w:w="7513" w:type="dxa"/>
            <w:shd w:val="clear" w:color="auto" w:fill="auto"/>
            <w:noWrap/>
            <w:vAlign w:val="bottom"/>
            <w:hideMark/>
          </w:tcPr>
          <w:p w14:paraId="5DDD324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SEÑALÉTICA (ESTÁTICA)</w:t>
            </w:r>
          </w:p>
        </w:tc>
      </w:tr>
      <w:tr w:rsidR="00285D58" w:rsidRPr="00996684" w14:paraId="550E5737" w14:textId="77777777" w:rsidTr="00285D58">
        <w:trPr>
          <w:trHeight w:val="300"/>
        </w:trPr>
        <w:tc>
          <w:tcPr>
            <w:tcW w:w="7513" w:type="dxa"/>
            <w:shd w:val="clear" w:color="auto" w:fill="auto"/>
            <w:noWrap/>
            <w:vAlign w:val="bottom"/>
            <w:hideMark/>
          </w:tcPr>
          <w:p w14:paraId="3BB27BF7"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ABONO Y CONSUMIBLES JARDINERÍA</w:t>
            </w:r>
          </w:p>
          <w:p w14:paraId="494A97BC" w14:textId="77777777" w:rsidR="00285D58" w:rsidRPr="00996684" w:rsidRDefault="00285D58" w:rsidP="00285D58">
            <w:pPr>
              <w:rPr>
                <w:rFonts w:ascii="Calibri" w:eastAsia="Times New Roman" w:hAnsi="Calibri" w:cs="Calibri"/>
                <w:color w:val="000000"/>
              </w:rPr>
            </w:pPr>
          </w:p>
          <w:p w14:paraId="4DABDB71" w14:textId="77777777" w:rsidR="00285D58" w:rsidRPr="00996684" w:rsidRDefault="00285D58" w:rsidP="00285D58">
            <w:pPr>
              <w:rPr>
                <w:rFonts w:ascii="Calibri" w:eastAsia="Times New Roman" w:hAnsi="Calibri" w:cs="Calibri"/>
                <w:color w:val="000000"/>
              </w:rPr>
            </w:pPr>
          </w:p>
        </w:tc>
      </w:tr>
      <w:tr w:rsidR="00285D58" w:rsidRPr="00996684" w14:paraId="5B9D29DF" w14:textId="77777777" w:rsidTr="00285D58">
        <w:trPr>
          <w:trHeight w:val="300"/>
        </w:trPr>
        <w:tc>
          <w:tcPr>
            <w:tcW w:w="7513" w:type="dxa"/>
            <w:shd w:val="clear" w:color="auto" w:fill="auto"/>
            <w:noWrap/>
            <w:vAlign w:val="bottom"/>
            <w:hideMark/>
          </w:tcPr>
          <w:p w14:paraId="2234B8AB"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PARA MANTENIMIENTO DE EDIFICIOS</w:t>
            </w:r>
          </w:p>
        </w:tc>
      </w:tr>
      <w:tr w:rsidR="00285D58" w:rsidRPr="00996684" w14:paraId="693F3984" w14:textId="77777777" w:rsidTr="00285D58">
        <w:trPr>
          <w:trHeight w:val="390"/>
        </w:trPr>
        <w:tc>
          <w:tcPr>
            <w:tcW w:w="7513" w:type="dxa"/>
            <w:shd w:val="clear" w:color="auto" w:fill="auto"/>
            <w:vAlign w:val="bottom"/>
            <w:hideMark/>
          </w:tcPr>
          <w:p w14:paraId="375C413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DE HERRAMIENTAS (LLAVES, ALICATES, WINCHAS, NIVEL, ETC, DESARMADORES, ETC)</w:t>
            </w:r>
          </w:p>
        </w:tc>
      </w:tr>
      <w:tr w:rsidR="00285D58" w:rsidRPr="00996684" w14:paraId="275C1C1F" w14:textId="77777777" w:rsidTr="00285D58">
        <w:trPr>
          <w:trHeight w:val="300"/>
        </w:trPr>
        <w:tc>
          <w:tcPr>
            <w:tcW w:w="7513" w:type="dxa"/>
            <w:shd w:val="clear" w:color="auto" w:fill="auto"/>
            <w:noWrap/>
            <w:vAlign w:val="bottom"/>
            <w:hideMark/>
          </w:tcPr>
          <w:p w14:paraId="398E68E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DE DADOS 1/2"</w:t>
            </w:r>
          </w:p>
        </w:tc>
      </w:tr>
      <w:tr w:rsidR="00285D58" w:rsidRPr="00996684" w14:paraId="553856A2" w14:textId="77777777" w:rsidTr="00285D58">
        <w:trPr>
          <w:trHeight w:val="300"/>
        </w:trPr>
        <w:tc>
          <w:tcPr>
            <w:tcW w:w="7513" w:type="dxa"/>
            <w:shd w:val="clear" w:color="auto" w:fill="auto"/>
            <w:noWrap/>
            <w:vAlign w:val="bottom"/>
            <w:hideMark/>
          </w:tcPr>
          <w:p w14:paraId="13AFAAC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MARTILLO</w:t>
            </w:r>
          </w:p>
        </w:tc>
      </w:tr>
      <w:tr w:rsidR="00285D58" w:rsidRPr="00996684" w14:paraId="2784A24C" w14:textId="77777777" w:rsidTr="00285D58">
        <w:trPr>
          <w:trHeight w:val="300"/>
        </w:trPr>
        <w:tc>
          <w:tcPr>
            <w:tcW w:w="7513" w:type="dxa"/>
            <w:shd w:val="clear" w:color="auto" w:fill="auto"/>
            <w:noWrap/>
            <w:vAlign w:val="bottom"/>
            <w:hideMark/>
          </w:tcPr>
          <w:p w14:paraId="6D606EB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ROTOMARTILLO</w:t>
            </w:r>
          </w:p>
        </w:tc>
      </w:tr>
      <w:tr w:rsidR="00285D58" w:rsidRPr="00996684" w14:paraId="5CB76873" w14:textId="77777777" w:rsidTr="00285D58">
        <w:trPr>
          <w:trHeight w:val="300"/>
        </w:trPr>
        <w:tc>
          <w:tcPr>
            <w:tcW w:w="7513" w:type="dxa"/>
            <w:shd w:val="clear" w:color="auto" w:fill="auto"/>
            <w:noWrap/>
            <w:vAlign w:val="bottom"/>
            <w:hideMark/>
          </w:tcPr>
          <w:p w14:paraId="2653177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ARCO DE SIERRA</w:t>
            </w:r>
          </w:p>
        </w:tc>
      </w:tr>
      <w:tr w:rsidR="00285D58" w:rsidRPr="00996684" w14:paraId="37E788D9" w14:textId="77777777" w:rsidTr="00285D58">
        <w:trPr>
          <w:trHeight w:val="300"/>
        </w:trPr>
        <w:tc>
          <w:tcPr>
            <w:tcW w:w="7513" w:type="dxa"/>
            <w:shd w:val="clear" w:color="auto" w:fill="auto"/>
            <w:noWrap/>
            <w:vAlign w:val="bottom"/>
            <w:hideMark/>
          </w:tcPr>
          <w:p w14:paraId="032EDD2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ESMERIL ELÉCTRICO 850W</w:t>
            </w:r>
          </w:p>
        </w:tc>
      </w:tr>
      <w:tr w:rsidR="00285D58" w:rsidRPr="00996684" w14:paraId="00AB357A" w14:textId="77777777" w:rsidTr="00285D58">
        <w:trPr>
          <w:trHeight w:val="300"/>
        </w:trPr>
        <w:tc>
          <w:tcPr>
            <w:tcW w:w="7513" w:type="dxa"/>
            <w:shd w:val="clear" w:color="auto" w:fill="auto"/>
            <w:noWrap/>
            <w:vAlign w:val="bottom"/>
            <w:hideMark/>
          </w:tcPr>
          <w:p w14:paraId="4879B89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LINTERNA LED</w:t>
            </w:r>
          </w:p>
        </w:tc>
      </w:tr>
      <w:tr w:rsidR="00285D58" w:rsidRPr="00996684" w14:paraId="05EE9347" w14:textId="77777777" w:rsidTr="00285D58">
        <w:trPr>
          <w:trHeight w:val="300"/>
        </w:trPr>
        <w:tc>
          <w:tcPr>
            <w:tcW w:w="7513" w:type="dxa"/>
            <w:shd w:val="clear" w:color="auto" w:fill="auto"/>
            <w:noWrap/>
            <w:vAlign w:val="bottom"/>
            <w:hideMark/>
          </w:tcPr>
          <w:p w14:paraId="432F3AC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COMPRESOR DE AIRE 1450W</w:t>
            </w:r>
          </w:p>
        </w:tc>
      </w:tr>
      <w:tr w:rsidR="00285D58" w:rsidRPr="00996684" w14:paraId="62682252" w14:textId="77777777" w:rsidTr="00285D58">
        <w:trPr>
          <w:trHeight w:val="300"/>
        </w:trPr>
        <w:tc>
          <w:tcPr>
            <w:tcW w:w="7513" w:type="dxa"/>
            <w:shd w:val="clear" w:color="auto" w:fill="auto"/>
            <w:noWrap/>
            <w:vAlign w:val="bottom"/>
            <w:hideMark/>
          </w:tcPr>
          <w:p w14:paraId="2C94C57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ACEITERA</w:t>
            </w:r>
          </w:p>
        </w:tc>
      </w:tr>
      <w:tr w:rsidR="00285D58" w:rsidRPr="00996684" w14:paraId="3537EE6A" w14:textId="77777777" w:rsidTr="00285D58">
        <w:trPr>
          <w:trHeight w:val="300"/>
        </w:trPr>
        <w:tc>
          <w:tcPr>
            <w:tcW w:w="7513" w:type="dxa"/>
            <w:shd w:val="clear" w:color="auto" w:fill="auto"/>
            <w:noWrap/>
            <w:vAlign w:val="bottom"/>
            <w:hideMark/>
          </w:tcPr>
          <w:p w14:paraId="4FF9978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 xml:space="preserve">CEPILLO DE MADERA 700W </w:t>
            </w:r>
          </w:p>
        </w:tc>
      </w:tr>
      <w:tr w:rsidR="00285D58" w:rsidRPr="00996684" w14:paraId="5D09DDE7" w14:textId="77777777" w:rsidTr="00285D58">
        <w:trPr>
          <w:trHeight w:val="300"/>
        </w:trPr>
        <w:tc>
          <w:tcPr>
            <w:tcW w:w="7513" w:type="dxa"/>
            <w:shd w:val="clear" w:color="auto" w:fill="auto"/>
            <w:noWrap/>
            <w:vAlign w:val="bottom"/>
            <w:hideMark/>
          </w:tcPr>
          <w:p w14:paraId="3DC22B7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EQUIPO DE OXICORTE CON 5 BOQUILLAS, CHISPERO, ETC</w:t>
            </w:r>
          </w:p>
        </w:tc>
      </w:tr>
      <w:tr w:rsidR="00285D58" w:rsidRPr="00996684" w14:paraId="3E3BECAF" w14:textId="77777777" w:rsidTr="00285D58">
        <w:trPr>
          <w:trHeight w:val="300"/>
        </w:trPr>
        <w:tc>
          <w:tcPr>
            <w:tcW w:w="7513" w:type="dxa"/>
            <w:shd w:val="clear" w:color="auto" w:fill="auto"/>
            <w:noWrap/>
            <w:vAlign w:val="bottom"/>
            <w:hideMark/>
          </w:tcPr>
          <w:p w14:paraId="5E92BB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SET HERRAMIENTAS JARDINERÍA</w:t>
            </w:r>
          </w:p>
        </w:tc>
      </w:tr>
      <w:tr w:rsidR="00285D58" w:rsidRPr="00996684" w14:paraId="73DBE201" w14:textId="77777777" w:rsidTr="00285D58">
        <w:trPr>
          <w:trHeight w:val="300"/>
        </w:trPr>
        <w:tc>
          <w:tcPr>
            <w:tcW w:w="7513" w:type="dxa"/>
            <w:shd w:val="clear" w:color="auto" w:fill="auto"/>
            <w:noWrap/>
            <w:vAlign w:val="bottom"/>
            <w:hideMark/>
          </w:tcPr>
          <w:p w14:paraId="1BF3D26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PULVERIZADORA PORTÁTIL</w:t>
            </w:r>
          </w:p>
        </w:tc>
      </w:tr>
      <w:tr w:rsidR="00285D58" w:rsidRPr="00996684" w14:paraId="4C45A0DB" w14:textId="77777777" w:rsidTr="00285D58">
        <w:trPr>
          <w:trHeight w:val="300"/>
        </w:trPr>
        <w:tc>
          <w:tcPr>
            <w:tcW w:w="7513" w:type="dxa"/>
            <w:shd w:val="clear" w:color="auto" w:fill="auto"/>
            <w:noWrap/>
            <w:vAlign w:val="bottom"/>
            <w:hideMark/>
          </w:tcPr>
          <w:p w14:paraId="557A34B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CORTADORA DE CÉSPED 1.6KW</w:t>
            </w:r>
          </w:p>
        </w:tc>
      </w:tr>
      <w:tr w:rsidR="00285D58" w:rsidRPr="00996684" w14:paraId="6CB1B049" w14:textId="77777777" w:rsidTr="00285D58">
        <w:trPr>
          <w:trHeight w:val="300"/>
        </w:trPr>
        <w:tc>
          <w:tcPr>
            <w:tcW w:w="7513" w:type="dxa"/>
            <w:shd w:val="clear" w:color="auto" w:fill="auto"/>
            <w:noWrap/>
            <w:vAlign w:val="bottom"/>
            <w:hideMark/>
          </w:tcPr>
          <w:p w14:paraId="2638D0D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MOTO GUADAÑA 3HP</w:t>
            </w:r>
          </w:p>
        </w:tc>
      </w:tr>
      <w:tr w:rsidR="00285D58" w:rsidRPr="00996684" w14:paraId="1C5BF242" w14:textId="77777777" w:rsidTr="00285D58">
        <w:trPr>
          <w:trHeight w:val="300"/>
        </w:trPr>
        <w:tc>
          <w:tcPr>
            <w:tcW w:w="7513" w:type="dxa"/>
            <w:shd w:val="clear" w:color="auto" w:fill="auto"/>
            <w:noWrap/>
            <w:vAlign w:val="bottom"/>
            <w:hideMark/>
          </w:tcPr>
          <w:p w14:paraId="77C4BFFA"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MOTOSIERRA 1.2HP</w:t>
            </w:r>
          </w:p>
          <w:p w14:paraId="5205C38B" w14:textId="77777777" w:rsidR="00285D58" w:rsidRPr="00996684" w:rsidRDefault="00285D58" w:rsidP="00285D58">
            <w:pPr>
              <w:rPr>
                <w:rFonts w:ascii="Calibri" w:eastAsia="Times New Roman" w:hAnsi="Calibri" w:cs="Calibri"/>
                <w:color w:val="000000"/>
              </w:rPr>
            </w:pPr>
          </w:p>
          <w:p w14:paraId="422B90B9" w14:textId="77777777" w:rsidR="00285D58" w:rsidRPr="00996684" w:rsidRDefault="00285D58" w:rsidP="00285D58">
            <w:pPr>
              <w:rPr>
                <w:rFonts w:ascii="Calibri" w:eastAsia="Times New Roman" w:hAnsi="Calibri" w:cs="Calibri"/>
                <w:color w:val="000000"/>
              </w:rPr>
            </w:pPr>
          </w:p>
        </w:tc>
      </w:tr>
      <w:tr w:rsidR="00285D58" w:rsidRPr="00996684" w14:paraId="0463A51B" w14:textId="77777777" w:rsidTr="00285D58">
        <w:trPr>
          <w:trHeight w:val="300"/>
        </w:trPr>
        <w:tc>
          <w:tcPr>
            <w:tcW w:w="7513" w:type="dxa"/>
            <w:shd w:val="clear" w:color="auto" w:fill="auto"/>
            <w:noWrap/>
            <w:vAlign w:val="bottom"/>
            <w:hideMark/>
          </w:tcPr>
          <w:p w14:paraId="0E699AC8"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REPUESTOS DE ASEO</w:t>
            </w:r>
          </w:p>
        </w:tc>
      </w:tr>
      <w:tr w:rsidR="00285D58" w:rsidRPr="00996684" w14:paraId="08BD4768" w14:textId="77777777" w:rsidTr="00285D58">
        <w:trPr>
          <w:trHeight w:val="300"/>
        </w:trPr>
        <w:tc>
          <w:tcPr>
            <w:tcW w:w="7513" w:type="dxa"/>
            <w:shd w:val="clear" w:color="auto" w:fill="auto"/>
            <w:noWrap/>
            <w:vAlign w:val="bottom"/>
            <w:hideMark/>
          </w:tcPr>
          <w:p w14:paraId="7DC1A3F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DESENGRASANTE INDUSTRIAL (9-11%) SOLUBLE 5GL</w:t>
            </w:r>
          </w:p>
        </w:tc>
      </w:tr>
      <w:tr w:rsidR="00285D58" w:rsidRPr="00996684" w14:paraId="37FC1384" w14:textId="77777777" w:rsidTr="00285D58">
        <w:trPr>
          <w:trHeight w:val="300"/>
        </w:trPr>
        <w:tc>
          <w:tcPr>
            <w:tcW w:w="7513" w:type="dxa"/>
            <w:shd w:val="clear" w:color="auto" w:fill="auto"/>
            <w:noWrap/>
            <w:vAlign w:val="bottom"/>
            <w:hideMark/>
          </w:tcPr>
          <w:p w14:paraId="6069054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DESINFECTANTE HIPOCLORITO INDUSTRIAL (5-6%). 1GL</w:t>
            </w:r>
          </w:p>
        </w:tc>
      </w:tr>
      <w:tr w:rsidR="00285D58" w:rsidRPr="00996684" w14:paraId="06D58857" w14:textId="77777777" w:rsidTr="00285D58">
        <w:trPr>
          <w:trHeight w:val="300"/>
        </w:trPr>
        <w:tc>
          <w:tcPr>
            <w:tcW w:w="7513" w:type="dxa"/>
            <w:shd w:val="clear" w:color="auto" w:fill="auto"/>
            <w:noWrap/>
            <w:vAlign w:val="bottom"/>
            <w:hideMark/>
          </w:tcPr>
          <w:p w14:paraId="5C85748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DESTAPA CAÑERÍAS. 500ML</w:t>
            </w:r>
          </w:p>
        </w:tc>
      </w:tr>
      <w:tr w:rsidR="00285D58" w:rsidRPr="00996684" w14:paraId="407BE8D1" w14:textId="77777777" w:rsidTr="00285D58">
        <w:trPr>
          <w:trHeight w:val="300"/>
        </w:trPr>
        <w:tc>
          <w:tcPr>
            <w:tcW w:w="7513" w:type="dxa"/>
            <w:shd w:val="clear" w:color="auto" w:fill="auto"/>
            <w:noWrap/>
            <w:vAlign w:val="bottom"/>
            <w:hideMark/>
          </w:tcPr>
          <w:p w14:paraId="48DC24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LÍQUIDO LIMPIAVIDRIOS. 4L</w:t>
            </w:r>
          </w:p>
        </w:tc>
      </w:tr>
      <w:tr w:rsidR="00285D58" w:rsidRPr="00996684" w14:paraId="3E901C33" w14:textId="77777777" w:rsidTr="00285D58">
        <w:trPr>
          <w:trHeight w:val="300"/>
        </w:trPr>
        <w:tc>
          <w:tcPr>
            <w:tcW w:w="7513" w:type="dxa"/>
            <w:shd w:val="clear" w:color="auto" w:fill="auto"/>
            <w:noWrap/>
            <w:vAlign w:val="bottom"/>
            <w:hideMark/>
          </w:tcPr>
          <w:p w14:paraId="6C9F83C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SELLADOR PARA PISO DE 25%. 5GL</w:t>
            </w:r>
          </w:p>
        </w:tc>
      </w:tr>
      <w:tr w:rsidR="00285D58" w:rsidRPr="00996684" w14:paraId="6412A9D2" w14:textId="77777777" w:rsidTr="00285D58">
        <w:trPr>
          <w:trHeight w:val="300"/>
        </w:trPr>
        <w:tc>
          <w:tcPr>
            <w:tcW w:w="7513" w:type="dxa"/>
            <w:shd w:val="clear" w:color="auto" w:fill="auto"/>
            <w:noWrap/>
            <w:vAlign w:val="bottom"/>
            <w:hideMark/>
          </w:tcPr>
          <w:p w14:paraId="3996AA5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AMBIENTADOR LÍQUIDO ATOMIZABLE. 5GL</w:t>
            </w:r>
          </w:p>
        </w:tc>
      </w:tr>
      <w:tr w:rsidR="00285D58" w:rsidRPr="00996684" w14:paraId="7EB1FF6F" w14:textId="77777777" w:rsidTr="00285D58">
        <w:trPr>
          <w:trHeight w:val="300"/>
        </w:trPr>
        <w:tc>
          <w:tcPr>
            <w:tcW w:w="7513" w:type="dxa"/>
            <w:shd w:val="clear" w:color="auto" w:fill="auto"/>
            <w:noWrap/>
            <w:vAlign w:val="bottom"/>
            <w:hideMark/>
          </w:tcPr>
          <w:p w14:paraId="3B09B6A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CERA POLIMÉRICA PARA PISOS, AUTO BRILLANTE. 1GL</w:t>
            </w:r>
          </w:p>
        </w:tc>
      </w:tr>
      <w:tr w:rsidR="00285D58" w:rsidRPr="00996684" w14:paraId="7CD8B61A" w14:textId="77777777" w:rsidTr="00285D58">
        <w:trPr>
          <w:trHeight w:val="300"/>
        </w:trPr>
        <w:tc>
          <w:tcPr>
            <w:tcW w:w="7513" w:type="dxa"/>
            <w:shd w:val="clear" w:color="auto" w:fill="auto"/>
            <w:noWrap/>
            <w:vAlign w:val="bottom"/>
            <w:hideMark/>
          </w:tcPr>
          <w:p w14:paraId="0DA13772"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ESCOBA SUAVE DE FIBRA PLÁSTICA PLUMILLADA</w:t>
            </w:r>
          </w:p>
        </w:tc>
      </w:tr>
      <w:tr w:rsidR="00285D58" w:rsidRPr="00996684" w14:paraId="3D259328" w14:textId="77777777" w:rsidTr="00285D58">
        <w:trPr>
          <w:trHeight w:val="300"/>
        </w:trPr>
        <w:tc>
          <w:tcPr>
            <w:tcW w:w="7513" w:type="dxa"/>
            <w:shd w:val="clear" w:color="auto" w:fill="auto"/>
            <w:noWrap/>
            <w:vAlign w:val="bottom"/>
            <w:hideMark/>
          </w:tcPr>
          <w:p w14:paraId="20CEEB4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ESCOBA DURA DE FIBRA PLÁSTICA</w:t>
            </w:r>
          </w:p>
        </w:tc>
      </w:tr>
      <w:tr w:rsidR="00285D58" w:rsidRPr="00996684" w14:paraId="2B8EFFBA" w14:textId="77777777" w:rsidTr="00285D58">
        <w:trPr>
          <w:trHeight w:val="300"/>
        </w:trPr>
        <w:tc>
          <w:tcPr>
            <w:tcW w:w="7513" w:type="dxa"/>
            <w:shd w:val="clear" w:color="auto" w:fill="auto"/>
            <w:noWrap/>
            <w:vAlign w:val="bottom"/>
            <w:hideMark/>
          </w:tcPr>
          <w:p w14:paraId="658B497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TRAPERO ENCABADO DE 500G</w:t>
            </w:r>
          </w:p>
        </w:tc>
      </w:tr>
      <w:tr w:rsidR="00285D58" w:rsidRPr="00996684" w14:paraId="07F2FBD5" w14:textId="77777777" w:rsidTr="00285D58">
        <w:trPr>
          <w:trHeight w:val="300"/>
        </w:trPr>
        <w:tc>
          <w:tcPr>
            <w:tcW w:w="7513" w:type="dxa"/>
            <w:shd w:val="clear" w:color="auto" w:fill="auto"/>
            <w:noWrap/>
            <w:vAlign w:val="bottom"/>
            <w:hideMark/>
          </w:tcPr>
          <w:p w14:paraId="27F548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PAÑO ABSORBENTE MULTIUSO. 8UN</w:t>
            </w:r>
          </w:p>
        </w:tc>
      </w:tr>
      <w:tr w:rsidR="00285D58" w:rsidRPr="00996684" w14:paraId="014EAC54" w14:textId="77777777" w:rsidTr="00285D58">
        <w:trPr>
          <w:trHeight w:val="300"/>
        </w:trPr>
        <w:tc>
          <w:tcPr>
            <w:tcW w:w="7513" w:type="dxa"/>
            <w:shd w:val="clear" w:color="auto" w:fill="auto"/>
            <w:noWrap/>
            <w:vAlign w:val="bottom"/>
            <w:hideMark/>
          </w:tcPr>
          <w:p w14:paraId="0FB3D71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RECOGEDOR DE PLÁSTICO RÍGIDO</w:t>
            </w:r>
          </w:p>
        </w:tc>
      </w:tr>
      <w:tr w:rsidR="00285D58" w:rsidRPr="00996684" w14:paraId="22AEE1D2" w14:textId="77777777" w:rsidTr="00285D58">
        <w:trPr>
          <w:trHeight w:val="300"/>
        </w:trPr>
        <w:tc>
          <w:tcPr>
            <w:tcW w:w="7513" w:type="dxa"/>
            <w:shd w:val="clear" w:color="auto" w:fill="auto"/>
            <w:noWrap/>
            <w:vAlign w:val="bottom"/>
            <w:hideMark/>
          </w:tcPr>
          <w:p w14:paraId="4235BD6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PLUMERO EXTENSIBLE DE MICROFIBRA</w:t>
            </w:r>
          </w:p>
        </w:tc>
      </w:tr>
      <w:tr w:rsidR="00285D58" w:rsidRPr="00996684" w14:paraId="42B24E75" w14:textId="77777777" w:rsidTr="00285D58">
        <w:trPr>
          <w:trHeight w:val="300"/>
        </w:trPr>
        <w:tc>
          <w:tcPr>
            <w:tcW w:w="7513" w:type="dxa"/>
            <w:shd w:val="clear" w:color="auto" w:fill="auto"/>
            <w:noWrap/>
            <w:vAlign w:val="bottom"/>
            <w:hideMark/>
          </w:tcPr>
          <w:p w14:paraId="2A1A015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ESPONJA EN FIBRA MULTIUSO 6 UN</w:t>
            </w:r>
          </w:p>
        </w:tc>
      </w:tr>
      <w:tr w:rsidR="00285D58" w:rsidRPr="00996684" w14:paraId="29DAA9F0" w14:textId="77777777" w:rsidTr="00285D58">
        <w:trPr>
          <w:trHeight w:val="300"/>
        </w:trPr>
        <w:tc>
          <w:tcPr>
            <w:tcW w:w="7513" w:type="dxa"/>
            <w:shd w:val="clear" w:color="auto" w:fill="auto"/>
            <w:noWrap/>
            <w:vAlign w:val="bottom"/>
            <w:hideMark/>
          </w:tcPr>
          <w:p w14:paraId="4D78AEE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CEPILLO DE MANO DE FIBRA PLÁSTICA LISA RÍGIDA</w:t>
            </w:r>
          </w:p>
        </w:tc>
      </w:tr>
      <w:tr w:rsidR="00285D58" w:rsidRPr="00996684" w14:paraId="1A861BC6" w14:textId="77777777" w:rsidTr="00285D58">
        <w:trPr>
          <w:trHeight w:val="300"/>
        </w:trPr>
        <w:tc>
          <w:tcPr>
            <w:tcW w:w="7513" w:type="dxa"/>
            <w:shd w:val="clear" w:color="auto" w:fill="auto"/>
            <w:noWrap/>
            <w:vAlign w:val="bottom"/>
            <w:hideMark/>
          </w:tcPr>
          <w:p w14:paraId="44B623B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MASCARILLA DESECHABLE. 50 UN</w:t>
            </w:r>
          </w:p>
        </w:tc>
      </w:tr>
      <w:tr w:rsidR="00285D58" w:rsidRPr="00996684" w14:paraId="3EFA5043" w14:textId="77777777" w:rsidTr="00285D58">
        <w:trPr>
          <w:trHeight w:val="300"/>
        </w:trPr>
        <w:tc>
          <w:tcPr>
            <w:tcW w:w="7513" w:type="dxa"/>
            <w:shd w:val="clear" w:color="auto" w:fill="auto"/>
            <w:noWrap/>
            <w:vAlign w:val="bottom"/>
            <w:hideMark/>
          </w:tcPr>
          <w:p w14:paraId="25E4360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GUANTE CALIBRE 50</w:t>
            </w:r>
          </w:p>
        </w:tc>
      </w:tr>
      <w:tr w:rsidR="00285D58" w:rsidRPr="00996684" w14:paraId="48035850" w14:textId="77777777" w:rsidTr="00285D58">
        <w:trPr>
          <w:trHeight w:val="300"/>
        </w:trPr>
        <w:tc>
          <w:tcPr>
            <w:tcW w:w="7513" w:type="dxa"/>
            <w:shd w:val="clear" w:color="auto" w:fill="auto"/>
            <w:noWrap/>
            <w:vAlign w:val="bottom"/>
            <w:hideMark/>
          </w:tcPr>
          <w:p w14:paraId="23E5F56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BAYETILLA ROJA 40X70CM</w:t>
            </w:r>
          </w:p>
        </w:tc>
      </w:tr>
      <w:tr w:rsidR="00285D58" w:rsidRPr="00996684" w14:paraId="4F1DF3BE" w14:textId="77777777" w:rsidTr="00285D58">
        <w:trPr>
          <w:trHeight w:val="300"/>
        </w:trPr>
        <w:tc>
          <w:tcPr>
            <w:tcW w:w="7513" w:type="dxa"/>
            <w:shd w:val="clear" w:color="auto" w:fill="auto"/>
            <w:noWrap/>
            <w:vAlign w:val="bottom"/>
            <w:hideMark/>
          </w:tcPr>
          <w:p w14:paraId="435FD93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BOLSAS NEGRA PARA BASURA 100X120 POLIPROPILENO. 10UN</w:t>
            </w:r>
          </w:p>
        </w:tc>
      </w:tr>
      <w:tr w:rsidR="00285D58" w:rsidRPr="00996684" w14:paraId="682235F2" w14:textId="77777777" w:rsidTr="00285D58">
        <w:trPr>
          <w:trHeight w:val="300"/>
        </w:trPr>
        <w:tc>
          <w:tcPr>
            <w:tcW w:w="7513" w:type="dxa"/>
            <w:shd w:val="clear" w:color="auto" w:fill="auto"/>
            <w:noWrap/>
            <w:vAlign w:val="bottom"/>
            <w:hideMark/>
          </w:tcPr>
          <w:p w14:paraId="4B1CA02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PAPEL HIGIÉNICO DOBLE HOJA EN ROLLO. 40 UN</w:t>
            </w:r>
          </w:p>
          <w:p w14:paraId="2438FA18" w14:textId="77777777" w:rsidR="00285D58" w:rsidRPr="00996684" w:rsidRDefault="00285D58" w:rsidP="00285D58">
            <w:pPr>
              <w:rPr>
                <w:rFonts w:ascii="Calibri" w:eastAsia="Times New Roman" w:hAnsi="Calibri" w:cs="Calibri"/>
                <w:color w:val="000000"/>
              </w:rPr>
            </w:pPr>
          </w:p>
          <w:p w14:paraId="38DF4336" w14:textId="77777777" w:rsidR="00285D58" w:rsidRPr="00996684" w:rsidRDefault="00285D58" w:rsidP="00285D58">
            <w:pPr>
              <w:rPr>
                <w:rFonts w:ascii="Calibri" w:eastAsia="Times New Roman" w:hAnsi="Calibri" w:cs="Calibri"/>
                <w:color w:val="000000"/>
              </w:rPr>
            </w:pPr>
          </w:p>
        </w:tc>
      </w:tr>
      <w:tr w:rsidR="00285D58" w:rsidRPr="00996684" w14:paraId="5A98A6BE" w14:textId="77777777" w:rsidTr="00285D58">
        <w:trPr>
          <w:trHeight w:val="300"/>
        </w:trPr>
        <w:tc>
          <w:tcPr>
            <w:tcW w:w="7513" w:type="dxa"/>
            <w:shd w:val="clear" w:color="auto" w:fill="auto"/>
            <w:noWrap/>
            <w:vAlign w:val="bottom"/>
            <w:hideMark/>
          </w:tcPr>
          <w:p w14:paraId="037C8220"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DE ASEO (REPOSICIÓN ANUAL)</w:t>
            </w:r>
          </w:p>
        </w:tc>
      </w:tr>
      <w:tr w:rsidR="00285D58" w:rsidRPr="00996684" w14:paraId="4B68BD13" w14:textId="77777777" w:rsidTr="00285D58">
        <w:trPr>
          <w:trHeight w:val="300"/>
        </w:trPr>
        <w:tc>
          <w:tcPr>
            <w:tcW w:w="7513" w:type="dxa"/>
            <w:shd w:val="clear" w:color="auto" w:fill="auto"/>
            <w:noWrap/>
            <w:vAlign w:val="bottom"/>
            <w:hideMark/>
          </w:tcPr>
          <w:p w14:paraId="2D41ABC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HIDRO LAVADORA INDUSTRIAL 13HP, 15LPM</w:t>
            </w:r>
          </w:p>
        </w:tc>
      </w:tr>
      <w:tr w:rsidR="00285D58" w:rsidRPr="00996684" w14:paraId="51CEC585" w14:textId="77777777" w:rsidTr="00285D58">
        <w:trPr>
          <w:trHeight w:val="300"/>
        </w:trPr>
        <w:tc>
          <w:tcPr>
            <w:tcW w:w="7513" w:type="dxa"/>
            <w:shd w:val="clear" w:color="auto" w:fill="auto"/>
            <w:noWrap/>
            <w:vAlign w:val="bottom"/>
            <w:hideMark/>
          </w:tcPr>
          <w:p w14:paraId="0C2A676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BRILLADORA INDUSTRIAL 20, 1500 RPM</w:t>
            </w:r>
          </w:p>
        </w:tc>
      </w:tr>
      <w:tr w:rsidR="00285D58" w:rsidRPr="00996684" w14:paraId="32C855F2" w14:textId="77777777" w:rsidTr="00285D58">
        <w:trPr>
          <w:trHeight w:val="300"/>
        </w:trPr>
        <w:tc>
          <w:tcPr>
            <w:tcW w:w="7513" w:type="dxa"/>
            <w:shd w:val="clear" w:color="auto" w:fill="auto"/>
            <w:noWrap/>
            <w:vAlign w:val="bottom"/>
            <w:hideMark/>
          </w:tcPr>
          <w:p w14:paraId="047C620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BRILLA PISOS MANUAL 80 CM</w:t>
            </w:r>
          </w:p>
        </w:tc>
      </w:tr>
      <w:tr w:rsidR="00285D58" w:rsidRPr="00996684" w14:paraId="7367314E" w14:textId="77777777" w:rsidTr="00285D58">
        <w:trPr>
          <w:trHeight w:val="300"/>
        </w:trPr>
        <w:tc>
          <w:tcPr>
            <w:tcW w:w="7513" w:type="dxa"/>
            <w:shd w:val="clear" w:color="auto" w:fill="auto"/>
            <w:noWrap/>
            <w:vAlign w:val="bottom"/>
            <w:hideMark/>
          </w:tcPr>
          <w:p w14:paraId="4A95E46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LIMPIAVIDRIOS METÁLICO EXTENSIBLE (2.6 METROS)</w:t>
            </w:r>
          </w:p>
        </w:tc>
      </w:tr>
      <w:tr w:rsidR="00285D58" w:rsidRPr="00996684" w14:paraId="7646B611" w14:textId="77777777" w:rsidTr="00285D58">
        <w:trPr>
          <w:trHeight w:val="300"/>
        </w:trPr>
        <w:tc>
          <w:tcPr>
            <w:tcW w:w="7513" w:type="dxa"/>
            <w:shd w:val="clear" w:color="auto" w:fill="auto"/>
            <w:noWrap/>
            <w:vAlign w:val="bottom"/>
            <w:hideMark/>
          </w:tcPr>
          <w:p w14:paraId="58DB75E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HARAGÁN METÁLICO PISOS 50 CM</w:t>
            </w:r>
          </w:p>
        </w:tc>
      </w:tr>
      <w:tr w:rsidR="00285D58" w:rsidRPr="00996684" w14:paraId="1B26F482" w14:textId="77777777" w:rsidTr="00285D58">
        <w:trPr>
          <w:trHeight w:val="300"/>
        </w:trPr>
        <w:tc>
          <w:tcPr>
            <w:tcW w:w="7513" w:type="dxa"/>
            <w:shd w:val="clear" w:color="auto" w:fill="auto"/>
            <w:noWrap/>
            <w:vAlign w:val="bottom"/>
            <w:hideMark/>
          </w:tcPr>
          <w:p w14:paraId="11C3AF4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BALDE ESCURRIDOR 48 LITROS CON CARRO</w:t>
            </w:r>
          </w:p>
        </w:tc>
      </w:tr>
      <w:tr w:rsidR="00285D58" w:rsidRPr="00996684" w14:paraId="5C6EB4AC" w14:textId="77777777" w:rsidTr="00285D58">
        <w:trPr>
          <w:trHeight w:val="300"/>
        </w:trPr>
        <w:tc>
          <w:tcPr>
            <w:tcW w:w="7513" w:type="dxa"/>
            <w:shd w:val="clear" w:color="auto" w:fill="auto"/>
            <w:noWrap/>
            <w:vAlign w:val="bottom"/>
            <w:hideMark/>
          </w:tcPr>
          <w:p w14:paraId="407ED2E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ESCALERA TIJERA DE 9 PELDAÑOS (3 METROS)</w:t>
            </w:r>
          </w:p>
        </w:tc>
      </w:tr>
      <w:tr w:rsidR="00285D58" w:rsidRPr="00996684" w14:paraId="5184E9B9" w14:textId="77777777" w:rsidTr="00285D58">
        <w:trPr>
          <w:trHeight w:val="300"/>
        </w:trPr>
        <w:tc>
          <w:tcPr>
            <w:tcW w:w="7513" w:type="dxa"/>
            <w:shd w:val="clear" w:color="auto" w:fill="auto"/>
            <w:noWrap/>
            <w:vAlign w:val="bottom"/>
            <w:hideMark/>
          </w:tcPr>
          <w:p w14:paraId="1E161DE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ESCALERA TIJERA DE 5 PELDAÑOS (1.8 METROS)</w:t>
            </w:r>
          </w:p>
        </w:tc>
      </w:tr>
      <w:tr w:rsidR="00285D58" w:rsidRPr="00996684" w14:paraId="790BFE5D" w14:textId="77777777" w:rsidTr="00285D58">
        <w:trPr>
          <w:trHeight w:val="300"/>
        </w:trPr>
        <w:tc>
          <w:tcPr>
            <w:tcW w:w="7513" w:type="dxa"/>
            <w:shd w:val="clear" w:color="auto" w:fill="auto"/>
            <w:noWrap/>
            <w:vAlign w:val="bottom"/>
            <w:hideMark/>
          </w:tcPr>
          <w:p w14:paraId="730745C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CARRO DE LIMPIEZA</w:t>
            </w:r>
          </w:p>
        </w:tc>
      </w:tr>
      <w:tr w:rsidR="00285D58" w:rsidRPr="00996684" w14:paraId="568EE8E3" w14:textId="77777777" w:rsidTr="00285D58">
        <w:trPr>
          <w:trHeight w:val="300"/>
        </w:trPr>
        <w:tc>
          <w:tcPr>
            <w:tcW w:w="7513" w:type="dxa"/>
            <w:shd w:val="clear" w:color="auto" w:fill="auto"/>
            <w:noWrap/>
            <w:vAlign w:val="bottom"/>
            <w:hideMark/>
          </w:tcPr>
          <w:p w14:paraId="5C2A1C5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MANGUERA DE 1/2", 50 M CON PORTA MANGUERA</w:t>
            </w:r>
          </w:p>
        </w:tc>
      </w:tr>
      <w:tr w:rsidR="00285D58" w:rsidRPr="00996684" w14:paraId="7F083615" w14:textId="77777777" w:rsidTr="00285D58">
        <w:trPr>
          <w:trHeight w:val="300"/>
        </w:trPr>
        <w:tc>
          <w:tcPr>
            <w:tcW w:w="7513" w:type="dxa"/>
            <w:shd w:val="clear" w:color="auto" w:fill="auto"/>
            <w:noWrap/>
            <w:vAlign w:val="bottom"/>
            <w:hideMark/>
          </w:tcPr>
          <w:p w14:paraId="438922C8"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SEÑAL DE PREVENCIÓN PISO MOJADO</w:t>
            </w:r>
          </w:p>
        </w:tc>
      </w:tr>
      <w:tr w:rsidR="00285D58" w:rsidRPr="00996684" w14:paraId="6D0F31BE" w14:textId="77777777" w:rsidTr="00285D58">
        <w:trPr>
          <w:trHeight w:val="300"/>
        </w:trPr>
        <w:tc>
          <w:tcPr>
            <w:tcW w:w="7513" w:type="dxa"/>
            <w:shd w:val="clear" w:color="auto" w:fill="auto"/>
            <w:noWrap/>
            <w:vAlign w:val="bottom"/>
            <w:hideMark/>
          </w:tcPr>
          <w:p w14:paraId="790FC54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EXTENSIÓN ELÉCTRICA DE 100M, CALIBRE 12</w:t>
            </w:r>
          </w:p>
        </w:tc>
      </w:tr>
      <w:tr w:rsidR="00285D58" w:rsidRPr="00996684" w14:paraId="04431E58" w14:textId="77777777" w:rsidTr="00285D58">
        <w:trPr>
          <w:trHeight w:val="300"/>
        </w:trPr>
        <w:tc>
          <w:tcPr>
            <w:tcW w:w="7513" w:type="dxa"/>
            <w:shd w:val="clear" w:color="auto" w:fill="auto"/>
            <w:noWrap/>
            <w:vAlign w:val="bottom"/>
            <w:hideMark/>
          </w:tcPr>
          <w:p w14:paraId="7AF42BD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TACHOS DE PEDAL 20 LT</w:t>
            </w:r>
          </w:p>
        </w:tc>
      </w:tr>
      <w:tr w:rsidR="00285D58" w:rsidRPr="00996684" w14:paraId="12F8ED20" w14:textId="77777777" w:rsidTr="00285D58">
        <w:trPr>
          <w:trHeight w:val="300"/>
        </w:trPr>
        <w:tc>
          <w:tcPr>
            <w:tcW w:w="7513" w:type="dxa"/>
            <w:shd w:val="clear" w:color="auto" w:fill="auto"/>
            <w:noWrap/>
            <w:vAlign w:val="bottom"/>
            <w:hideMark/>
          </w:tcPr>
          <w:p w14:paraId="1DEFC8D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LÍNEA DE VIDA RETRÁCTIL VERTICAL 10 METROS</w:t>
            </w:r>
          </w:p>
        </w:tc>
      </w:tr>
      <w:tr w:rsidR="00285D58" w:rsidRPr="00996684" w14:paraId="07D0B935" w14:textId="77777777" w:rsidTr="00285D58">
        <w:trPr>
          <w:trHeight w:val="300"/>
        </w:trPr>
        <w:tc>
          <w:tcPr>
            <w:tcW w:w="7513" w:type="dxa"/>
            <w:shd w:val="clear" w:color="auto" w:fill="auto"/>
            <w:noWrap/>
            <w:vAlign w:val="bottom"/>
            <w:hideMark/>
          </w:tcPr>
          <w:p w14:paraId="72AD924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ESLINGA DE POSICIONAMIENTO</w:t>
            </w:r>
          </w:p>
        </w:tc>
      </w:tr>
      <w:tr w:rsidR="00285D58" w:rsidRPr="00996684" w14:paraId="4693144B" w14:textId="77777777" w:rsidTr="00285D58">
        <w:trPr>
          <w:trHeight w:val="300"/>
        </w:trPr>
        <w:tc>
          <w:tcPr>
            <w:tcW w:w="7513" w:type="dxa"/>
            <w:shd w:val="clear" w:color="auto" w:fill="auto"/>
            <w:noWrap/>
            <w:vAlign w:val="bottom"/>
            <w:hideMark/>
          </w:tcPr>
          <w:p w14:paraId="6D5DE7D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MOSQUETÓN</w:t>
            </w:r>
          </w:p>
        </w:tc>
      </w:tr>
      <w:tr w:rsidR="00285D58" w:rsidRPr="00996684" w14:paraId="704E3A1C" w14:textId="77777777" w:rsidTr="00285D58">
        <w:trPr>
          <w:trHeight w:val="390"/>
        </w:trPr>
        <w:tc>
          <w:tcPr>
            <w:tcW w:w="7513" w:type="dxa"/>
            <w:shd w:val="clear" w:color="auto" w:fill="auto"/>
            <w:vAlign w:val="bottom"/>
            <w:hideMark/>
          </w:tcPr>
          <w:p w14:paraId="137E534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PUNTO ECOLÓGICO DE 3 TACHOS DE 100 LITROS C/U (COLORES PARA CLASIFICACIÓN DE BASURAS)</w:t>
            </w:r>
          </w:p>
        </w:tc>
      </w:tr>
      <w:tr w:rsidR="00285D58" w:rsidRPr="00996684" w14:paraId="32EF9E05" w14:textId="77777777" w:rsidTr="00285D58">
        <w:trPr>
          <w:trHeight w:val="300"/>
        </w:trPr>
        <w:tc>
          <w:tcPr>
            <w:tcW w:w="7513" w:type="dxa"/>
            <w:shd w:val="clear" w:color="auto" w:fill="auto"/>
            <w:noWrap/>
            <w:vAlign w:val="bottom"/>
            <w:hideMark/>
          </w:tcPr>
          <w:p w14:paraId="04184A8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SERVICIO DE FUMIGACIÓN DE UNA ESTACIÓN</w:t>
            </w:r>
          </w:p>
        </w:tc>
      </w:tr>
      <w:tr w:rsidR="00285D58" w:rsidRPr="00996684" w14:paraId="0AAC0795" w14:textId="77777777" w:rsidTr="00285D58">
        <w:trPr>
          <w:trHeight w:val="300"/>
        </w:trPr>
        <w:tc>
          <w:tcPr>
            <w:tcW w:w="7513" w:type="dxa"/>
            <w:shd w:val="clear" w:color="auto" w:fill="auto"/>
            <w:noWrap/>
            <w:vAlign w:val="bottom"/>
            <w:hideMark/>
          </w:tcPr>
          <w:p w14:paraId="2D8DE72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ANDAMIO CERTIFICADO SECCIÓN 3*3</w:t>
            </w:r>
          </w:p>
          <w:p w14:paraId="37E9ABFE" w14:textId="77777777" w:rsidR="00285D58" w:rsidRPr="00996684" w:rsidRDefault="00285D58" w:rsidP="00285D58">
            <w:pPr>
              <w:rPr>
                <w:rFonts w:ascii="Calibri" w:eastAsia="Times New Roman" w:hAnsi="Calibri" w:cs="Calibri"/>
                <w:color w:val="000000"/>
              </w:rPr>
            </w:pPr>
          </w:p>
          <w:p w14:paraId="1A780D89" w14:textId="77777777" w:rsidR="00285D58" w:rsidRPr="00996684" w:rsidRDefault="00285D58" w:rsidP="00285D58">
            <w:pPr>
              <w:rPr>
                <w:rFonts w:ascii="Calibri" w:eastAsia="Times New Roman" w:hAnsi="Calibri" w:cs="Calibri"/>
                <w:color w:val="000000"/>
              </w:rPr>
            </w:pPr>
          </w:p>
        </w:tc>
      </w:tr>
      <w:tr w:rsidR="00285D58" w:rsidRPr="00996684" w14:paraId="43218D21" w14:textId="77777777" w:rsidTr="00285D58">
        <w:trPr>
          <w:trHeight w:val="300"/>
        </w:trPr>
        <w:tc>
          <w:tcPr>
            <w:tcW w:w="7513" w:type="dxa"/>
            <w:shd w:val="clear" w:color="auto" w:fill="auto"/>
            <w:noWrap/>
            <w:vAlign w:val="bottom"/>
            <w:hideMark/>
          </w:tcPr>
          <w:p w14:paraId="04AB8532"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INSUMOS OTRAS  ÁREAS</w:t>
            </w:r>
          </w:p>
        </w:tc>
      </w:tr>
      <w:tr w:rsidR="00285D58" w:rsidRPr="00996684" w14:paraId="43751C55" w14:textId="77777777" w:rsidTr="00285D58">
        <w:trPr>
          <w:trHeight w:val="300"/>
        </w:trPr>
        <w:tc>
          <w:tcPr>
            <w:tcW w:w="7513" w:type="dxa"/>
            <w:shd w:val="clear" w:color="auto" w:fill="auto"/>
            <w:vAlign w:val="bottom"/>
            <w:hideMark/>
          </w:tcPr>
          <w:p w14:paraId="79300D2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CARTELES Y PANCARTAS</w:t>
            </w:r>
          </w:p>
        </w:tc>
      </w:tr>
      <w:tr w:rsidR="00285D58" w:rsidRPr="00996684" w14:paraId="10B89A1F" w14:textId="77777777" w:rsidTr="00285D58">
        <w:trPr>
          <w:trHeight w:val="390"/>
        </w:trPr>
        <w:tc>
          <w:tcPr>
            <w:tcW w:w="7513" w:type="dxa"/>
            <w:shd w:val="clear" w:color="auto" w:fill="auto"/>
            <w:vAlign w:val="bottom"/>
            <w:hideMark/>
          </w:tcPr>
          <w:p w14:paraId="7ECCC54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INSUMOS DE OFICINA (PAPELERÍA,UTILES, TINTAS, ETC)</w:t>
            </w:r>
          </w:p>
        </w:tc>
      </w:tr>
      <w:tr w:rsidR="00285D58" w:rsidRPr="00996684" w14:paraId="56177016" w14:textId="77777777" w:rsidTr="00285D58">
        <w:trPr>
          <w:trHeight w:val="300"/>
        </w:trPr>
        <w:tc>
          <w:tcPr>
            <w:tcW w:w="7513" w:type="dxa"/>
            <w:shd w:val="clear" w:color="auto" w:fill="auto"/>
            <w:vAlign w:val="bottom"/>
            <w:hideMark/>
          </w:tcPr>
          <w:p w14:paraId="14FD57A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INSUMOS DE ENFERMERÍA</w:t>
            </w:r>
          </w:p>
        </w:tc>
      </w:tr>
      <w:tr w:rsidR="00285D58" w:rsidRPr="00996684" w14:paraId="4E903C2B" w14:textId="77777777" w:rsidTr="00285D58">
        <w:trPr>
          <w:trHeight w:val="300"/>
        </w:trPr>
        <w:tc>
          <w:tcPr>
            <w:tcW w:w="7513" w:type="dxa"/>
            <w:shd w:val="clear" w:color="auto" w:fill="auto"/>
            <w:vAlign w:val="bottom"/>
            <w:hideMark/>
          </w:tcPr>
          <w:p w14:paraId="5C33E976"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PAPELERÍA INSTITUCIONAL</w:t>
            </w:r>
          </w:p>
        </w:tc>
      </w:tr>
      <w:tr w:rsidR="00285D58" w:rsidRPr="00996684" w14:paraId="4ECFD0AF" w14:textId="77777777" w:rsidTr="00285D58">
        <w:trPr>
          <w:trHeight w:val="300"/>
        </w:trPr>
        <w:tc>
          <w:tcPr>
            <w:tcW w:w="7513" w:type="dxa"/>
            <w:shd w:val="clear" w:color="auto" w:fill="auto"/>
            <w:vAlign w:val="bottom"/>
            <w:hideMark/>
          </w:tcPr>
          <w:p w14:paraId="0E611178"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MERCHANDISING VARIADO PLÁSTICO (REGALO)</w:t>
            </w:r>
          </w:p>
          <w:p w14:paraId="3CE7E5E3" w14:textId="77777777" w:rsidR="00285D58" w:rsidRPr="00996684" w:rsidRDefault="00285D58" w:rsidP="00285D58">
            <w:pPr>
              <w:rPr>
                <w:rFonts w:ascii="Calibri" w:eastAsia="Times New Roman" w:hAnsi="Calibri" w:cs="Calibri"/>
                <w:color w:val="000000"/>
              </w:rPr>
            </w:pPr>
          </w:p>
          <w:p w14:paraId="276AFF45" w14:textId="77777777" w:rsidR="00285D58" w:rsidRPr="00996684" w:rsidRDefault="00285D58" w:rsidP="00285D58">
            <w:pPr>
              <w:rPr>
                <w:rFonts w:ascii="Calibri" w:eastAsia="Times New Roman" w:hAnsi="Calibri" w:cs="Calibri"/>
                <w:color w:val="000000"/>
              </w:rPr>
            </w:pPr>
          </w:p>
        </w:tc>
      </w:tr>
      <w:tr w:rsidR="00285D58" w:rsidRPr="00996684" w14:paraId="42B86CBB" w14:textId="77777777" w:rsidTr="00285D58">
        <w:trPr>
          <w:trHeight w:val="300"/>
        </w:trPr>
        <w:tc>
          <w:tcPr>
            <w:tcW w:w="7513" w:type="dxa"/>
            <w:shd w:val="clear" w:color="auto" w:fill="auto"/>
            <w:noWrap/>
            <w:vAlign w:val="bottom"/>
            <w:hideMark/>
          </w:tcPr>
          <w:p w14:paraId="1585A284"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EQUIPOS DE PROTECCIÓN PERSONAL</w:t>
            </w:r>
          </w:p>
        </w:tc>
      </w:tr>
      <w:tr w:rsidR="00285D58" w:rsidRPr="00996684" w14:paraId="2A3E7A3D" w14:textId="77777777" w:rsidTr="00285D58">
        <w:trPr>
          <w:trHeight w:val="300"/>
        </w:trPr>
        <w:tc>
          <w:tcPr>
            <w:tcW w:w="7513" w:type="dxa"/>
            <w:shd w:val="clear" w:color="auto" w:fill="auto"/>
            <w:vAlign w:val="bottom"/>
            <w:hideMark/>
          </w:tcPr>
          <w:p w14:paraId="3830266A"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CASCO DE SEGURIDAD</w:t>
            </w:r>
          </w:p>
        </w:tc>
      </w:tr>
      <w:tr w:rsidR="00285D58" w:rsidRPr="00996684" w14:paraId="0556F344" w14:textId="77777777" w:rsidTr="00285D58">
        <w:trPr>
          <w:trHeight w:val="300"/>
        </w:trPr>
        <w:tc>
          <w:tcPr>
            <w:tcW w:w="7513" w:type="dxa"/>
            <w:shd w:val="clear" w:color="auto" w:fill="auto"/>
            <w:vAlign w:val="bottom"/>
            <w:hideMark/>
          </w:tcPr>
          <w:p w14:paraId="39E445C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LENTE TRANSPARENTE</w:t>
            </w:r>
          </w:p>
        </w:tc>
      </w:tr>
      <w:tr w:rsidR="00285D58" w:rsidRPr="00996684" w14:paraId="05983007" w14:textId="77777777" w:rsidTr="00285D58">
        <w:trPr>
          <w:trHeight w:val="300"/>
        </w:trPr>
        <w:tc>
          <w:tcPr>
            <w:tcW w:w="7513" w:type="dxa"/>
            <w:shd w:val="clear" w:color="auto" w:fill="auto"/>
            <w:vAlign w:val="bottom"/>
            <w:hideMark/>
          </w:tcPr>
          <w:p w14:paraId="73BF1BB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TAPONES AUDITIVOS</w:t>
            </w:r>
          </w:p>
        </w:tc>
      </w:tr>
      <w:tr w:rsidR="00285D58" w:rsidRPr="00996684" w14:paraId="0A2679BB" w14:textId="77777777" w:rsidTr="00285D58">
        <w:trPr>
          <w:trHeight w:val="300"/>
        </w:trPr>
        <w:tc>
          <w:tcPr>
            <w:tcW w:w="7513" w:type="dxa"/>
            <w:shd w:val="clear" w:color="auto" w:fill="auto"/>
            <w:vAlign w:val="bottom"/>
            <w:hideMark/>
          </w:tcPr>
          <w:p w14:paraId="3A77348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GUANTE </w:t>
            </w:r>
          </w:p>
        </w:tc>
      </w:tr>
      <w:tr w:rsidR="00285D58" w:rsidRPr="00996684" w14:paraId="2E06DFDD" w14:textId="77777777" w:rsidTr="00285D58">
        <w:trPr>
          <w:trHeight w:val="300"/>
        </w:trPr>
        <w:tc>
          <w:tcPr>
            <w:tcW w:w="7513" w:type="dxa"/>
            <w:shd w:val="clear" w:color="auto" w:fill="auto"/>
            <w:vAlign w:val="bottom"/>
            <w:hideMark/>
          </w:tcPr>
          <w:p w14:paraId="0118C33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BOTAS DE SEGURIDAD</w:t>
            </w:r>
          </w:p>
        </w:tc>
      </w:tr>
      <w:tr w:rsidR="00285D58" w:rsidRPr="00996684" w14:paraId="6554CF85" w14:textId="77777777" w:rsidTr="00285D58">
        <w:trPr>
          <w:trHeight w:val="300"/>
        </w:trPr>
        <w:tc>
          <w:tcPr>
            <w:tcW w:w="7513" w:type="dxa"/>
            <w:shd w:val="clear" w:color="auto" w:fill="auto"/>
            <w:vAlign w:val="bottom"/>
            <w:hideMark/>
          </w:tcPr>
          <w:p w14:paraId="58C6FFE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 xml:space="preserve">POLO MANGA LARGA </w:t>
            </w:r>
          </w:p>
        </w:tc>
      </w:tr>
      <w:tr w:rsidR="00285D58" w:rsidRPr="00996684" w14:paraId="73EC3E7B" w14:textId="77777777" w:rsidTr="00285D58">
        <w:trPr>
          <w:trHeight w:val="300"/>
        </w:trPr>
        <w:tc>
          <w:tcPr>
            <w:tcW w:w="7513" w:type="dxa"/>
            <w:shd w:val="clear" w:color="auto" w:fill="auto"/>
            <w:vAlign w:val="bottom"/>
            <w:hideMark/>
          </w:tcPr>
          <w:p w14:paraId="01AA0E1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OVEROL DE TRABAJO</w:t>
            </w:r>
          </w:p>
        </w:tc>
      </w:tr>
      <w:tr w:rsidR="00285D58" w:rsidRPr="00996684" w14:paraId="4F19B238" w14:textId="77777777" w:rsidTr="00285D58">
        <w:trPr>
          <w:trHeight w:val="300"/>
        </w:trPr>
        <w:tc>
          <w:tcPr>
            <w:tcW w:w="7513" w:type="dxa"/>
            <w:shd w:val="clear" w:color="auto" w:fill="auto"/>
            <w:vAlign w:val="bottom"/>
            <w:hideMark/>
          </w:tcPr>
          <w:p w14:paraId="4925ED9E"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CHALECO</w:t>
            </w:r>
          </w:p>
        </w:tc>
      </w:tr>
      <w:tr w:rsidR="00285D58" w:rsidRPr="00996684" w14:paraId="7CC6AB86" w14:textId="77777777" w:rsidTr="00285D58">
        <w:trPr>
          <w:trHeight w:val="300"/>
        </w:trPr>
        <w:tc>
          <w:tcPr>
            <w:tcW w:w="7513" w:type="dxa"/>
            <w:shd w:val="clear" w:color="auto" w:fill="auto"/>
            <w:vAlign w:val="bottom"/>
            <w:hideMark/>
          </w:tcPr>
          <w:p w14:paraId="27D6F6C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ARNÉS CERTIFICADO</w:t>
            </w:r>
          </w:p>
        </w:tc>
      </w:tr>
      <w:tr w:rsidR="00285D58" w:rsidRPr="00996684" w14:paraId="76AD4324" w14:textId="77777777" w:rsidTr="00285D58">
        <w:trPr>
          <w:trHeight w:val="300"/>
        </w:trPr>
        <w:tc>
          <w:tcPr>
            <w:tcW w:w="7513" w:type="dxa"/>
            <w:shd w:val="clear" w:color="auto" w:fill="auto"/>
            <w:vAlign w:val="bottom"/>
            <w:hideMark/>
          </w:tcPr>
          <w:p w14:paraId="6CAF3574"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CHALECO SALVAVIDAS</w:t>
            </w:r>
          </w:p>
          <w:p w14:paraId="18A2940F" w14:textId="77777777" w:rsidR="00285D58" w:rsidRPr="00996684" w:rsidRDefault="00285D58" w:rsidP="00285D58">
            <w:pPr>
              <w:rPr>
                <w:rFonts w:ascii="Calibri" w:eastAsia="Times New Roman" w:hAnsi="Calibri" w:cs="Calibri"/>
                <w:color w:val="000000"/>
              </w:rPr>
            </w:pPr>
          </w:p>
          <w:p w14:paraId="3016D319" w14:textId="77777777" w:rsidR="00285D58" w:rsidRPr="00996684" w:rsidRDefault="00285D58" w:rsidP="00285D58">
            <w:pPr>
              <w:rPr>
                <w:rFonts w:ascii="Calibri" w:eastAsia="Times New Roman" w:hAnsi="Calibri" w:cs="Calibri"/>
                <w:color w:val="000000"/>
              </w:rPr>
            </w:pPr>
          </w:p>
        </w:tc>
      </w:tr>
      <w:tr w:rsidR="00285D58" w:rsidRPr="00996684" w14:paraId="3EF4C28B" w14:textId="77777777" w:rsidTr="00285D58">
        <w:trPr>
          <w:trHeight w:val="300"/>
        </w:trPr>
        <w:tc>
          <w:tcPr>
            <w:tcW w:w="7513" w:type="dxa"/>
            <w:shd w:val="clear" w:color="auto" w:fill="auto"/>
            <w:noWrap/>
            <w:vAlign w:val="bottom"/>
            <w:hideMark/>
          </w:tcPr>
          <w:p w14:paraId="6FF5ACD8"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 xml:space="preserve">GASOLINA </w:t>
            </w:r>
          </w:p>
        </w:tc>
      </w:tr>
      <w:tr w:rsidR="00285D58" w:rsidRPr="00996684" w14:paraId="574AE8FF" w14:textId="77777777" w:rsidTr="00285D58">
        <w:trPr>
          <w:trHeight w:val="300"/>
        </w:trPr>
        <w:tc>
          <w:tcPr>
            <w:tcW w:w="7513" w:type="dxa"/>
            <w:shd w:val="clear" w:color="auto" w:fill="auto"/>
            <w:vAlign w:val="bottom"/>
            <w:hideMark/>
          </w:tcPr>
          <w:p w14:paraId="4ED833E0"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GASOLINA CAMIONETA PICK UP DOBLE CABINA</w:t>
            </w:r>
          </w:p>
        </w:tc>
      </w:tr>
      <w:tr w:rsidR="00285D58" w:rsidRPr="00996684" w14:paraId="671673F5" w14:textId="77777777" w:rsidTr="00285D58">
        <w:trPr>
          <w:trHeight w:val="300"/>
        </w:trPr>
        <w:tc>
          <w:tcPr>
            <w:tcW w:w="7513" w:type="dxa"/>
            <w:shd w:val="clear" w:color="auto" w:fill="auto"/>
            <w:vAlign w:val="bottom"/>
            <w:hideMark/>
          </w:tcPr>
          <w:p w14:paraId="6FD9698F" w14:textId="77777777" w:rsidR="00285D58" w:rsidRDefault="00285D58" w:rsidP="00285D58">
            <w:pPr>
              <w:rPr>
                <w:rFonts w:ascii="Calibri" w:eastAsia="Times New Roman" w:hAnsi="Calibri" w:cs="Calibri"/>
                <w:color w:val="000000"/>
              </w:rPr>
            </w:pPr>
            <w:r w:rsidRPr="00996684">
              <w:rPr>
                <w:rFonts w:ascii="Calibri" w:eastAsia="Times New Roman" w:hAnsi="Calibri" w:cs="Calibri"/>
                <w:color w:val="000000"/>
              </w:rPr>
              <w:t>GASOLINA MINI VAN X11 PASAJEROS</w:t>
            </w:r>
          </w:p>
          <w:p w14:paraId="02B37483" w14:textId="77777777" w:rsidR="00285D58" w:rsidRPr="00996684" w:rsidRDefault="00285D58" w:rsidP="00285D58">
            <w:pPr>
              <w:rPr>
                <w:rFonts w:ascii="Calibri" w:eastAsia="Times New Roman" w:hAnsi="Calibri" w:cs="Calibri"/>
                <w:color w:val="000000"/>
              </w:rPr>
            </w:pPr>
          </w:p>
          <w:p w14:paraId="398965E2" w14:textId="77777777" w:rsidR="00285D58" w:rsidRPr="00996684" w:rsidRDefault="00285D58" w:rsidP="00285D58">
            <w:pPr>
              <w:rPr>
                <w:rFonts w:ascii="Calibri" w:eastAsia="Times New Roman" w:hAnsi="Calibri" w:cs="Calibri"/>
                <w:color w:val="000000"/>
              </w:rPr>
            </w:pPr>
          </w:p>
        </w:tc>
      </w:tr>
      <w:tr w:rsidR="00285D58" w:rsidRPr="00996684" w14:paraId="28972553" w14:textId="77777777" w:rsidTr="00285D58">
        <w:trPr>
          <w:trHeight w:val="300"/>
        </w:trPr>
        <w:tc>
          <w:tcPr>
            <w:tcW w:w="7513" w:type="dxa"/>
            <w:shd w:val="clear" w:color="auto" w:fill="auto"/>
            <w:noWrap/>
            <w:vAlign w:val="bottom"/>
            <w:hideMark/>
          </w:tcPr>
          <w:p w14:paraId="636B5B36" w14:textId="77777777" w:rsidR="00285D58" w:rsidRPr="00996684" w:rsidRDefault="00285D58" w:rsidP="00285D58">
            <w:pPr>
              <w:rPr>
                <w:rFonts w:ascii="Calibri" w:eastAsia="Times New Roman" w:hAnsi="Calibri" w:cs="Calibri"/>
                <w:b/>
                <w:bCs/>
                <w:color w:val="000000"/>
              </w:rPr>
            </w:pPr>
            <w:r w:rsidRPr="00996684">
              <w:rPr>
                <w:rFonts w:ascii="Calibri" w:eastAsia="Times New Roman" w:hAnsi="Calibri" w:cs="Calibri"/>
                <w:b/>
                <w:bCs/>
                <w:color w:val="000000"/>
              </w:rPr>
              <w:t>ADQUISICIÓN DE EQUIPOS ELECTRONICOS (PROVISIÓN ANUAL)</w:t>
            </w:r>
          </w:p>
        </w:tc>
      </w:tr>
      <w:tr w:rsidR="00285D58" w:rsidRPr="00996684" w14:paraId="3F58CBF2" w14:textId="77777777" w:rsidTr="00285D58">
        <w:trPr>
          <w:trHeight w:val="390"/>
        </w:trPr>
        <w:tc>
          <w:tcPr>
            <w:tcW w:w="7513" w:type="dxa"/>
            <w:shd w:val="clear" w:color="auto" w:fill="auto"/>
            <w:vAlign w:val="bottom"/>
            <w:hideMark/>
          </w:tcPr>
          <w:p w14:paraId="497F9A8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EQUIPOS DE COMPUTACIÓN (BASE i5, 6RAM)</w:t>
            </w:r>
          </w:p>
        </w:tc>
      </w:tr>
      <w:tr w:rsidR="00285D58" w:rsidRPr="00996684" w14:paraId="0308AAC4" w14:textId="77777777" w:rsidTr="00285D58">
        <w:trPr>
          <w:trHeight w:val="300"/>
        </w:trPr>
        <w:tc>
          <w:tcPr>
            <w:tcW w:w="7513" w:type="dxa"/>
            <w:shd w:val="clear" w:color="auto" w:fill="auto"/>
            <w:vAlign w:val="bottom"/>
            <w:hideMark/>
          </w:tcPr>
          <w:p w14:paraId="4C94C9A5"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IMPRESORAS (MULTIFUNCIONAL)</w:t>
            </w:r>
          </w:p>
        </w:tc>
      </w:tr>
      <w:tr w:rsidR="00285D58" w:rsidRPr="00996684" w14:paraId="579B6FAA" w14:textId="77777777" w:rsidTr="00285D58">
        <w:trPr>
          <w:trHeight w:val="300"/>
        </w:trPr>
        <w:tc>
          <w:tcPr>
            <w:tcW w:w="7513" w:type="dxa"/>
            <w:shd w:val="clear" w:color="auto" w:fill="auto"/>
            <w:vAlign w:val="bottom"/>
            <w:hideMark/>
          </w:tcPr>
          <w:p w14:paraId="7E8BE349"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EQUIPO DE CONTROL DE ACCESO</w:t>
            </w:r>
          </w:p>
        </w:tc>
      </w:tr>
      <w:tr w:rsidR="00285D58" w:rsidRPr="00996684" w14:paraId="070DE2D7" w14:textId="77777777" w:rsidTr="00285D58">
        <w:trPr>
          <w:trHeight w:val="390"/>
        </w:trPr>
        <w:tc>
          <w:tcPr>
            <w:tcW w:w="7513" w:type="dxa"/>
            <w:shd w:val="clear" w:color="auto" w:fill="auto"/>
            <w:vAlign w:val="bottom"/>
            <w:hideMark/>
          </w:tcPr>
          <w:p w14:paraId="0117BF2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ELECTRODOMÉSTICOS PARA COMEDOR</w:t>
            </w:r>
          </w:p>
        </w:tc>
      </w:tr>
      <w:tr w:rsidR="00285D58" w:rsidRPr="00996684" w14:paraId="0BACD29A" w14:textId="77777777" w:rsidTr="00285D58">
        <w:trPr>
          <w:trHeight w:val="300"/>
        </w:trPr>
        <w:tc>
          <w:tcPr>
            <w:tcW w:w="7513" w:type="dxa"/>
            <w:shd w:val="clear" w:color="auto" w:fill="auto"/>
            <w:vAlign w:val="bottom"/>
            <w:hideMark/>
          </w:tcPr>
          <w:p w14:paraId="3AC3FC2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REPOSICIÓN DE PANELES INFORMATIVOS LED</w:t>
            </w:r>
          </w:p>
        </w:tc>
      </w:tr>
    </w:tbl>
    <w:p w14:paraId="00180DC1" w14:textId="77777777" w:rsidR="00285D58" w:rsidRPr="00996684" w:rsidRDefault="00285D58" w:rsidP="00285D58">
      <w:pPr>
        <w:pStyle w:val="Prrafodelista"/>
        <w:ind w:left="1080"/>
        <w:rPr>
          <w:rFonts w:ascii="Calibri" w:hAnsi="Calibri" w:cs="Calibri"/>
        </w:rPr>
      </w:pPr>
    </w:p>
    <w:p w14:paraId="35D4543E"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t xml:space="preserve">COSTOS DE O&amp;M DE LAS VÍAS TURÍSTICAS </w:t>
      </w:r>
    </w:p>
    <w:tbl>
      <w:tblPr>
        <w:tblW w:w="6591" w:type="dxa"/>
        <w:tblInd w:w="709" w:type="dxa"/>
        <w:tblCellMar>
          <w:left w:w="70" w:type="dxa"/>
          <w:right w:w="70" w:type="dxa"/>
        </w:tblCellMar>
        <w:tblLook w:val="04A0" w:firstRow="1" w:lastRow="0" w:firstColumn="1" w:lastColumn="0" w:noHBand="0" w:noVBand="1"/>
      </w:tblPr>
      <w:tblGrid>
        <w:gridCol w:w="851"/>
        <w:gridCol w:w="5740"/>
      </w:tblGrid>
      <w:tr w:rsidR="00285D58" w:rsidRPr="00996684" w14:paraId="6EAAA669" w14:textId="77777777" w:rsidTr="00285D58">
        <w:trPr>
          <w:trHeight w:val="225"/>
        </w:trPr>
        <w:tc>
          <w:tcPr>
            <w:tcW w:w="6591" w:type="dxa"/>
            <w:gridSpan w:val="2"/>
            <w:shd w:val="clear" w:color="auto" w:fill="auto"/>
            <w:vAlign w:val="center"/>
            <w:hideMark/>
          </w:tcPr>
          <w:p w14:paraId="2DB0B208" w14:textId="77777777" w:rsidR="00285D58" w:rsidRPr="00996684" w:rsidRDefault="00285D58" w:rsidP="00A3732C">
            <w:pPr>
              <w:pStyle w:val="Prrafodelista"/>
              <w:widowControl/>
              <w:numPr>
                <w:ilvl w:val="1"/>
                <w:numId w:val="276"/>
              </w:numPr>
              <w:rPr>
                <w:rFonts w:ascii="Calibri" w:eastAsia="Times New Roman" w:hAnsi="Calibri" w:cs="Calibri"/>
                <w:b/>
                <w:bCs/>
                <w:color w:val="000000"/>
              </w:rPr>
            </w:pPr>
            <w:r w:rsidRPr="00996684">
              <w:rPr>
                <w:rFonts w:ascii="Calibri" w:eastAsia="Times New Roman" w:hAnsi="Calibri" w:cs="Calibri"/>
                <w:b/>
                <w:bCs/>
                <w:color w:val="000000"/>
              </w:rPr>
              <w:t>CONSERVACIÓN RUTINARIA</w:t>
            </w:r>
          </w:p>
        </w:tc>
      </w:tr>
      <w:tr w:rsidR="00285D58" w:rsidRPr="00996684" w14:paraId="6E53DFAC" w14:textId="77777777" w:rsidTr="00285D58">
        <w:trPr>
          <w:gridBefore w:val="1"/>
          <w:wBefore w:w="851" w:type="dxa"/>
          <w:trHeight w:val="225"/>
        </w:trPr>
        <w:tc>
          <w:tcPr>
            <w:tcW w:w="5740" w:type="dxa"/>
            <w:shd w:val="clear" w:color="auto" w:fill="auto"/>
            <w:vAlign w:val="center"/>
            <w:hideMark/>
          </w:tcPr>
          <w:p w14:paraId="23BEEB4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LIMPIEZA GENERAL</w:t>
            </w:r>
          </w:p>
        </w:tc>
      </w:tr>
      <w:tr w:rsidR="00285D58" w:rsidRPr="00996684" w14:paraId="23A2F358" w14:textId="77777777" w:rsidTr="00285D58">
        <w:trPr>
          <w:gridBefore w:val="1"/>
          <w:wBefore w:w="851" w:type="dxa"/>
          <w:trHeight w:val="225"/>
        </w:trPr>
        <w:tc>
          <w:tcPr>
            <w:tcW w:w="5740" w:type="dxa"/>
            <w:shd w:val="clear" w:color="auto" w:fill="auto"/>
            <w:vAlign w:val="center"/>
            <w:hideMark/>
          </w:tcPr>
          <w:p w14:paraId="22B8B921"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CONTROL DE VEGETACION</w:t>
            </w:r>
          </w:p>
        </w:tc>
      </w:tr>
      <w:tr w:rsidR="00285D58" w:rsidRPr="00996684" w14:paraId="61164302" w14:textId="77777777" w:rsidTr="00285D58">
        <w:trPr>
          <w:gridBefore w:val="1"/>
          <w:wBefore w:w="851" w:type="dxa"/>
          <w:trHeight w:val="225"/>
        </w:trPr>
        <w:tc>
          <w:tcPr>
            <w:tcW w:w="5740" w:type="dxa"/>
            <w:shd w:val="clear" w:color="auto" w:fill="auto"/>
            <w:vAlign w:val="center"/>
            <w:hideMark/>
          </w:tcPr>
          <w:p w14:paraId="3D5E2DF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LIMPIEZA DE DERRUMBES MENORES</w:t>
            </w:r>
          </w:p>
        </w:tc>
      </w:tr>
      <w:tr w:rsidR="00285D58" w:rsidRPr="00996684" w14:paraId="0925D95C" w14:textId="77777777" w:rsidTr="00285D58">
        <w:trPr>
          <w:gridBefore w:val="1"/>
          <w:wBefore w:w="851" w:type="dxa"/>
          <w:trHeight w:val="225"/>
        </w:trPr>
        <w:tc>
          <w:tcPr>
            <w:tcW w:w="5740" w:type="dxa"/>
            <w:shd w:val="clear" w:color="auto" w:fill="auto"/>
            <w:vAlign w:val="center"/>
            <w:hideMark/>
          </w:tcPr>
          <w:p w14:paraId="2E157B3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lastRenderedPageBreak/>
              <w:t>PARCHADO EN MAT. GRANULAR ESTABILIZADO</w:t>
            </w:r>
          </w:p>
        </w:tc>
      </w:tr>
      <w:tr w:rsidR="00285D58" w:rsidRPr="00996684" w14:paraId="6AF74125" w14:textId="77777777" w:rsidTr="00285D58">
        <w:trPr>
          <w:gridBefore w:val="1"/>
          <w:wBefore w:w="851" w:type="dxa"/>
          <w:trHeight w:val="225"/>
        </w:trPr>
        <w:tc>
          <w:tcPr>
            <w:tcW w:w="5740" w:type="dxa"/>
            <w:shd w:val="clear" w:color="auto" w:fill="auto"/>
            <w:vAlign w:val="center"/>
            <w:hideMark/>
          </w:tcPr>
          <w:p w14:paraId="0C105E1D"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ALCANTARILLAS</w:t>
            </w:r>
          </w:p>
        </w:tc>
      </w:tr>
      <w:tr w:rsidR="00285D58" w:rsidRPr="00996684" w14:paraId="34A39625" w14:textId="77777777" w:rsidTr="00285D58">
        <w:trPr>
          <w:gridBefore w:val="1"/>
          <w:wBefore w:w="851" w:type="dxa"/>
          <w:trHeight w:val="225"/>
        </w:trPr>
        <w:tc>
          <w:tcPr>
            <w:tcW w:w="5740" w:type="dxa"/>
            <w:shd w:val="clear" w:color="auto" w:fill="auto"/>
            <w:vAlign w:val="center"/>
            <w:hideMark/>
          </w:tcPr>
          <w:p w14:paraId="2A8B14A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BADENES</w:t>
            </w:r>
          </w:p>
        </w:tc>
      </w:tr>
      <w:tr w:rsidR="00285D58" w:rsidRPr="00996684" w14:paraId="2E0D48B0" w14:textId="77777777" w:rsidTr="00285D58">
        <w:trPr>
          <w:gridBefore w:val="1"/>
          <w:wBefore w:w="851" w:type="dxa"/>
          <w:trHeight w:val="225"/>
        </w:trPr>
        <w:tc>
          <w:tcPr>
            <w:tcW w:w="5740" w:type="dxa"/>
            <w:shd w:val="clear" w:color="auto" w:fill="auto"/>
            <w:vAlign w:val="center"/>
            <w:hideMark/>
          </w:tcPr>
          <w:p w14:paraId="02C3D69F"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MANTENIMIENTO DE MUROS</w:t>
            </w:r>
          </w:p>
        </w:tc>
      </w:tr>
      <w:tr w:rsidR="00285D58" w:rsidRPr="00996684" w14:paraId="748810BD" w14:textId="77777777" w:rsidTr="00285D58">
        <w:trPr>
          <w:gridBefore w:val="1"/>
          <w:wBefore w:w="851" w:type="dxa"/>
          <w:trHeight w:val="225"/>
        </w:trPr>
        <w:tc>
          <w:tcPr>
            <w:tcW w:w="5740" w:type="dxa"/>
            <w:shd w:val="clear" w:color="auto" w:fill="auto"/>
            <w:vAlign w:val="center"/>
            <w:hideMark/>
          </w:tcPr>
          <w:p w14:paraId="4EAA40E3"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CONSERVACION DE SEÑALES VERTICALES</w:t>
            </w:r>
          </w:p>
        </w:tc>
      </w:tr>
      <w:tr w:rsidR="00285D58" w:rsidRPr="00996684" w14:paraId="7D7D0FFA" w14:textId="77777777" w:rsidTr="00285D58">
        <w:trPr>
          <w:gridBefore w:val="1"/>
          <w:wBefore w:w="851" w:type="dxa"/>
          <w:trHeight w:val="225"/>
        </w:trPr>
        <w:tc>
          <w:tcPr>
            <w:tcW w:w="5740" w:type="dxa"/>
            <w:shd w:val="clear" w:color="auto" w:fill="auto"/>
            <w:vAlign w:val="center"/>
            <w:hideMark/>
          </w:tcPr>
          <w:p w14:paraId="22F71F6B"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CONSERVACION DE GUARDAVIAS METALICAS</w:t>
            </w:r>
          </w:p>
        </w:tc>
      </w:tr>
      <w:tr w:rsidR="00285D58" w:rsidRPr="00996684" w14:paraId="06F4927C" w14:textId="77777777" w:rsidTr="00285D58">
        <w:trPr>
          <w:gridBefore w:val="1"/>
          <w:wBefore w:w="851" w:type="dxa"/>
          <w:trHeight w:val="225"/>
        </w:trPr>
        <w:tc>
          <w:tcPr>
            <w:tcW w:w="5740" w:type="dxa"/>
            <w:shd w:val="clear" w:color="auto" w:fill="auto"/>
            <w:noWrap/>
            <w:vAlign w:val="bottom"/>
            <w:hideMark/>
          </w:tcPr>
          <w:p w14:paraId="41DAEE4B" w14:textId="77777777" w:rsidR="00285D58" w:rsidRPr="00996684" w:rsidRDefault="00285D58" w:rsidP="00285D58">
            <w:pPr>
              <w:jc w:val="center"/>
              <w:rPr>
                <w:rFonts w:ascii="Calibri" w:eastAsia="Times New Roman" w:hAnsi="Calibri" w:cs="Calibri"/>
                <w:b/>
                <w:bCs/>
              </w:rPr>
            </w:pPr>
            <w:r w:rsidRPr="00996684">
              <w:rPr>
                <w:rFonts w:ascii="Calibri" w:eastAsia="Times New Roman" w:hAnsi="Calibri" w:cs="Calibri"/>
                <w:b/>
                <w:bCs/>
              </w:rPr>
              <w:t> </w:t>
            </w:r>
          </w:p>
        </w:tc>
      </w:tr>
      <w:tr w:rsidR="00285D58" w:rsidRPr="00996684" w14:paraId="0D385947" w14:textId="77777777" w:rsidTr="00285D58">
        <w:trPr>
          <w:trHeight w:val="225"/>
        </w:trPr>
        <w:tc>
          <w:tcPr>
            <w:tcW w:w="6591" w:type="dxa"/>
            <w:gridSpan w:val="2"/>
            <w:shd w:val="clear" w:color="auto" w:fill="auto"/>
            <w:vAlign w:val="center"/>
            <w:hideMark/>
          </w:tcPr>
          <w:p w14:paraId="6FA44D5A" w14:textId="77777777" w:rsidR="00285D58" w:rsidRPr="00996684" w:rsidRDefault="00285D58" w:rsidP="00A3732C">
            <w:pPr>
              <w:pStyle w:val="Prrafodelista"/>
              <w:widowControl/>
              <w:numPr>
                <w:ilvl w:val="1"/>
                <w:numId w:val="276"/>
              </w:numPr>
              <w:rPr>
                <w:rFonts w:ascii="Calibri" w:eastAsia="Times New Roman" w:hAnsi="Calibri" w:cs="Calibri"/>
                <w:b/>
                <w:bCs/>
                <w:color w:val="000000"/>
              </w:rPr>
            </w:pPr>
            <w:r w:rsidRPr="00996684">
              <w:rPr>
                <w:rFonts w:ascii="Calibri" w:eastAsia="Times New Roman" w:hAnsi="Calibri" w:cs="Calibri"/>
                <w:b/>
                <w:bCs/>
                <w:color w:val="000000"/>
              </w:rPr>
              <w:t>CONSERVACIÓN PERIÓDICA</w:t>
            </w:r>
          </w:p>
        </w:tc>
      </w:tr>
      <w:tr w:rsidR="00285D58" w:rsidRPr="00996684" w14:paraId="4DBECA19" w14:textId="77777777" w:rsidTr="00285D58">
        <w:trPr>
          <w:gridBefore w:val="1"/>
          <w:wBefore w:w="851" w:type="dxa"/>
          <w:trHeight w:val="225"/>
        </w:trPr>
        <w:tc>
          <w:tcPr>
            <w:tcW w:w="5740" w:type="dxa"/>
            <w:shd w:val="clear" w:color="auto" w:fill="auto"/>
            <w:vAlign w:val="center"/>
            <w:hideMark/>
          </w:tcPr>
          <w:p w14:paraId="45C5BBB4"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REPOSICION DE MAT. GRANULAR ESTABILIZADO</w:t>
            </w:r>
          </w:p>
        </w:tc>
      </w:tr>
      <w:tr w:rsidR="00285D58" w:rsidRPr="00996684" w14:paraId="01E70AB9" w14:textId="77777777" w:rsidTr="00285D58">
        <w:trPr>
          <w:gridBefore w:val="1"/>
          <w:wBefore w:w="851" w:type="dxa"/>
          <w:trHeight w:val="225"/>
        </w:trPr>
        <w:tc>
          <w:tcPr>
            <w:tcW w:w="5740" w:type="dxa"/>
            <w:shd w:val="clear" w:color="auto" w:fill="auto"/>
            <w:vAlign w:val="center"/>
            <w:hideMark/>
          </w:tcPr>
          <w:p w14:paraId="2B5BF587"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SELLO ASFALTICO</w:t>
            </w:r>
          </w:p>
        </w:tc>
      </w:tr>
      <w:tr w:rsidR="00285D58" w:rsidRPr="00996684" w14:paraId="7E0EF39C" w14:textId="77777777" w:rsidTr="00285D58">
        <w:trPr>
          <w:gridBefore w:val="1"/>
          <w:wBefore w:w="851" w:type="dxa"/>
          <w:trHeight w:val="225"/>
        </w:trPr>
        <w:tc>
          <w:tcPr>
            <w:tcW w:w="5740" w:type="dxa"/>
            <w:shd w:val="clear" w:color="auto" w:fill="auto"/>
            <w:vAlign w:val="center"/>
            <w:hideMark/>
          </w:tcPr>
          <w:p w14:paraId="1793040C" w14:textId="77777777" w:rsidR="00285D58" w:rsidRPr="00996684" w:rsidRDefault="00285D58" w:rsidP="00285D58">
            <w:pPr>
              <w:rPr>
                <w:rFonts w:ascii="Calibri" w:eastAsia="Times New Roman" w:hAnsi="Calibri" w:cs="Calibri"/>
                <w:color w:val="000000"/>
              </w:rPr>
            </w:pPr>
            <w:r w:rsidRPr="00996684">
              <w:rPr>
                <w:rFonts w:ascii="Calibri" w:eastAsia="Times New Roman" w:hAnsi="Calibri" w:cs="Calibri"/>
                <w:color w:val="000000"/>
              </w:rPr>
              <w:t>REPARACIÓN DE ESTRUCTURAS DE DRENAJE</w:t>
            </w:r>
          </w:p>
        </w:tc>
      </w:tr>
    </w:tbl>
    <w:p w14:paraId="1EA4A1CF" w14:textId="77777777" w:rsidR="00285D58" w:rsidRPr="00996684" w:rsidRDefault="00285D58" w:rsidP="00285D58">
      <w:pPr>
        <w:pStyle w:val="Prrafodelista"/>
        <w:rPr>
          <w:rFonts w:ascii="Calibri" w:hAnsi="Calibri" w:cs="Calibri"/>
        </w:rPr>
      </w:pPr>
    </w:p>
    <w:p w14:paraId="2CE038AC" w14:textId="77777777" w:rsidR="00285D58" w:rsidRPr="00996684" w:rsidRDefault="00285D58" w:rsidP="00285D58">
      <w:pPr>
        <w:pStyle w:val="Prrafodelista"/>
        <w:ind w:left="1080"/>
        <w:rPr>
          <w:rFonts w:ascii="Calibri" w:hAnsi="Calibri" w:cs="Calibri"/>
        </w:rPr>
      </w:pPr>
    </w:p>
    <w:p w14:paraId="30EAFA59" w14:textId="77777777" w:rsidR="00285D58" w:rsidRPr="00996684" w:rsidRDefault="00285D58" w:rsidP="00A3732C">
      <w:pPr>
        <w:pStyle w:val="Prrafodelista"/>
        <w:widowControl/>
        <w:numPr>
          <w:ilvl w:val="0"/>
          <w:numId w:val="276"/>
        </w:numPr>
        <w:spacing w:after="160" w:line="259" w:lineRule="auto"/>
        <w:rPr>
          <w:rFonts w:ascii="Calibri" w:hAnsi="Calibri" w:cs="Calibri"/>
          <w:b/>
          <w:bCs/>
        </w:rPr>
      </w:pPr>
      <w:r w:rsidRPr="00996684">
        <w:rPr>
          <w:rFonts w:ascii="Calibri" w:hAnsi="Calibri" w:cs="Calibri"/>
          <w:b/>
          <w:bCs/>
        </w:rPr>
        <w:t>COSTOS DE O&amp;M DE LAS ESTACIONES CENTRALES (INC. BUSES)</w:t>
      </w:r>
    </w:p>
    <w:p w14:paraId="4192F655" w14:textId="77777777" w:rsidR="00285D58" w:rsidRPr="00996684" w:rsidRDefault="00285D58" w:rsidP="00285D58">
      <w:pPr>
        <w:pStyle w:val="Prrafodelista"/>
        <w:widowControl/>
        <w:spacing w:after="160" w:line="259" w:lineRule="auto"/>
        <w:rPr>
          <w:rFonts w:ascii="Calibri" w:hAnsi="Calibri" w:cs="Calibri"/>
          <w:b/>
          <w:bCs/>
        </w:rPr>
      </w:pPr>
    </w:p>
    <w:p w14:paraId="3E00F817"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 xml:space="preserve">3.1. PERSONAL </w:t>
      </w:r>
    </w:p>
    <w:p w14:paraId="463A62B2"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CALIFICADA</w:t>
      </w:r>
    </w:p>
    <w:p w14:paraId="48E9266C"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SEMI CALIFICADA</w:t>
      </w:r>
    </w:p>
    <w:p w14:paraId="3373DC52" w14:textId="77777777" w:rsidR="00285D58" w:rsidRPr="00996684" w:rsidRDefault="00285D58" w:rsidP="00285D58">
      <w:pPr>
        <w:ind w:left="1416"/>
        <w:rPr>
          <w:rFonts w:ascii="Calibri" w:eastAsia="Times New Roman" w:hAnsi="Calibri" w:cs="Calibri"/>
          <w:color w:val="000000"/>
        </w:rPr>
      </w:pPr>
      <w:r w:rsidRPr="00996684">
        <w:rPr>
          <w:rFonts w:ascii="Calibri" w:eastAsia="Times New Roman" w:hAnsi="Calibri" w:cs="Calibri"/>
          <w:color w:val="000000"/>
        </w:rPr>
        <w:t>MANO DE OBRA NO CALIFICADA</w:t>
      </w:r>
    </w:p>
    <w:p w14:paraId="7ED7FC85" w14:textId="77777777" w:rsidR="00285D58" w:rsidRPr="00996684" w:rsidRDefault="00285D58" w:rsidP="00285D58">
      <w:pPr>
        <w:ind w:left="1416"/>
        <w:rPr>
          <w:rFonts w:ascii="Calibri" w:eastAsia="Times New Roman" w:hAnsi="Calibri" w:cs="Calibri"/>
          <w:color w:val="000000"/>
        </w:rPr>
      </w:pPr>
    </w:p>
    <w:p w14:paraId="3EFF6623"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3.2. SERVICIOS</w:t>
      </w:r>
    </w:p>
    <w:tbl>
      <w:tblPr>
        <w:tblW w:w="7234" w:type="dxa"/>
        <w:tblInd w:w="1413" w:type="dxa"/>
        <w:tblCellMar>
          <w:left w:w="70" w:type="dxa"/>
          <w:right w:w="70" w:type="dxa"/>
        </w:tblCellMar>
        <w:tblLook w:val="04A0" w:firstRow="1" w:lastRow="0" w:firstColumn="1" w:lastColumn="0" w:noHBand="0" w:noVBand="1"/>
      </w:tblPr>
      <w:tblGrid>
        <w:gridCol w:w="7234"/>
      </w:tblGrid>
      <w:tr w:rsidR="00285D58" w:rsidRPr="00996684" w14:paraId="414D4DE9" w14:textId="77777777" w:rsidTr="00285D58">
        <w:trPr>
          <w:trHeight w:val="216"/>
        </w:trPr>
        <w:tc>
          <w:tcPr>
            <w:tcW w:w="7234" w:type="dxa"/>
            <w:shd w:val="clear" w:color="auto" w:fill="auto"/>
            <w:noWrap/>
            <w:vAlign w:val="bottom"/>
            <w:hideMark/>
          </w:tcPr>
          <w:p w14:paraId="66FE353D"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ESPECIALIZADOS</w:t>
            </w:r>
          </w:p>
        </w:tc>
      </w:tr>
      <w:tr w:rsidR="00285D58" w:rsidRPr="00996684" w14:paraId="5CBA541D" w14:textId="77777777" w:rsidTr="00285D58">
        <w:trPr>
          <w:trHeight w:val="216"/>
        </w:trPr>
        <w:tc>
          <w:tcPr>
            <w:tcW w:w="7234" w:type="dxa"/>
            <w:tcBorders>
              <w:left w:val="nil"/>
              <w:bottom w:val="nil"/>
              <w:right w:val="nil"/>
            </w:tcBorders>
            <w:shd w:val="clear" w:color="auto" w:fill="auto"/>
            <w:noWrap/>
            <w:vAlign w:val="bottom"/>
            <w:hideMark/>
          </w:tcPr>
          <w:p w14:paraId="4DB2BAEF" w14:textId="77777777" w:rsidR="00285D58" w:rsidRPr="00996684" w:rsidRDefault="00285D58" w:rsidP="00285D58">
            <w:pPr>
              <w:rPr>
                <w:rFonts w:ascii="Calibri" w:eastAsia="Times New Roman" w:hAnsi="Calibri" w:cs="Calibri"/>
                <w:lang w:eastAsia="fr-FR"/>
              </w:rPr>
            </w:pPr>
            <w:r w:rsidRPr="00996684">
              <w:rPr>
                <w:rFonts w:ascii="Calibri" w:eastAsia="Times New Roman" w:hAnsi="Calibri" w:cs="Calibri"/>
                <w:lang w:eastAsia="fr-FR"/>
              </w:rPr>
              <w:t>MANTENIMIENTO GENERAL DE BUSES A 5000KM</w:t>
            </w:r>
          </w:p>
        </w:tc>
      </w:tr>
      <w:tr w:rsidR="00285D58" w:rsidRPr="00996684" w14:paraId="0BC52822" w14:textId="77777777" w:rsidTr="00285D58">
        <w:trPr>
          <w:trHeight w:val="216"/>
        </w:trPr>
        <w:tc>
          <w:tcPr>
            <w:tcW w:w="7234" w:type="dxa"/>
            <w:tcBorders>
              <w:top w:val="nil"/>
              <w:left w:val="nil"/>
              <w:bottom w:val="nil"/>
              <w:right w:val="nil"/>
            </w:tcBorders>
            <w:shd w:val="clear" w:color="auto" w:fill="auto"/>
            <w:noWrap/>
            <w:vAlign w:val="bottom"/>
            <w:hideMark/>
          </w:tcPr>
          <w:p w14:paraId="7339CEF3" w14:textId="77777777" w:rsidR="00285D58" w:rsidRPr="00996684" w:rsidRDefault="00285D58" w:rsidP="00285D58">
            <w:pPr>
              <w:rPr>
                <w:rFonts w:ascii="Calibri" w:eastAsia="Times New Roman" w:hAnsi="Calibri" w:cs="Calibri"/>
                <w:lang w:val="fr-FR" w:eastAsia="fr-FR"/>
              </w:rPr>
            </w:pPr>
            <w:r w:rsidRPr="00996684">
              <w:rPr>
                <w:rFonts w:ascii="Calibri" w:eastAsia="Times New Roman" w:hAnsi="Calibri" w:cs="Calibri"/>
                <w:lang w:val="fr-FR" w:eastAsia="fr-FR"/>
              </w:rPr>
              <w:t>CAMBIO DE LLANTAS</w:t>
            </w:r>
          </w:p>
        </w:tc>
      </w:tr>
      <w:tr w:rsidR="00285D58" w:rsidRPr="00996684" w14:paraId="37B54DBA" w14:textId="77777777" w:rsidTr="00285D58">
        <w:trPr>
          <w:trHeight w:val="216"/>
        </w:trPr>
        <w:tc>
          <w:tcPr>
            <w:tcW w:w="7234" w:type="dxa"/>
            <w:tcBorders>
              <w:top w:val="nil"/>
              <w:left w:val="nil"/>
              <w:bottom w:val="nil"/>
              <w:right w:val="nil"/>
            </w:tcBorders>
            <w:shd w:val="clear" w:color="auto" w:fill="auto"/>
            <w:noWrap/>
            <w:vAlign w:val="bottom"/>
            <w:hideMark/>
          </w:tcPr>
          <w:p w14:paraId="25A14A8A" w14:textId="77777777" w:rsidR="00285D58" w:rsidRPr="00996684" w:rsidRDefault="00285D58" w:rsidP="00285D58">
            <w:pPr>
              <w:rPr>
                <w:rFonts w:ascii="Calibri" w:eastAsia="Times New Roman" w:hAnsi="Calibri" w:cs="Calibri"/>
                <w:lang w:eastAsia="fr-FR"/>
              </w:rPr>
            </w:pPr>
            <w:r w:rsidRPr="00996684">
              <w:rPr>
                <w:rFonts w:ascii="Calibri" w:eastAsia="Times New Roman" w:hAnsi="Calibri" w:cs="Calibri"/>
                <w:lang w:eastAsia="fr-FR"/>
              </w:rPr>
              <w:t>CAMBIO DE FILTROS Y ACEITE PERIODICO</w:t>
            </w:r>
          </w:p>
        </w:tc>
      </w:tr>
      <w:tr w:rsidR="00285D58" w:rsidRPr="00996684" w14:paraId="505BB905" w14:textId="77777777" w:rsidTr="00285D58">
        <w:trPr>
          <w:trHeight w:val="216"/>
        </w:trPr>
        <w:tc>
          <w:tcPr>
            <w:tcW w:w="7234" w:type="dxa"/>
            <w:tcBorders>
              <w:top w:val="nil"/>
              <w:left w:val="nil"/>
              <w:bottom w:val="nil"/>
              <w:right w:val="nil"/>
            </w:tcBorders>
            <w:shd w:val="clear" w:color="auto" w:fill="auto"/>
            <w:noWrap/>
            <w:vAlign w:val="bottom"/>
            <w:hideMark/>
          </w:tcPr>
          <w:p w14:paraId="417397E3" w14:textId="77777777" w:rsidR="00285D58" w:rsidRDefault="00285D58" w:rsidP="00285D58">
            <w:pPr>
              <w:rPr>
                <w:rFonts w:ascii="Calibri" w:eastAsia="Times New Roman" w:hAnsi="Calibri" w:cs="Calibri"/>
                <w:lang w:val="fr-FR" w:eastAsia="fr-FR"/>
              </w:rPr>
            </w:pPr>
            <w:r w:rsidRPr="00996684">
              <w:rPr>
                <w:rFonts w:ascii="Calibri" w:eastAsia="Times New Roman" w:hAnsi="Calibri" w:cs="Calibri"/>
                <w:lang w:val="fr-FR" w:eastAsia="fr-FR"/>
              </w:rPr>
              <w:t>REPARACIONES CORRECTIVAS</w:t>
            </w:r>
          </w:p>
          <w:p w14:paraId="0A96A59A" w14:textId="77777777" w:rsidR="00285D58" w:rsidRPr="00996684" w:rsidRDefault="00285D58" w:rsidP="00285D58">
            <w:pPr>
              <w:rPr>
                <w:rFonts w:ascii="Calibri" w:eastAsia="Times New Roman" w:hAnsi="Calibri" w:cs="Calibri"/>
                <w:lang w:val="fr-FR" w:eastAsia="fr-FR"/>
              </w:rPr>
            </w:pPr>
          </w:p>
        </w:tc>
      </w:tr>
      <w:tr w:rsidR="00285D58" w:rsidRPr="00996684" w14:paraId="4BC764CC" w14:textId="77777777" w:rsidTr="00285D58">
        <w:trPr>
          <w:trHeight w:val="216"/>
        </w:trPr>
        <w:tc>
          <w:tcPr>
            <w:tcW w:w="7234" w:type="dxa"/>
            <w:tcBorders>
              <w:top w:val="nil"/>
              <w:left w:val="nil"/>
              <w:bottom w:val="nil"/>
              <w:right w:val="nil"/>
            </w:tcBorders>
            <w:shd w:val="clear" w:color="auto" w:fill="auto"/>
            <w:noWrap/>
            <w:vAlign w:val="bottom"/>
            <w:hideMark/>
          </w:tcPr>
          <w:p w14:paraId="69D5D7DF"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GENERALES</w:t>
            </w:r>
          </w:p>
        </w:tc>
      </w:tr>
      <w:tr w:rsidR="00285D58" w:rsidRPr="00996684" w14:paraId="3AF00DD3" w14:textId="77777777" w:rsidTr="00285D58">
        <w:trPr>
          <w:trHeight w:val="216"/>
        </w:trPr>
        <w:tc>
          <w:tcPr>
            <w:tcW w:w="7234" w:type="dxa"/>
            <w:tcBorders>
              <w:top w:val="nil"/>
              <w:left w:val="nil"/>
              <w:bottom w:val="nil"/>
              <w:right w:val="nil"/>
            </w:tcBorders>
            <w:shd w:val="clear" w:color="auto" w:fill="auto"/>
            <w:noWrap/>
            <w:vAlign w:val="bottom"/>
            <w:hideMark/>
          </w:tcPr>
          <w:p w14:paraId="3B72B75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ALIMENTACIÓN ELÉCTRICA (ESTACIONES)</w:t>
            </w:r>
          </w:p>
        </w:tc>
      </w:tr>
      <w:tr w:rsidR="00285D58" w:rsidRPr="00996684" w14:paraId="4361CC07" w14:textId="77777777" w:rsidTr="00285D58">
        <w:trPr>
          <w:trHeight w:val="216"/>
        </w:trPr>
        <w:tc>
          <w:tcPr>
            <w:tcW w:w="7234" w:type="dxa"/>
            <w:tcBorders>
              <w:top w:val="nil"/>
              <w:left w:val="nil"/>
              <w:bottom w:val="nil"/>
              <w:right w:val="nil"/>
            </w:tcBorders>
            <w:shd w:val="clear" w:color="auto" w:fill="auto"/>
            <w:noWrap/>
            <w:vAlign w:val="bottom"/>
            <w:hideMark/>
          </w:tcPr>
          <w:p w14:paraId="264F183E"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AGUA Y ALCANTARILLADO</w:t>
            </w:r>
          </w:p>
        </w:tc>
      </w:tr>
      <w:tr w:rsidR="00285D58" w:rsidRPr="00996684" w14:paraId="4FC80EBA" w14:textId="77777777" w:rsidTr="00285D58">
        <w:trPr>
          <w:trHeight w:val="216"/>
        </w:trPr>
        <w:tc>
          <w:tcPr>
            <w:tcW w:w="7234" w:type="dxa"/>
            <w:tcBorders>
              <w:top w:val="nil"/>
              <w:left w:val="nil"/>
              <w:bottom w:val="nil"/>
              <w:right w:val="nil"/>
            </w:tcBorders>
            <w:shd w:val="clear" w:color="auto" w:fill="auto"/>
            <w:noWrap/>
            <w:vAlign w:val="bottom"/>
            <w:hideMark/>
          </w:tcPr>
          <w:p w14:paraId="19DD09A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INTERNET + TELEFONÍA FIJA (5 EXTENSIONES)</w:t>
            </w:r>
          </w:p>
        </w:tc>
      </w:tr>
      <w:tr w:rsidR="00285D58" w:rsidRPr="00996684" w14:paraId="500B3B2F" w14:textId="77777777" w:rsidTr="00285D58">
        <w:trPr>
          <w:trHeight w:val="216"/>
        </w:trPr>
        <w:tc>
          <w:tcPr>
            <w:tcW w:w="7234" w:type="dxa"/>
            <w:tcBorders>
              <w:top w:val="nil"/>
              <w:left w:val="nil"/>
              <w:bottom w:val="nil"/>
              <w:right w:val="nil"/>
            </w:tcBorders>
            <w:shd w:val="clear" w:color="auto" w:fill="auto"/>
            <w:noWrap/>
            <w:vAlign w:val="bottom"/>
            <w:hideMark/>
          </w:tcPr>
          <w:p w14:paraId="48E9E53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EQUIPO DE RADIO + PLAN DE RADIO ILIMITADO</w:t>
            </w:r>
          </w:p>
        </w:tc>
      </w:tr>
      <w:tr w:rsidR="00285D58" w:rsidRPr="00996684" w14:paraId="0C127BA9" w14:textId="77777777" w:rsidTr="00285D58">
        <w:trPr>
          <w:trHeight w:val="216"/>
        </w:trPr>
        <w:tc>
          <w:tcPr>
            <w:tcW w:w="7234" w:type="dxa"/>
            <w:tcBorders>
              <w:top w:val="nil"/>
              <w:left w:val="nil"/>
              <w:bottom w:val="nil"/>
              <w:right w:val="nil"/>
            </w:tcBorders>
            <w:shd w:val="clear" w:color="auto" w:fill="auto"/>
            <w:noWrap/>
            <w:vAlign w:val="bottom"/>
            <w:hideMark/>
          </w:tcPr>
          <w:p w14:paraId="59EA49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EQUIPO CELULAR + PLAN ILIMITADO</w:t>
            </w:r>
          </w:p>
        </w:tc>
      </w:tr>
      <w:tr w:rsidR="00285D58" w:rsidRPr="00996684" w14:paraId="00BE22FD" w14:textId="77777777" w:rsidTr="00285D58">
        <w:trPr>
          <w:trHeight w:val="216"/>
        </w:trPr>
        <w:tc>
          <w:tcPr>
            <w:tcW w:w="7234" w:type="dxa"/>
            <w:tcBorders>
              <w:top w:val="nil"/>
              <w:left w:val="nil"/>
              <w:bottom w:val="nil"/>
              <w:right w:val="nil"/>
            </w:tcBorders>
            <w:shd w:val="clear" w:color="auto" w:fill="auto"/>
            <w:noWrap/>
            <w:vAlign w:val="bottom"/>
            <w:hideMark/>
          </w:tcPr>
          <w:p w14:paraId="3C1EB2C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RECOLECCIÓN DE RESIDUOS ORDINARIOS</w:t>
            </w:r>
          </w:p>
        </w:tc>
      </w:tr>
      <w:tr w:rsidR="00285D58" w:rsidRPr="00996684" w14:paraId="547128A4" w14:textId="77777777" w:rsidTr="00285D58">
        <w:trPr>
          <w:trHeight w:val="216"/>
        </w:trPr>
        <w:tc>
          <w:tcPr>
            <w:tcW w:w="7234" w:type="dxa"/>
            <w:tcBorders>
              <w:top w:val="nil"/>
              <w:left w:val="nil"/>
              <w:bottom w:val="nil"/>
              <w:right w:val="nil"/>
            </w:tcBorders>
            <w:shd w:val="clear" w:color="auto" w:fill="auto"/>
            <w:noWrap/>
            <w:vAlign w:val="bottom"/>
            <w:hideMark/>
          </w:tcPr>
          <w:p w14:paraId="1951067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RECOLECCIÓN DE RESIDUOS PELIGROSOS Y ESPECIALES</w:t>
            </w:r>
          </w:p>
        </w:tc>
      </w:tr>
      <w:tr w:rsidR="00285D58" w:rsidRPr="00996684" w14:paraId="185742F9" w14:textId="77777777" w:rsidTr="00285D58">
        <w:trPr>
          <w:trHeight w:val="216"/>
        </w:trPr>
        <w:tc>
          <w:tcPr>
            <w:tcW w:w="7234" w:type="dxa"/>
            <w:tcBorders>
              <w:top w:val="nil"/>
              <w:left w:val="nil"/>
              <w:bottom w:val="nil"/>
              <w:right w:val="nil"/>
            </w:tcBorders>
            <w:shd w:val="clear" w:color="auto" w:fill="auto"/>
            <w:noWrap/>
            <w:vAlign w:val="bottom"/>
            <w:hideMark/>
          </w:tcPr>
          <w:p w14:paraId="14311022"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MANEJO DE REDES SOCIALES Y WEB</w:t>
            </w:r>
          </w:p>
          <w:p w14:paraId="39449D67" w14:textId="77777777" w:rsidR="00285D58" w:rsidRPr="00996684" w:rsidRDefault="00285D58" w:rsidP="00285D58">
            <w:pPr>
              <w:rPr>
                <w:rFonts w:ascii="Calibri" w:eastAsia="Times New Roman" w:hAnsi="Calibri" w:cs="Calibri"/>
                <w:color w:val="000000"/>
                <w:lang w:eastAsia="fr-FR"/>
              </w:rPr>
            </w:pPr>
          </w:p>
        </w:tc>
      </w:tr>
      <w:tr w:rsidR="00285D58" w:rsidRPr="00996684" w14:paraId="33407B00" w14:textId="77777777" w:rsidTr="00285D58">
        <w:trPr>
          <w:trHeight w:val="216"/>
        </w:trPr>
        <w:tc>
          <w:tcPr>
            <w:tcW w:w="7234" w:type="dxa"/>
            <w:tcBorders>
              <w:top w:val="nil"/>
              <w:left w:val="nil"/>
              <w:bottom w:val="nil"/>
              <w:right w:val="nil"/>
            </w:tcBorders>
            <w:shd w:val="clear" w:color="auto" w:fill="auto"/>
            <w:noWrap/>
            <w:vAlign w:val="bottom"/>
            <w:hideMark/>
          </w:tcPr>
          <w:p w14:paraId="66B11A0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SERVICIOS ELECTRÓNICOS</w:t>
            </w:r>
          </w:p>
        </w:tc>
      </w:tr>
      <w:tr w:rsidR="00285D58" w:rsidRPr="00996684" w14:paraId="72CB654E" w14:textId="77777777" w:rsidTr="00285D58">
        <w:trPr>
          <w:trHeight w:val="216"/>
        </w:trPr>
        <w:tc>
          <w:tcPr>
            <w:tcW w:w="7234" w:type="dxa"/>
            <w:tcBorders>
              <w:top w:val="nil"/>
              <w:left w:val="nil"/>
              <w:bottom w:val="nil"/>
              <w:right w:val="nil"/>
            </w:tcBorders>
            <w:shd w:val="clear" w:color="auto" w:fill="auto"/>
            <w:noWrap/>
            <w:vAlign w:val="bottom"/>
            <w:hideMark/>
          </w:tcPr>
          <w:p w14:paraId="4BBB7D8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EQUIPOS DE COMPUTACIÓN</w:t>
            </w:r>
          </w:p>
        </w:tc>
      </w:tr>
      <w:tr w:rsidR="00285D58" w:rsidRPr="00996684" w14:paraId="3EF09155" w14:textId="77777777" w:rsidTr="00285D58">
        <w:trPr>
          <w:trHeight w:val="216"/>
        </w:trPr>
        <w:tc>
          <w:tcPr>
            <w:tcW w:w="7234" w:type="dxa"/>
            <w:tcBorders>
              <w:top w:val="nil"/>
              <w:left w:val="nil"/>
              <w:bottom w:val="nil"/>
              <w:right w:val="nil"/>
            </w:tcBorders>
            <w:shd w:val="clear" w:color="auto" w:fill="auto"/>
            <w:noWrap/>
            <w:vAlign w:val="bottom"/>
            <w:hideMark/>
          </w:tcPr>
          <w:p w14:paraId="7FFA433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SERVICIO TI</w:t>
            </w:r>
          </w:p>
        </w:tc>
      </w:tr>
      <w:tr w:rsidR="00285D58" w:rsidRPr="00996684" w14:paraId="73D7C4D3" w14:textId="77777777" w:rsidTr="00285D58">
        <w:trPr>
          <w:trHeight w:val="216"/>
        </w:trPr>
        <w:tc>
          <w:tcPr>
            <w:tcW w:w="7234" w:type="dxa"/>
            <w:tcBorders>
              <w:top w:val="nil"/>
              <w:left w:val="nil"/>
              <w:bottom w:val="nil"/>
              <w:right w:val="nil"/>
            </w:tcBorders>
            <w:shd w:val="clear" w:color="auto" w:fill="auto"/>
            <w:noWrap/>
            <w:vAlign w:val="bottom"/>
            <w:hideMark/>
          </w:tcPr>
          <w:p w14:paraId="2E043E5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CÁMARAS DE SEGURIDAD</w:t>
            </w:r>
          </w:p>
        </w:tc>
      </w:tr>
      <w:tr w:rsidR="00285D58" w:rsidRPr="00996684" w14:paraId="145BBFAC" w14:textId="77777777" w:rsidTr="00285D58">
        <w:trPr>
          <w:trHeight w:val="216"/>
        </w:trPr>
        <w:tc>
          <w:tcPr>
            <w:tcW w:w="7234" w:type="dxa"/>
            <w:tcBorders>
              <w:top w:val="nil"/>
              <w:left w:val="nil"/>
              <w:bottom w:val="nil"/>
              <w:right w:val="nil"/>
            </w:tcBorders>
            <w:shd w:val="clear" w:color="auto" w:fill="auto"/>
            <w:noWrap/>
            <w:vAlign w:val="bottom"/>
            <w:hideMark/>
          </w:tcPr>
          <w:p w14:paraId="37A6C83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PANELES INFORMATIVOS LED ANUAL</w:t>
            </w:r>
          </w:p>
        </w:tc>
      </w:tr>
      <w:tr w:rsidR="00285D58" w:rsidRPr="00996684" w14:paraId="699D5EF9" w14:textId="77777777" w:rsidTr="00285D58">
        <w:trPr>
          <w:trHeight w:val="216"/>
        </w:trPr>
        <w:tc>
          <w:tcPr>
            <w:tcW w:w="7234" w:type="dxa"/>
            <w:tcBorders>
              <w:top w:val="nil"/>
              <w:left w:val="nil"/>
              <w:bottom w:val="nil"/>
              <w:right w:val="nil"/>
            </w:tcBorders>
            <w:shd w:val="clear" w:color="auto" w:fill="auto"/>
            <w:noWrap/>
            <w:vAlign w:val="bottom"/>
            <w:hideMark/>
          </w:tcPr>
          <w:p w14:paraId="1ED4ED3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MOLINETES DE COBRO MENSUAL</w:t>
            </w:r>
          </w:p>
        </w:tc>
      </w:tr>
      <w:tr w:rsidR="00285D58" w:rsidRPr="00996684" w14:paraId="2F67B868" w14:textId="77777777" w:rsidTr="00285D58">
        <w:trPr>
          <w:trHeight w:val="216"/>
        </w:trPr>
        <w:tc>
          <w:tcPr>
            <w:tcW w:w="7234" w:type="dxa"/>
            <w:tcBorders>
              <w:top w:val="nil"/>
              <w:left w:val="nil"/>
              <w:bottom w:val="nil"/>
              <w:right w:val="nil"/>
            </w:tcBorders>
            <w:shd w:val="clear" w:color="auto" w:fill="auto"/>
            <w:noWrap/>
            <w:vAlign w:val="bottom"/>
            <w:hideMark/>
          </w:tcPr>
          <w:p w14:paraId="55516A4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MANTENIMIENTO DE ASCENSORES MENSUAL</w:t>
            </w:r>
          </w:p>
        </w:tc>
      </w:tr>
      <w:tr w:rsidR="00285D58" w:rsidRPr="00996684" w14:paraId="4A895DC9" w14:textId="77777777" w:rsidTr="00285D58">
        <w:trPr>
          <w:trHeight w:val="216"/>
        </w:trPr>
        <w:tc>
          <w:tcPr>
            <w:tcW w:w="7234" w:type="dxa"/>
            <w:tcBorders>
              <w:top w:val="nil"/>
              <w:left w:val="nil"/>
              <w:bottom w:val="nil"/>
              <w:right w:val="nil"/>
            </w:tcBorders>
            <w:shd w:val="clear" w:color="auto" w:fill="auto"/>
            <w:noWrap/>
            <w:vAlign w:val="bottom"/>
            <w:hideMark/>
          </w:tcPr>
          <w:p w14:paraId="391A3C9B"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MANTENIMIENTO DE A/C ANUAL</w:t>
            </w:r>
          </w:p>
          <w:p w14:paraId="3E93E372" w14:textId="77777777" w:rsidR="00285D58" w:rsidRPr="00996684" w:rsidRDefault="00285D58" w:rsidP="00285D58">
            <w:pPr>
              <w:rPr>
                <w:rFonts w:ascii="Calibri" w:eastAsia="Times New Roman" w:hAnsi="Calibri" w:cs="Calibri"/>
                <w:color w:val="000000"/>
                <w:lang w:eastAsia="fr-FR"/>
              </w:rPr>
            </w:pPr>
          </w:p>
        </w:tc>
      </w:tr>
      <w:tr w:rsidR="00285D58" w:rsidRPr="00996684" w14:paraId="2E9E1544" w14:textId="77777777" w:rsidTr="00285D58">
        <w:trPr>
          <w:trHeight w:val="216"/>
        </w:trPr>
        <w:tc>
          <w:tcPr>
            <w:tcW w:w="7234" w:type="dxa"/>
            <w:tcBorders>
              <w:top w:val="nil"/>
              <w:left w:val="nil"/>
              <w:bottom w:val="nil"/>
              <w:right w:val="nil"/>
            </w:tcBorders>
            <w:shd w:val="clear" w:color="auto" w:fill="auto"/>
            <w:noWrap/>
            <w:vAlign w:val="bottom"/>
            <w:hideMark/>
          </w:tcPr>
          <w:p w14:paraId="12DFCBE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SERVICIO DE VIGILANCIA</w:t>
            </w:r>
          </w:p>
        </w:tc>
      </w:tr>
      <w:tr w:rsidR="00285D58" w:rsidRPr="00996684" w14:paraId="5645E011" w14:textId="77777777" w:rsidTr="00285D58">
        <w:trPr>
          <w:trHeight w:val="216"/>
        </w:trPr>
        <w:tc>
          <w:tcPr>
            <w:tcW w:w="7234" w:type="dxa"/>
            <w:tcBorders>
              <w:top w:val="nil"/>
              <w:left w:val="nil"/>
              <w:bottom w:val="nil"/>
              <w:right w:val="nil"/>
            </w:tcBorders>
            <w:shd w:val="clear" w:color="auto" w:fill="auto"/>
            <w:noWrap/>
            <w:vAlign w:val="bottom"/>
            <w:hideMark/>
          </w:tcPr>
          <w:p w14:paraId="01A29BF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VIGILANCIA: COORDINADOR DE SEGURIDAD (8H)</w:t>
            </w:r>
          </w:p>
        </w:tc>
      </w:tr>
      <w:tr w:rsidR="00285D58" w:rsidRPr="00996684" w14:paraId="2DEF0E9B" w14:textId="77777777" w:rsidTr="00285D58">
        <w:trPr>
          <w:trHeight w:val="216"/>
        </w:trPr>
        <w:tc>
          <w:tcPr>
            <w:tcW w:w="7234" w:type="dxa"/>
            <w:tcBorders>
              <w:top w:val="nil"/>
              <w:left w:val="nil"/>
              <w:bottom w:val="nil"/>
              <w:right w:val="nil"/>
            </w:tcBorders>
            <w:shd w:val="clear" w:color="auto" w:fill="auto"/>
            <w:noWrap/>
            <w:vAlign w:val="bottom"/>
            <w:hideMark/>
          </w:tcPr>
          <w:p w14:paraId="51B1D2C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SISTEMA DE ALARMA MENSUAL</w:t>
            </w:r>
          </w:p>
        </w:tc>
      </w:tr>
      <w:tr w:rsidR="00285D58" w:rsidRPr="00A3225A" w14:paraId="4F67C56B" w14:textId="77777777" w:rsidTr="00285D58">
        <w:trPr>
          <w:trHeight w:val="216"/>
        </w:trPr>
        <w:tc>
          <w:tcPr>
            <w:tcW w:w="7234" w:type="dxa"/>
            <w:tcBorders>
              <w:top w:val="nil"/>
              <w:left w:val="nil"/>
              <w:bottom w:val="nil"/>
              <w:right w:val="nil"/>
            </w:tcBorders>
            <w:shd w:val="clear" w:color="auto" w:fill="auto"/>
            <w:noWrap/>
            <w:vAlign w:val="bottom"/>
            <w:hideMark/>
          </w:tcPr>
          <w:p w14:paraId="471017A4" w14:textId="77777777" w:rsidR="00285D58" w:rsidRPr="00BB5F42" w:rsidRDefault="00285D58" w:rsidP="00285D58">
            <w:pPr>
              <w:rPr>
                <w:rFonts w:ascii="Calibri" w:eastAsia="Times New Roman" w:hAnsi="Calibri" w:cs="Calibri"/>
                <w:color w:val="000000"/>
                <w:lang w:val="pt-BR" w:eastAsia="fr-FR"/>
              </w:rPr>
            </w:pPr>
            <w:r w:rsidRPr="00BB5F42">
              <w:rPr>
                <w:rFonts w:ascii="Calibri" w:eastAsia="Times New Roman" w:hAnsi="Calibri" w:cs="Calibri"/>
                <w:color w:val="000000"/>
                <w:lang w:val="pt-BR" w:eastAsia="fr-FR"/>
              </w:rPr>
              <w:lastRenderedPageBreak/>
              <w:t>VIGILANCIA: RECORREDOR S/ARMA (16H)</w:t>
            </w:r>
          </w:p>
        </w:tc>
      </w:tr>
      <w:tr w:rsidR="00285D58" w:rsidRPr="00996684" w14:paraId="311C5C43" w14:textId="77777777" w:rsidTr="00285D58">
        <w:trPr>
          <w:trHeight w:val="216"/>
        </w:trPr>
        <w:tc>
          <w:tcPr>
            <w:tcW w:w="7234" w:type="dxa"/>
            <w:tcBorders>
              <w:top w:val="nil"/>
              <w:left w:val="nil"/>
              <w:bottom w:val="nil"/>
              <w:right w:val="nil"/>
            </w:tcBorders>
            <w:shd w:val="clear" w:color="auto" w:fill="auto"/>
            <w:noWrap/>
            <w:vAlign w:val="bottom"/>
            <w:hideMark/>
          </w:tcPr>
          <w:p w14:paraId="5B0D87B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VIGILANCIA: RECORREDOR MOTORIZADO (24H)</w:t>
            </w:r>
          </w:p>
        </w:tc>
      </w:tr>
      <w:tr w:rsidR="00285D58" w:rsidRPr="00996684" w14:paraId="2B5E9FCF" w14:textId="77777777" w:rsidTr="00285D58">
        <w:trPr>
          <w:trHeight w:val="216"/>
        </w:trPr>
        <w:tc>
          <w:tcPr>
            <w:tcW w:w="7234" w:type="dxa"/>
            <w:tcBorders>
              <w:top w:val="nil"/>
              <w:left w:val="nil"/>
              <w:bottom w:val="nil"/>
              <w:right w:val="nil"/>
            </w:tcBorders>
            <w:shd w:val="clear" w:color="auto" w:fill="auto"/>
            <w:noWrap/>
            <w:vAlign w:val="bottom"/>
            <w:hideMark/>
          </w:tcPr>
          <w:p w14:paraId="280C3595"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VIGILANCIA: MONITOR DE VIDEOVIGILANCIA</w:t>
            </w:r>
          </w:p>
          <w:p w14:paraId="7770544A"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025F5E01" w14:textId="77777777" w:rsidTr="00285D58">
        <w:trPr>
          <w:trHeight w:val="216"/>
        </w:trPr>
        <w:tc>
          <w:tcPr>
            <w:tcW w:w="7234" w:type="dxa"/>
            <w:tcBorders>
              <w:top w:val="nil"/>
              <w:left w:val="nil"/>
              <w:bottom w:val="nil"/>
              <w:right w:val="nil"/>
            </w:tcBorders>
            <w:shd w:val="clear" w:color="auto" w:fill="auto"/>
            <w:noWrap/>
            <w:vAlign w:val="bottom"/>
            <w:hideMark/>
          </w:tcPr>
          <w:p w14:paraId="682584AA"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TALLERES Y CAPACITACIONES</w:t>
            </w:r>
          </w:p>
        </w:tc>
      </w:tr>
      <w:tr w:rsidR="00285D58" w:rsidRPr="00996684" w14:paraId="3EE46650" w14:textId="77777777" w:rsidTr="00285D58">
        <w:trPr>
          <w:trHeight w:val="216"/>
        </w:trPr>
        <w:tc>
          <w:tcPr>
            <w:tcW w:w="7234" w:type="dxa"/>
            <w:tcBorders>
              <w:top w:val="nil"/>
              <w:left w:val="nil"/>
              <w:bottom w:val="nil"/>
              <w:right w:val="nil"/>
            </w:tcBorders>
            <w:shd w:val="clear" w:color="auto" w:fill="auto"/>
            <w:noWrap/>
            <w:vAlign w:val="bottom"/>
            <w:hideMark/>
          </w:tcPr>
          <w:p w14:paraId="1FA6039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TALLER DE CAPACITACIÓN SSO</w:t>
            </w:r>
          </w:p>
        </w:tc>
      </w:tr>
      <w:tr w:rsidR="00285D58" w:rsidRPr="00996684" w14:paraId="3EDA553C" w14:textId="77777777" w:rsidTr="00285D58">
        <w:trPr>
          <w:trHeight w:val="216"/>
        </w:trPr>
        <w:tc>
          <w:tcPr>
            <w:tcW w:w="7234" w:type="dxa"/>
            <w:tcBorders>
              <w:top w:val="nil"/>
              <w:left w:val="nil"/>
              <w:bottom w:val="nil"/>
              <w:right w:val="nil"/>
            </w:tcBorders>
            <w:shd w:val="clear" w:color="auto" w:fill="auto"/>
            <w:noWrap/>
            <w:vAlign w:val="bottom"/>
            <w:hideMark/>
          </w:tcPr>
          <w:p w14:paraId="5B35ED3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TRABAJO EN ALTURAS AVANZADO</w:t>
            </w:r>
          </w:p>
        </w:tc>
      </w:tr>
      <w:tr w:rsidR="00285D58" w:rsidRPr="00996684" w14:paraId="258AF29F" w14:textId="77777777" w:rsidTr="00285D58">
        <w:trPr>
          <w:trHeight w:val="216"/>
        </w:trPr>
        <w:tc>
          <w:tcPr>
            <w:tcW w:w="7234" w:type="dxa"/>
            <w:tcBorders>
              <w:top w:val="nil"/>
              <w:left w:val="nil"/>
              <w:bottom w:val="nil"/>
              <w:right w:val="nil"/>
            </w:tcBorders>
            <w:shd w:val="clear" w:color="auto" w:fill="auto"/>
            <w:noWrap/>
            <w:vAlign w:val="bottom"/>
            <w:hideMark/>
          </w:tcPr>
          <w:p w14:paraId="5904BB1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EXAMEN MÉDICO OCUPACIONAL</w:t>
            </w:r>
          </w:p>
        </w:tc>
      </w:tr>
      <w:tr w:rsidR="00285D58" w:rsidRPr="00996684" w14:paraId="02B3857B" w14:textId="77777777" w:rsidTr="00285D58">
        <w:trPr>
          <w:trHeight w:val="216"/>
        </w:trPr>
        <w:tc>
          <w:tcPr>
            <w:tcW w:w="7234" w:type="dxa"/>
            <w:tcBorders>
              <w:top w:val="nil"/>
              <w:left w:val="nil"/>
              <w:bottom w:val="nil"/>
              <w:right w:val="nil"/>
            </w:tcBorders>
            <w:shd w:val="clear" w:color="auto" w:fill="auto"/>
            <w:noWrap/>
            <w:vAlign w:val="bottom"/>
            <w:hideMark/>
          </w:tcPr>
          <w:p w14:paraId="5E8A82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PRIMEROS AUXILIOS BÁSICO</w:t>
            </w:r>
          </w:p>
        </w:tc>
      </w:tr>
      <w:tr w:rsidR="00285D58" w:rsidRPr="00996684" w14:paraId="61A95C43" w14:textId="77777777" w:rsidTr="00285D58">
        <w:trPr>
          <w:trHeight w:val="216"/>
        </w:trPr>
        <w:tc>
          <w:tcPr>
            <w:tcW w:w="7234" w:type="dxa"/>
            <w:tcBorders>
              <w:top w:val="nil"/>
              <w:left w:val="nil"/>
              <w:bottom w:val="nil"/>
              <w:right w:val="nil"/>
            </w:tcBorders>
            <w:shd w:val="clear" w:color="auto" w:fill="auto"/>
            <w:noWrap/>
            <w:vAlign w:val="bottom"/>
            <w:hideMark/>
          </w:tcPr>
          <w:p w14:paraId="3C1463F3"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RESCATE EN ALTURAS</w:t>
            </w:r>
          </w:p>
          <w:p w14:paraId="754B37D2"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35E4E692" w14:textId="77777777" w:rsidTr="00285D58">
        <w:trPr>
          <w:trHeight w:val="216"/>
        </w:trPr>
        <w:tc>
          <w:tcPr>
            <w:tcW w:w="7234" w:type="dxa"/>
            <w:tcBorders>
              <w:top w:val="nil"/>
              <w:left w:val="nil"/>
              <w:bottom w:val="nil"/>
              <w:right w:val="nil"/>
            </w:tcBorders>
            <w:shd w:val="clear" w:color="auto" w:fill="auto"/>
            <w:noWrap/>
            <w:vAlign w:val="bottom"/>
            <w:hideMark/>
          </w:tcPr>
          <w:p w14:paraId="3945629D"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PROTOCOLO COVID</w:t>
            </w:r>
          </w:p>
        </w:tc>
      </w:tr>
      <w:tr w:rsidR="00285D58" w:rsidRPr="00996684" w14:paraId="046ACE62" w14:textId="77777777" w:rsidTr="00285D58">
        <w:trPr>
          <w:trHeight w:val="216"/>
        </w:trPr>
        <w:tc>
          <w:tcPr>
            <w:tcW w:w="7234" w:type="dxa"/>
            <w:tcBorders>
              <w:top w:val="nil"/>
              <w:left w:val="nil"/>
              <w:bottom w:val="nil"/>
              <w:right w:val="nil"/>
            </w:tcBorders>
            <w:shd w:val="clear" w:color="auto" w:fill="auto"/>
            <w:noWrap/>
            <w:vAlign w:val="bottom"/>
            <w:hideMark/>
          </w:tcPr>
          <w:p w14:paraId="296E381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PRUEBA RÁPIDA SEMANAL</w:t>
            </w:r>
          </w:p>
        </w:tc>
      </w:tr>
      <w:tr w:rsidR="00285D58" w:rsidRPr="00996684" w14:paraId="08F14294" w14:textId="77777777" w:rsidTr="00285D58">
        <w:trPr>
          <w:trHeight w:val="216"/>
        </w:trPr>
        <w:tc>
          <w:tcPr>
            <w:tcW w:w="7234" w:type="dxa"/>
            <w:tcBorders>
              <w:top w:val="nil"/>
              <w:left w:val="nil"/>
              <w:bottom w:val="nil"/>
              <w:right w:val="nil"/>
            </w:tcBorders>
            <w:shd w:val="clear" w:color="auto" w:fill="auto"/>
            <w:noWrap/>
            <w:vAlign w:val="bottom"/>
            <w:hideMark/>
          </w:tcPr>
          <w:p w14:paraId="107C3B0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MASCARILLAS DESCARTABLES </w:t>
            </w:r>
          </w:p>
        </w:tc>
      </w:tr>
      <w:tr w:rsidR="00285D58" w:rsidRPr="00A3225A" w14:paraId="066E1E44" w14:textId="77777777" w:rsidTr="00285D58">
        <w:trPr>
          <w:trHeight w:val="216"/>
        </w:trPr>
        <w:tc>
          <w:tcPr>
            <w:tcW w:w="7234" w:type="dxa"/>
            <w:tcBorders>
              <w:top w:val="nil"/>
              <w:left w:val="nil"/>
              <w:bottom w:val="nil"/>
              <w:right w:val="nil"/>
            </w:tcBorders>
            <w:shd w:val="clear" w:color="auto" w:fill="auto"/>
            <w:noWrap/>
            <w:vAlign w:val="bottom"/>
            <w:hideMark/>
          </w:tcPr>
          <w:p w14:paraId="2A93E2BC" w14:textId="77777777" w:rsidR="00285D58" w:rsidRPr="00BB5F42" w:rsidRDefault="00285D58" w:rsidP="00285D58">
            <w:pPr>
              <w:rPr>
                <w:rFonts w:ascii="Calibri" w:eastAsia="Times New Roman" w:hAnsi="Calibri" w:cs="Calibri"/>
                <w:color w:val="000000"/>
                <w:lang w:val="pt-BR" w:eastAsia="fr-FR"/>
              </w:rPr>
            </w:pPr>
            <w:r w:rsidRPr="00BB5F42">
              <w:rPr>
                <w:rFonts w:ascii="Calibri" w:eastAsia="Times New Roman" w:hAnsi="Calibri" w:cs="Calibri"/>
                <w:color w:val="000000"/>
                <w:lang w:val="pt-BR" w:eastAsia="fr-FR"/>
              </w:rPr>
              <w:t>ALCOHOL E INSUMOS DE HIGIENE PERSONAL</w:t>
            </w:r>
          </w:p>
        </w:tc>
      </w:tr>
    </w:tbl>
    <w:p w14:paraId="498BD39F" w14:textId="77777777" w:rsidR="00285D58" w:rsidRPr="00BB5F42" w:rsidRDefault="00285D58" w:rsidP="00285D58">
      <w:pPr>
        <w:pStyle w:val="Prrafodelista"/>
        <w:ind w:left="1080"/>
        <w:rPr>
          <w:rFonts w:ascii="Calibri" w:hAnsi="Calibri" w:cs="Calibri"/>
          <w:lang w:val="pt-BR"/>
        </w:rPr>
      </w:pPr>
    </w:p>
    <w:p w14:paraId="14424817" w14:textId="77777777" w:rsidR="00285D58" w:rsidRPr="00996684" w:rsidRDefault="00285D58" w:rsidP="00A3732C">
      <w:pPr>
        <w:pStyle w:val="Prrafodelista"/>
        <w:widowControl/>
        <w:numPr>
          <w:ilvl w:val="0"/>
          <w:numId w:val="277"/>
        </w:numPr>
        <w:spacing w:after="160" w:line="259" w:lineRule="auto"/>
        <w:rPr>
          <w:rFonts w:ascii="Calibri" w:hAnsi="Calibri" w:cs="Calibri"/>
          <w:b/>
          <w:bCs/>
        </w:rPr>
      </w:pPr>
      <w:r w:rsidRPr="00996684">
        <w:rPr>
          <w:rFonts w:ascii="Calibri" w:hAnsi="Calibri" w:cs="Calibri"/>
          <w:b/>
          <w:bCs/>
        </w:rPr>
        <w:t>3.3. MANTENIMIENTO</w:t>
      </w:r>
    </w:p>
    <w:tbl>
      <w:tblPr>
        <w:tblW w:w="6242" w:type="dxa"/>
        <w:tblInd w:w="1413" w:type="dxa"/>
        <w:tblCellMar>
          <w:left w:w="70" w:type="dxa"/>
          <w:right w:w="70" w:type="dxa"/>
        </w:tblCellMar>
        <w:tblLook w:val="04A0" w:firstRow="1" w:lastRow="0" w:firstColumn="1" w:lastColumn="0" w:noHBand="0" w:noVBand="1"/>
      </w:tblPr>
      <w:tblGrid>
        <w:gridCol w:w="6242"/>
      </w:tblGrid>
      <w:tr w:rsidR="00285D58" w:rsidRPr="00996684" w14:paraId="6755980C" w14:textId="77777777" w:rsidTr="00285D58">
        <w:trPr>
          <w:trHeight w:val="216"/>
        </w:trPr>
        <w:tc>
          <w:tcPr>
            <w:tcW w:w="6242" w:type="dxa"/>
            <w:shd w:val="clear" w:color="auto" w:fill="auto"/>
            <w:noWrap/>
            <w:vAlign w:val="bottom"/>
            <w:hideMark/>
          </w:tcPr>
          <w:p w14:paraId="4DD45F37"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REPUESTOS PARA MANTENIMIENTO DE EDIFICIOS</w:t>
            </w:r>
          </w:p>
        </w:tc>
      </w:tr>
      <w:tr w:rsidR="00285D58" w:rsidRPr="00996684" w14:paraId="57D8D7CD" w14:textId="77777777" w:rsidTr="00285D58">
        <w:trPr>
          <w:trHeight w:val="216"/>
        </w:trPr>
        <w:tc>
          <w:tcPr>
            <w:tcW w:w="6242" w:type="dxa"/>
            <w:shd w:val="clear" w:color="auto" w:fill="auto"/>
            <w:noWrap/>
            <w:vAlign w:val="bottom"/>
            <w:hideMark/>
          </w:tcPr>
          <w:p w14:paraId="59B6E0B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MANTENIMIENTO DE TABLERO ELECTRICO</w:t>
            </w:r>
          </w:p>
        </w:tc>
      </w:tr>
      <w:tr w:rsidR="00285D58" w:rsidRPr="00996684" w14:paraId="6C83117D" w14:textId="77777777" w:rsidTr="00285D58">
        <w:trPr>
          <w:trHeight w:val="216"/>
        </w:trPr>
        <w:tc>
          <w:tcPr>
            <w:tcW w:w="6242" w:type="dxa"/>
            <w:shd w:val="clear" w:color="auto" w:fill="auto"/>
            <w:noWrap/>
            <w:vAlign w:val="bottom"/>
            <w:hideMark/>
          </w:tcPr>
          <w:p w14:paraId="34DBBA33"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LUMINARIAS 4X36W-4X18W</w:t>
            </w:r>
          </w:p>
        </w:tc>
      </w:tr>
      <w:tr w:rsidR="00285D58" w:rsidRPr="00996684" w14:paraId="4E14011D" w14:textId="77777777" w:rsidTr="00285D58">
        <w:trPr>
          <w:trHeight w:val="216"/>
        </w:trPr>
        <w:tc>
          <w:tcPr>
            <w:tcW w:w="6242" w:type="dxa"/>
            <w:tcBorders>
              <w:left w:val="nil"/>
              <w:bottom w:val="nil"/>
              <w:right w:val="nil"/>
            </w:tcBorders>
            <w:shd w:val="clear" w:color="auto" w:fill="auto"/>
            <w:noWrap/>
            <w:vAlign w:val="bottom"/>
            <w:hideMark/>
          </w:tcPr>
          <w:p w14:paraId="7B42D5E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SANITARIOS</w:t>
            </w:r>
          </w:p>
        </w:tc>
      </w:tr>
      <w:tr w:rsidR="00285D58" w:rsidRPr="00996684" w14:paraId="4F6065BC" w14:textId="77777777" w:rsidTr="00285D58">
        <w:trPr>
          <w:trHeight w:val="216"/>
        </w:trPr>
        <w:tc>
          <w:tcPr>
            <w:tcW w:w="6242" w:type="dxa"/>
            <w:tcBorders>
              <w:top w:val="nil"/>
              <w:left w:val="nil"/>
              <w:bottom w:val="nil"/>
              <w:right w:val="nil"/>
            </w:tcBorders>
            <w:shd w:val="clear" w:color="auto" w:fill="auto"/>
            <w:noWrap/>
            <w:vAlign w:val="bottom"/>
            <w:hideMark/>
          </w:tcPr>
          <w:p w14:paraId="707B906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PINTURA PAREDES</w:t>
            </w:r>
          </w:p>
        </w:tc>
      </w:tr>
      <w:tr w:rsidR="00285D58" w:rsidRPr="00996684" w14:paraId="6AE66B50" w14:textId="77777777" w:rsidTr="00285D58">
        <w:trPr>
          <w:trHeight w:val="216"/>
        </w:trPr>
        <w:tc>
          <w:tcPr>
            <w:tcW w:w="6242" w:type="dxa"/>
            <w:tcBorders>
              <w:top w:val="nil"/>
              <w:left w:val="nil"/>
              <w:bottom w:val="nil"/>
              <w:right w:val="nil"/>
            </w:tcBorders>
            <w:shd w:val="clear" w:color="auto" w:fill="auto"/>
            <w:noWrap/>
            <w:vAlign w:val="bottom"/>
            <w:hideMark/>
          </w:tcPr>
          <w:p w14:paraId="402BC9B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PINTURA REVESTIMIENTO DE METALES</w:t>
            </w:r>
          </w:p>
        </w:tc>
      </w:tr>
      <w:tr w:rsidR="00285D58" w:rsidRPr="00996684" w14:paraId="05E1D9A6" w14:textId="77777777" w:rsidTr="00285D58">
        <w:trPr>
          <w:trHeight w:val="216"/>
        </w:trPr>
        <w:tc>
          <w:tcPr>
            <w:tcW w:w="6242" w:type="dxa"/>
            <w:tcBorders>
              <w:top w:val="nil"/>
              <w:left w:val="nil"/>
              <w:bottom w:val="nil"/>
              <w:right w:val="nil"/>
            </w:tcBorders>
            <w:shd w:val="clear" w:color="auto" w:fill="auto"/>
            <w:noWrap/>
            <w:vAlign w:val="bottom"/>
            <w:hideMark/>
          </w:tcPr>
          <w:p w14:paraId="24AFC3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PISOS (LOSETA)</w:t>
            </w:r>
          </w:p>
        </w:tc>
      </w:tr>
      <w:tr w:rsidR="00285D58" w:rsidRPr="00996684" w14:paraId="4E736F18" w14:textId="77777777" w:rsidTr="00285D58">
        <w:trPr>
          <w:trHeight w:val="216"/>
        </w:trPr>
        <w:tc>
          <w:tcPr>
            <w:tcW w:w="6242" w:type="dxa"/>
            <w:tcBorders>
              <w:top w:val="nil"/>
              <w:left w:val="nil"/>
              <w:bottom w:val="nil"/>
              <w:right w:val="nil"/>
            </w:tcBorders>
            <w:shd w:val="clear" w:color="auto" w:fill="auto"/>
            <w:noWrap/>
            <w:vAlign w:val="bottom"/>
            <w:hideMark/>
          </w:tcPr>
          <w:p w14:paraId="44676AA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VIDRIOS (TEMPLADO 6mm)</w:t>
            </w:r>
          </w:p>
        </w:tc>
      </w:tr>
      <w:tr w:rsidR="00285D58" w:rsidRPr="00996684" w14:paraId="055A5C94" w14:textId="77777777" w:rsidTr="00285D58">
        <w:trPr>
          <w:trHeight w:val="216"/>
        </w:trPr>
        <w:tc>
          <w:tcPr>
            <w:tcW w:w="6242" w:type="dxa"/>
            <w:tcBorders>
              <w:top w:val="nil"/>
              <w:left w:val="nil"/>
              <w:bottom w:val="nil"/>
              <w:right w:val="nil"/>
            </w:tcBorders>
            <w:shd w:val="clear" w:color="auto" w:fill="auto"/>
            <w:noWrap/>
            <w:vAlign w:val="bottom"/>
            <w:hideMark/>
          </w:tcPr>
          <w:p w14:paraId="3D79D12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SEÑALÉTICA (ESTÁTICA)</w:t>
            </w:r>
          </w:p>
        </w:tc>
      </w:tr>
      <w:tr w:rsidR="00285D58" w:rsidRPr="00996684" w14:paraId="204C40C3" w14:textId="77777777" w:rsidTr="00285D58">
        <w:trPr>
          <w:trHeight w:val="216"/>
        </w:trPr>
        <w:tc>
          <w:tcPr>
            <w:tcW w:w="6242" w:type="dxa"/>
            <w:tcBorders>
              <w:top w:val="nil"/>
              <w:left w:val="nil"/>
              <w:bottom w:val="nil"/>
              <w:right w:val="nil"/>
            </w:tcBorders>
            <w:shd w:val="clear" w:color="auto" w:fill="auto"/>
            <w:noWrap/>
            <w:vAlign w:val="bottom"/>
            <w:hideMark/>
          </w:tcPr>
          <w:p w14:paraId="769E5A33"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ABONO Y CONSUMIBLES JARDINERÍA</w:t>
            </w:r>
          </w:p>
          <w:p w14:paraId="33F75ED3" w14:textId="77777777" w:rsidR="00285D58" w:rsidRPr="00996684" w:rsidRDefault="00285D58" w:rsidP="00285D58">
            <w:pPr>
              <w:rPr>
                <w:rFonts w:ascii="Calibri" w:eastAsia="Times New Roman" w:hAnsi="Calibri" w:cs="Calibri"/>
                <w:color w:val="000000"/>
                <w:lang w:val="fr-FR" w:eastAsia="fr-FR"/>
              </w:rPr>
            </w:pPr>
          </w:p>
          <w:p w14:paraId="33FD87B7"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1D2E866C" w14:textId="77777777" w:rsidTr="00285D58">
        <w:trPr>
          <w:trHeight w:val="216"/>
        </w:trPr>
        <w:tc>
          <w:tcPr>
            <w:tcW w:w="6242" w:type="dxa"/>
            <w:tcBorders>
              <w:top w:val="nil"/>
              <w:left w:val="nil"/>
              <w:bottom w:val="nil"/>
              <w:right w:val="nil"/>
            </w:tcBorders>
            <w:shd w:val="clear" w:color="auto" w:fill="auto"/>
            <w:noWrap/>
            <w:vAlign w:val="bottom"/>
            <w:hideMark/>
          </w:tcPr>
          <w:p w14:paraId="285D450B"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EQUIPOS PARA MANTENIMIENTO DE EDIFICIOS</w:t>
            </w:r>
          </w:p>
        </w:tc>
      </w:tr>
      <w:tr w:rsidR="00285D58" w:rsidRPr="00996684" w14:paraId="7DC0C417" w14:textId="77777777" w:rsidTr="00285D58">
        <w:trPr>
          <w:trHeight w:val="432"/>
        </w:trPr>
        <w:tc>
          <w:tcPr>
            <w:tcW w:w="6242" w:type="dxa"/>
            <w:tcBorders>
              <w:top w:val="nil"/>
              <w:left w:val="nil"/>
              <w:bottom w:val="nil"/>
              <w:right w:val="nil"/>
            </w:tcBorders>
            <w:shd w:val="clear" w:color="auto" w:fill="auto"/>
            <w:vAlign w:val="bottom"/>
            <w:hideMark/>
          </w:tcPr>
          <w:p w14:paraId="1CE7A56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SET DE HERRAMIENTAS (LLAVES, ALICATES, WINCHAS, NIVEL, ETC, DESARMADORES, ETC)</w:t>
            </w:r>
          </w:p>
        </w:tc>
      </w:tr>
      <w:tr w:rsidR="00285D58" w:rsidRPr="00996684" w14:paraId="2C09B732" w14:textId="77777777" w:rsidTr="00285D58">
        <w:trPr>
          <w:trHeight w:val="216"/>
        </w:trPr>
        <w:tc>
          <w:tcPr>
            <w:tcW w:w="6242" w:type="dxa"/>
            <w:tcBorders>
              <w:top w:val="nil"/>
              <w:left w:val="nil"/>
              <w:bottom w:val="nil"/>
              <w:right w:val="nil"/>
            </w:tcBorders>
            <w:shd w:val="clear" w:color="auto" w:fill="auto"/>
            <w:noWrap/>
            <w:vAlign w:val="bottom"/>
            <w:hideMark/>
          </w:tcPr>
          <w:p w14:paraId="672FB39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SET DE DADOS 1/2"</w:t>
            </w:r>
          </w:p>
        </w:tc>
      </w:tr>
      <w:tr w:rsidR="00285D58" w:rsidRPr="00996684" w14:paraId="3C3D2191" w14:textId="77777777" w:rsidTr="00285D58">
        <w:trPr>
          <w:trHeight w:val="216"/>
        </w:trPr>
        <w:tc>
          <w:tcPr>
            <w:tcW w:w="6242" w:type="dxa"/>
            <w:tcBorders>
              <w:top w:val="nil"/>
              <w:left w:val="nil"/>
              <w:bottom w:val="nil"/>
              <w:right w:val="nil"/>
            </w:tcBorders>
            <w:shd w:val="clear" w:color="auto" w:fill="auto"/>
            <w:noWrap/>
            <w:vAlign w:val="bottom"/>
            <w:hideMark/>
          </w:tcPr>
          <w:p w14:paraId="0BC5BF0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MARTILLO</w:t>
            </w:r>
          </w:p>
        </w:tc>
      </w:tr>
      <w:tr w:rsidR="00285D58" w:rsidRPr="00996684" w14:paraId="231E7C7C" w14:textId="77777777" w:rsidTr="00285D58">
        <w:trPr>
          <w:trHeight w:val="216"/>
        </w:trPr>
        <w:tc>
          <w:tcPr>
            <w:tcW w:w="6242" w:type="dxa"/>
            <w:tcBorders>
              <w:top w:val="nil"/>
              <w:left w:val="nil"/>
              <w:bottom w:val="nil"/>
              <w:right w:val="nil"/>
            </w:tcBorders>
            <w:shd w:val="clear" w:color="auto" w:fill="auto"/>
            <w:noWrap/>
            <w:vAlign w:val="bottom"/>
            <w:hideMark/>
          </w:tcPr>
          <w:p w14:paraId="103D84D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ROTOMARTILLO</w:t>
            </w:r>
          </w:p>
        </w:tc>
      </w:tr>
      <w:tr w:rsidR="00285D58" w:rsidRPr="00996684" w14:paraId="337B40E9" w14:textId="77777777" w:rsidTr="00285D58">
        <w:trPr>
          <w:trHeight w:val="216"/>
        </w:trPr>
        <w:tc>
          <w:tcPr>
            <w:tcW w:w="6242" w:type="dxa"/>
            <w:tcBorders>
              <w:top w:val="nil"/>
              <w:left w:val="nil"/>
              <w:bottom w:val="nil"/>
              <w:right w:val="nil"/>
            </w:tcBorders>
            <w:shd w:val="clear" w:color="auto" w:fill="auto"/>
            <w:noWrap/>
            <w:vAlign w:val="bottom"/>
            <w:hideMark/>
          </w:tcPr>
          <w:p w14:paraId="639A59F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ARCO DE SIERRA</w:t>
            </w:r>
          </w:p>
        </w:tc>
      </w:tr>
      <w:tr w:rsidR="00285D58" w:rsidRPr="00996684" w14:paraId="3D6E7105" w14:textId="77777777" w:rsidTr="00285D58">
        <w:trPr>
          <w:trHeight w:val="216"/>
        </w:trPr>
        <w:tc>
          <w:tcPr>
            <w:tcW w:w="6242" w:type="dxa"/>
            <w:tcBorders>
              <w:top w:val="nil"/>
              <w:left w:val="nil"/>
              <w:bottom w:val="nil"/>
              <w:right w:val="nil"/>
            </w:tcBorders>
            <w:shd w:val="clear" w:color="auto" w:fill="auto"/>
            <w:noWrap/>
            <w:vAlign w:val="bottom"/>
            <w:hideMark/>
          </w:tcPr>
          <w:p w14:paraId="1A760A1B"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ESMERIL ELÉCTRICO 850W</w:t>
            </w:r>
          </w:p>
        </w:tc>
      </w:tr>
      <w:tr w:rsidR="00285D58" w:rsidRPr="00996684" w14:paraId="078BB13C" w14:textId="77777777" w:rsidTr="00285D58">
        <w:trPr>
          <w:trHeight w:val="216"/>
        </w:trPr>
        <w:tc>
          <w:tcPr>
            <w:tcW w:w="6242" w:type="dxa"/>
            <w:tcBorders>
              <w:top w:val="nil"/>
              <w:left w:val="nil"/>
              <w:bottom w:val="nil"/>
              <w:right w:val="nil"/>
            </w:tcBorders>
            <w:shd w:val="clear" w:color="auto" w:fill="auto"/>
            <w:noWrap/>
            <w:vAlign w:val="bottom"/>
            <w:hideMark/>
          </w:tcPr>
          <w:p w14:paraId="50F2A40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LINTERNA LED</w:t>
            </w:r>
          </w:p>
        </w:tc>
      </w:tr>
      <w:tr w:rsidR="00285D58" w:rsidRPr="00996684" w14:paraId="4626C5C9" w14:textId="77777777" w:rsidTr="00285D58">
        <w:trPr>
          <w:trHeight w:val="216"/>
        </w:trPr>
        <w:tc>
          <w:tcPr>
            <w:tcW w:w="6242" w:type="dxa"/>
            <w:tcBorders>
              <w:top w:val="nil"/>
              <w:left w:val="nil"/>
              <w:bottom w:val="nil"/>
              <w:right w:val="nil"/>
            </w:tcBorders>
            <w:shd w:val="clear" w:color="auto" w:fill="auto"/>
            <w:noWrap/>
            <w:vAlign w:val="bottom"/>
            <w:hideMark/>
          </w:tcPr>
          <w:p w14:paraId="151AF49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COMPRESOR DE AIRE 1450W</w:t>
            </w:r>
          </w:p>
        </w:tc>
      </w:tr>
      <w:tr w:rsidR="00285D58" w:rsidRPr="00996684" w14:paraId="089878D0" w14:textId="77777777" w:rsidTr="00285D58">
        <w:trPr>
          <w:trHeight w:val="216"/>
        </w:trPr>
        <w:tc>
          <w:tcPr>
            <w:tcW w:w="6242" w:type="dxa"/>
            <w:tcBorders>
              <w:top w:val="nil"/>
              <w:left w:val="nil"/>
              <w:bottom w:val="nil"/>
              <w:right w:val="nil"/>
            </w:tcBorders>
            <w:shd w:val="clear" w:color="auto" w:fill="auto"/>
            <w:noWrap/>
            <w:vAlign w:val="bottom"/>
            <w:hideMark/>
          </w:tcPr>
          <w:p w14:paraId="587E83F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ACEITERA</w:t>
            </w:r>
          </w:p>
        </w:tc>
      </w:tr>
      <w:tr w:rsidR="00285D58" w:rsidRPr="00996684" w14:paraId="58210CE1" w14:textId="77777777" w:rsidTr="00285D58">
        <w:trPr>
          <w:trHeight w:val="216"/>
        </w:trPr>
        <w:tc>
          <w:tcPr>
            <w:tcW w:w="6242" w:type="dxa"/>
            <w:tcBorders>
              <w:top w:val="nil"/>
              <w:left w:val="nil"/>
              <w:bottom w:val="nil"/>
              <w:right w:val="nil"/>
            </w:tcBorders>
            <w:shd w:val="clear" w:color="auto" w:fill="auto"/>
            <w:noWrap/>
            <w:vAlign w:val="bottom"/>
            <w:hideMark/>
          </w:tcPr>
          <w:p w14:paraId="5C5F89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CEPILLO DE MADERA 700W </w:t>
            </w:r>
          </w:p>
        </w:tc>
      </w:tr>
      <w:tr w:rsidR="00285D58" w:rsidRPr="00996684" w14:paraId="6FB88011" w14:textId="77777777" w:rsidTr="00285D58">
        <w:trPr>
          <w:trHeight w:val="216"/>
        </w:trPr>
        <w:tc>
          <w:tcPr>
            <w:tcW w:w="6242" w:type="dxa"/>
            <w:tcBorders>
              <w:top w:val="nil"/>
              <w:left w:val="nil"/>
              <w:bottom w:val="nil"/>
              <w:right w:val="nil"/>
            </w:tcBorders>
            <w:shd w:val="clear" w:color="auto" w:fill="auto"/>
            <w:noWrap/>
            <w:vAlign w:val="bottom"/>
            <w:hideMark/>
          </w:tcPr>
          <w:p w14:paraId="06F7E92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EQUIPO DE OXICORTE CON 5 BOQUILLAS, CHISPERO, ETC</w:t>
            </w:r>
          </w:p>
        </w:tc>
      </w:tr>
      <w:tr w:rsidR="00285D58" w:rsidRPr="00996684" w14:paraId="290603AE" w14:textId="77777777" w:rsidTr="00285D58">
        <w:trPr>
          <w:trHeight w:val="216"/>
        </w:trPr>
        <w:tc>
          <w:tcPr>
            <w:tcW w:w="6242" w:type="dxa"/>
            <w:tcBorders>
              <w:top w:val="nil"/>
              <w:left w:val="nil"/>
              <w:bottom w:val="nil"/>
              <w:right w:val="nil"/>
            </w:tcBorders>
            <w:shd w:val="clear" w:color="auto" w:fill="auto"/>
            <w:noWrap/>
            <w:vAlign w:val="bottom"/>
            <w:hideMark/>
          </w:tcPr>
          <w:p w14:paraId="1415F28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SET HERRAMIENTAS JARDINERÍA</w:t>
            </w:r>
          </w:p>
        </w:tc>
      </w:tr>
      <w:tr w:rsidR="00285D58" w:rsidRPr="00996684" w14:paraId="1EEEFF53" w14:textId="77777777" w:rsidTr="00285D58">
        <w:trPr>
          <w:trHeight w:val="216"/>
        </w:trPr>
        <w:tc>
          <w:tcPr>
            <w:tcW w:w="6242" w:type="dxa"/>
            <w:tcBorders>
              <w:top w:val="nil"/>
              <w:left w:val="nil"/>
              <w:bottom w:val="nil"/>
              <w:right w:val="nil"/>
            </w:tcBorders>
            <w:shd w:val="clear" w:color="auto" w:fill="auto"/>
            <w:noWrap/>
            <w:vAlign w:val="bottom"/>
            <w:hideMark/>
          </w:tcPr>
          <w:p w14:paraId="66C7ED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PULVERIZADORA PORTÁTIL</w:t>
            </w:r>
          </w:p>
        </w:tc>
      </w:tr>
      <w:tr w:rsidR="00285D58" w:rsidRPr="00996684" w14:paraId="2D3C2AD3" w14:textId="77777777" w:rsidTr="00285D58">
        <w:trPr>
          <w:trHeight w:val="216"/>
        </w:trPr>
        <w:tc>
          <w:tcPr>
            <w:tcW w:w="6242" w:type="dxa"/>
            <w:tcBorders>
              <w:top w:val="nil"/>
              <w:left w:val="nil"/>
              <w:bottom w:val="nil"/>
              <w:right w:val="nil"/>
            </w:tcBorders>
            <w:shd w:val="clear" w:color="auto" w:fill="auto"/>
            <w:noWrap/>
            <w:vAlign w:val="bottom"/>
            <w:hideMark/>
          </w:tcPr>
          <w:p w14:paraId="51C5D2F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CORTADORA DE CÉSPED 1.6KW</w:t>
            </w:r>
          </w:p>
        </w:tc>
      </w:tr>
      <w:tr w:rsidR="00285D58" w:rsidRPr="00996684" w14:paraId="551A9633" w14:textId="77777777" w:rsidTr="00285D58">
        <w:trPr>
          <w:trHeight w:val="216"/>
        </w:trPr>
        <w:tc>
          <w:tcPr>
            <w:tcW w:w="6242" w:type="dxa"/>
            <w:tcBorders>
              <w:top w:val="nil"/>
              <w:left w:val="nil"/>
              <w:bottom w:val="nil"/>
              <w:right w:val="nil"/>
            </w:tcBorders>
            <w:shd w:val="clear" w:color="auto" w:fill="auto"/>
            <w:noWrap/>
            <w:vAlign w:val="bottom"/>
            <w:hideMark/>
          </w:tcPr>
          <w:p w14:paraId="78439E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MOTO GUADAÑA 3HP</w:t>
            </w:r>
          </w:p>
        </w:tc>
      </w:tr>
      <w:tr w:rsidR="00285D58" w:rsidRPr="00996684" w14:paraId="155BEC21" w14:textId="77777777" w:rsidTr="00285D58">
        <w:trPr>
          <w:trHeight w:val="216"/>
        </w:trPr>
        <w:tc>
          <w:tcPr>
            <w:tcW w:w="6242" w:type="dxa"/>
            <w:tcBorders>
              <w:top w:val="nil"/>
              <w:left w:val="nil"/>
              <w:bottom w:val="nil"/>
              <w:right w:val="nil"/>
            </w:tcBorders>
            <w:shd w:val="clear" w:color="auto" w:fill="auto"/>
            <w:noWrap/>
            <w:vAlign w:val="bottom"/>
            <w:hideMark/>
          </w:tcPr>
          <w:p w14:paraId="78010F18"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MOTOSIERRA 1.2HP</w:t>
            </w:r>
          </w:p>
          <w:p w14:paraId="5BAD137D" w14:textId="77777777" w:rsidR="00285D58" w:rsidRPr="00996684" w:rsidRDefault="00285D58" w:rsidP="00285D58">
            <w:pPr>
              <w:rPr>
                <w:rFonts w:ascii="Calibri" w:eastAsia="Times New Roman" w:hAnsi="Calibri" w:cs="Calibri"/>
                <w:color w:val="000000"/>
                <w:lang w:val="fr-FR" w:eastAsia="fr-FR"/>
              </w:rPr>
            </w:pPr>
          </w:p>
          <w:p w14:paraId="19D18159"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495BF6A3" w14:textId="77777777" w:rsidTr="00285D58">
        <w:trPr>
          <w:trHeight w:val="216"/>
        </w:trPr>
        <w:tc>
          <w:tcPr>
            <w:tcW w:w="6242" w:type="dxa"/>
            <w:tcBorders>
              <w:top w:val="nil"/>
              <w:left w:val="nil"/>
              <w:bottom w:val="nil"/>
              <w:right w:val="nil"/>
            </w:tcBorders>
            <w:shd w:val="clear" w:color="auto" w:fill="auto"/>
            <w:noWrap/>
            <w:vAlign w:val="bottom"/>
            <w:hideMark/>
          </w:tcPr>
          <w:p w14:paraId="027E7BB1"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REPUESTOS DE ASEO</w:t>
            </w:r>
          </w:p>
        </w:tc>
      </w:tr>
      <w:tr w:rsidR="00285D58" w:rsidRPr="00996684" w14:paraId="0A34D8E6" w14:textId="77777777" w:rsidTr="00285D58">
        <w:trPr>
          <w:trHeight w:val="282"/>
        </w:trPr>
        <w:tc>
          <w:tcPr>
            <w:tcW w:w="6242" w:type="dxa"/>
            <w:tcBorders>
              <w:top w:val="nil"/>
              <w:left w:val="nil"/>
              <w:bottom w:val="nil"/>
              <w:right w:val="nil"/>
            </w:tcBorders>
            <w:shd w:val="clear" w:color="auto" w:fill="auto"/>
            <w:noWrap/>
            <w:vAlign w:val="bottom"/>
            <w:hideMark/>
          </w:tcPr>
          <w:p w14:paraId="6811B40A"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DESENGRASANTE INDUSTRIAL (9-11%) SOLUBLE 5GL</w:t>
            </w:r>
          </w:p>
        </w:tc>
      </w:tr>
      <w:tr w:rsidR="00285D58" w:rsidRPr="00996684" w14:paraId="2C1209DD" w14:textId="77777777" w:rsidTr="00285D58">
        <w:trPr>
          <w:trHeight w:val="216"/>
        </w:trPr>
        <w:tc>
          <w:tcPr>
            <w:tcW w:w="6242" w:type="dxa"/>
            <w:tcBorders>
              <w:top w:val="nil"/>
              <w:left w:val="nil"/>
              <w:bottom w:val="nil"/>
              <w:right w:val="nil"/>
            </w:tcBorders>
            <w:shd w:val="clear" w:color="auto" w:fill="auto"/>
            <w:noWrap/>
            <w:vAlign w:val="bottom"/>
            <w:hideMark/>
          </w:tcPr>
          <w:p w14:paraId="2871AD4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lastRenderedPageBreak/>
              <w:t>DESINFECTANTE HIPOCLORITO INDUSTRIAL (5-6%). 1GL</w:t>
            </w:r>
          </w:p>
        </w:tc>
      </w:tr>
      <w:tr w:rsidR="00285D58" w:rsidRPr="00996684" w14:paraId="6B329688" w14:textId="77777777" w:rsidTr="00285D58">
        <w:trPr>
          <w:trHeight w:val="216"/>
        </w:trPr>
        <w:tc>
          <w:tcPr>
            <w:tcW w:w="6242" w:type="dxa"/>
            <w:tcBorders>
              <w:top w:val="nil"/>
              <w:left w:val="nil"/>
              <w:bottom w:val="nil"/>
              <w:right w:val="nil"/>
            </w:tcBorders>
            <w:shd w:val="clear" w:color="auto" w:fill="auto"/>
            <w:noWrap/>
            <w:vAlign w:val="bottom"/>
            <w:hideMark/>
          </w:tcPr>
          <w:p w14:paraId="4B11212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DESTAPA CAÑERÍAS. 500ML</w:t>
            </w:r>
          </w:p>
        </w:tc>
      </w:tr>
      <w:tr w:rsidR="00285D58" w:rsidRPr="00996684" w14:paraId="58739198" w14:textId="77777777" w:rsidTr="00285D58">
        <w:trPr>
          <w:trHeight w:val="216"/>
        </w:trPr>
        <w:tc>
          <w:tcPr>
            <w:tcW w:w="6242" w:type="dxa"/>
            <w:tcBorders>
              <w:top w:val="nil"/>
              <w:left w:val="nil"/>
              <w:bottom w:val="nil"/>
              <w:right w:val="nil"/>
            </w:tcBorders>
            <w:shd w:val="clear" w:color="auto" w:fill="auto"/>
            <w:noWrap/>
            <w:vAlign w:val="bottom"/>
            <w:hideMark/>
          </w:tcPr>
          <w:p w14:paraId="0EC5E1C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LÍQUIDO LIMPIAVIDRIOS. 4L</w:t>
            </w:r>
          </w:p>
        </w:tc>
      </w:tr>
      <w:tr w:rsidR="00285D58" w:rsidRPr="00996684" w14:paraId="33F58F87" w14:textId="77777777" w:rsidTr="00285D58">
        <w:trPr>
          <w:trHeight w:val="216"/>
        </w:trPr>
        <w:tc>
          <w:tcPr>
            <w:tcW w:w="6242" w:type="dxa"/>
            <w:tcBorders>
              <w:top w:val="nil"/>
              <w:left w:val="nil"/>
              <w:bottom w:val="nil"/>
              <w:right w:val="nil"/>
            </w:tcBorders>
            <w:shd w:val="clear" w:color="auto" w:fill="auto"/>
            <w:noWrap/>
            <w:vAlign w:val="bottom"/>
            <w:hideMark/>
          </w:tcPr>
          <w:p w14:paraId="64A5492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SELLADOR PARA PISO DE 25%. 5GL</w:t>
            </w:r>
          </w:p>
        </w:tc>
      </w:tr>
      <w:tr w:rsidR="00285D58" w:rsidRPr="00996684" w14:paraId="26601CB7" w14:textId="77777777" w:rsidTr="00285D58">
        <w:trPr>
          <w:trHeight w:val="216"/>
        </w:trPr>
        <w:tc>
          <w:tcPr>
            <w:tcW w:w="6242" w:type="dxa"/>
            <w:tcBorders>
              <w:top w:val="nil"/>
              <w:left w:val="nil"/>
              <w:bottom w:val="nil"/>
              <w:right w:val="nil"/>
            </w:tcBorders>
            <w:shd w:val="clear" w:color="auto" w:fill="auto"/>
            <w:noWrap/>
            <w:vAlign w:val="bottom"/>
            <w:hideMark/>
          </w:tcPr>
          <w:p w14:paraId="6E9006C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AMBIENTADOR LÍQUIDO ATOMIZABLE. 5GL</w:t>
            </w:r>
          </w:p>
        </w:tc>
      </w:tr>
      <w:tr w:rsidR="00285D58" w:rsidRPr="00996684" w14:paraId="6AF61FD7" w14:textId="77777777" w:rsidTr="00285D58">
        <w:trPr>
          <w:trHeight w:val="216"/>
        </w:trPr>
        <w:tc>
          <w:tcPr>
            <w:tcW w:w="6242" w:type="dxa"/>
            <w:tcBorders>
              <w:top w:val="nil"/>
              <w:left w:val="nil"/>
              <w:bottom w:val="nil"/>
              <w:right w:val="nil"/>
            </w:tcBorders>
            <w:shd w:val="clear" w:color="auto" w:fill="auto"/>
            <w:noWrap/>
            <w:vAlign w:val="bottom"/>
            <w:hideMark/>
          </w:tcPr>
          <w:p w14:paraId="503A6309"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CERA POLIMÉRICA PARA PISOS, AUTO BRILLANTE. </w:t>
            </w:r>
            <w:r w:rsidRPr="00996684">
              <w:rPr>
                <w:rFonts w:ascii="Calibri" w:eastAsia="Times New Roman" w:hAnsi="Calibri" w:cs="Calibri"/>
                <w:color w:val="000000"/>
                <w:lang w:val="fr-FR" w:eastAsia="fr-FR"/>
              </w:rPr>
              <w:t>1GL</w:t>
            </w:r>
          </w:p>
        </w:tc>
      </w:tr>
      <w:tr w:rsidR="00285D58" w:rsidRPr="00996684" w14:paraId="01679DEB" w14:textId="77777777" w:rsidTr="00285D58">
        <w:trPr>
          <w:trHeight w:val="216"/>
        </w:trPr>
        <w:tc>
          <w:tcPr>
            <w:tcW w:w="6242" w:type="dxa"/>
            <w:tcBorders>
              <w:top w:val="nil"/>
              <w:left w:val="nil"/>
              <w:bottom w:val="nil"/>
              <w:right w:val="nil"/>
            </w:tcBorders>
            <w:shd w:val="clear" w:color="auto" w:fill="auto"/>
            <w:noWrap/>
            <w:vAlign w:val="bottom"/>
            <w:hideMark/>
          </w:tcPr>
          <w:p w14:paraId="7F30778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ESCOBA SUAVE DE FIBRA PLÁSTICA PLUMILLADA</w:t>
            </w:r>
          </w:p>
        </w:tc>
      </w:tr>
      <w:tr w:rsidR="00285D58" w:rsidRPr="00996684" w14:paraId="51F3FBC4" w14:textId="77777777" w:rsidTr="00285D58">
        <w:trPr>
          <w:trHeight w:val="216"/>
        </w:trPr>
        <w:tc>
          <w:tcPr>
            <w:tcW w:w="6242" w:type="dxa"/>
            <w:tcBorders>
              <w:top w:val="nil"/>
              <w:left w:val="nil"/>
              <w:bottom w:val="nil"/>
              <w:right w:val="nil"/>
            </w:tcBorders>
            <w:shd w:val="clear" w:color="auto" w:fill="auto"/>
            <w:noWrap/>
            <w:vAlign w:val="bottom"/>
            <w:hideMark/>
          </w:tcPr>
          <w:p w14:paraId="7F21E24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ESCOBA DURA DE FIBRA PLÁSTICA</w:t>
            </w:r>
          </w:p>
        </w:tc>
      </w:tr>
      <w:tr w:rsidR="00285D58" w:rsidRPr="00996684" w14:paraId="7E2CE379" w14:textId="77777777" w:rsidTr="00285D58">
        <w:trPr>
          <w:trHeight w:val="216"/>
        </w:trPr>
        <w:tc>
          <w:tcPr>
            <w:tcW w:w="6242" w:type="dxa"/>
            <w:tcBorders>
              <w:top w:val="nil"/>
              <w:left w:val="nil"/>
              <w:bottom w:val="nil"/>
              <w:right w:val="nil"/>
            </w:tcBorders>
            <w:shd w:val="clear" w:color="auto" w:fill="auto"/>
            <w:noWrap/>
            <w:vAlign w:val="bottom"/>
            <w:hideMark/>
          </w:tcPr>
          <w:p w14:paraId="180E786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TRAPERO ENCABADO DE 500G</w:t>
            </w:r>
          </w:p>
        </w:tc>
      </w:tr>
      <w:tr w:rsidR="00285D58" w:rsidRPr="00996684" w14:paraId="23CB2818" w14:textId="77777777" w:rsidTr="00285D58">
        <w:trPr>
          <w:trHeight w:val="216"/>
        </w:trPr>
        <w:tc>
          <w:tcPr>
            <w:tcW w:w="6242" w:type="dxa"/>
            <w:tcBorders>
              <w:top w:val="nil"/>
              <w:left w:val="nil"/>
              <w:bottom w:val="nil"/>
              <w:right w:val="nil"/>
            </w:tcBorders>
            <w:shd w:val="clear" w:color="auto" w:fill="auto"/>
            <w:noWrap/>
            <w:vAlign w:val="bottom"/>
            <w:hideMark/>
          </w:tcPr>
          <w:p w14:paraId="1B1F88A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PAÑO ABSORBENTE MULTIUSO. 8UN</w:t>
            </w:r>
          </w:p>
        </w:tc>
      </w:tr>
      <w:tr w:rsidR="00285D58" w:rsidRPr="00996684" w14:paraId="4EEFBEAF" w14:textId="77777777" w:rsidTr="00285D58">
        <w:trPr>
          <w:trHeight w:val="216"/>
        </w:trPr>
        <w:tc>
          <w:tcPr>
            <w:tcW w:w="6242" w:type="dxa"/>
            <w:tcBorders>
              <w:top w:val="nil"/>
              <w:left w:val="nil"/>
              <w:bottom w:val="nil"/>
              <w:right w:val="nil"/>
            </w:tcBorders>
            <w:shd w:val="clear" w:color="auto" w:fill="auto"/>
            <w:noWrap/>
            <w:vAlign w:val="bottom"/>
            <w:hideMark/>
          </w:tcPr>
          <w:p w14:paraId="43CDF2F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RECOGEDOR DE PLÁSTICO RÍGIDO</w:t>
            </w:r>
          </w:p>
        </w:tc>
      </w:tr>
      <w:tr w:rsidR="00285D58" w:rsidRPr="00996684" w14:paraId="7FB433E9" w14:textId="77777777" w:rsidTr="00285D58">
        <w:trPr>
          <w:trHeight w:val="216"/>
        </w:trPr>
        <w:tc>
          <w:tcPr>
            <w:tcW w:w="6242" w:type="dxa"/>
            <w:tcBorders>
              <w:top w:val="nil"/>
              <w:left w:val="nil"/>
              <w:bottom w:val="nil"/>
              <w:right w:val="nil"/>
            </w:tcBorders>
            <w:shd w:val="clear" w:color="auto" w:fill="auto"/>
            <w:noWrap/>
            <w:vAlign w:val="bottom"/>
            <w:hideMark/>
          </w:tcPr>
          <w:p w14:paraId="5E73133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PLUMERO EXTENSIBLE DE MICROFIBRA</w:t>
            </w:r>
          </w:p>
        </w:tc>
      </w:tr>
      <w:tr w:rsidR="00285D58" w:rsidRPr="00996684" w14:paraId="72E789FD" w14:textId="77777777" w:rsidTr="00285D58">
        <w:trPr>
          <w:trHeight w:val="216"/>
        </w:trPr>
        <w:tc>
          <w:tcPr>
            <w:tcW w:w="6242" w:type="dxa"/>
            <w:tcBorders>
              <w:top w:val="nil"/>
              <w:left w:val="nil"/>
              <w:bottom w:val="nil"/>
              <w:right w:val="nil"/>
            </w:tcBorders>
            <w:shd w:val="clear" w:color="auto" w:fill="auto"/>
            <w:noWrap/>
            <w:vAlign w:val="bottom"/>
            <w:hideMark/>
          </w:tcPr>
          <w:p w14:paraId="3F386E2D"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ESPONJA EN FIBRA MULTIUSO 6 UN</w:t>
            </w:r>
          </w:p>
        </w:tc>
      </w:tr>
      <w:tr w:rsidR="00285D58" w:rsidRPr="00996684" w14:paraId="680576D5" w14:textId="77777777" w:rsidTr="00285D58">
        <w:trPr>
          <w:trHeight w:val="216"/>
        </w:trPr>
        <w:tc>
          <w:tcPr>
            <w:tcW w:w="6242" w:type="dxa"/>
            <w:tcBorders>
              <w:top w:val="nil"/>
              <w:left w:val="nil"/>
              <w:bottom w:val="nil"/>
              <w:right w:val="nil"/>
            </w:tcBorders>
            <w:shd w:val="clear" w:color="auto" w:fill="auto"/>
            <w:noWrap/>
            <w:vAlign w:val="bottom"/>
            <w:hideMark/>
          </w:tcPr>
          <w:p w14:paraId="37A5A05A"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CEPILLO DE MANO DE FIBRA PLÁSTICA LISA RÍGIDA</w:t>
            </w:r>
          </w:p>
        </w:tc>
      </w:tr>
      <w:tr w:rsidR="00285D58" w:rsidRPr="00996684" w14:paraId="60F26B00" w14:textId="77777777" w:rsidTr="00285D58">
        <w:trPr>
          <w:trHeight w:val="216"/>
        </w:trPr>
        <w:tc>
          <w:tcPr>
            <w:tcW w:w="6242" w:type="dxa"/>
            <w:tcBorders>
              <w:top w:val="nil"/>
              <w:left w:val="nil"/>
              <w:bottom w:val="nil"/>
              <w:right w:val="nil"/>
            </w:tcBorders>
            <w:shd w:val="clear" w:color="auto" w:fill="auto"/>
            <w:noWrap/>
            <w:vAlign w:val="bottom"/>
            <w:hideMark/>
          </w:tcPr>
          <w:p w14:paraId="34ACB6E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MASCARILLA DESECHABLE. 50 UN</w:t>
            </w:r>
          </w:p>
        </w:tc>
      </w:tr>
      <w:tr w:rsidR="00285D58" w:rsidRPr="00996684" w14:paraId="479E9105" w14:textId="77777777" w:rsidTr="00285D58">
        <w:trPr>
          <w:trHeight w:val="216"/>
        </w:trPr>
        <w:tc>
          <w:tcPr>
            <w:tcW w:w="6242" w:type="dxa"/>
            <w:tcBorders>
              <w:top w:val="nil"/>
              <w:left w:val="nil"/>
              <w:bottom w:val="nil"/>
              <w:right w:val="nil"/>
            </w:tcBorders>
            <w:shd w:val="clear" w:color="auto" w:fill="auto"/>
            <w:noWrap/>
            <w:vAlign w:val="bottom"/>
            <w:hideMark/>
          </w:tcPr>
          <w:p w14:paraId="4EFFD51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GUANTE CALIBRE 50</w:t>
            </w:r>
          </w:p>
        </w:tc>
      </w:tr>
      <w:tr w:rsidR="00285D58" w:rsidRPr="00996684" w14:paraId="722AEC3D" w14:textId="77777777" w:rsidTr="00285D58">
        <w:trPr>
          <w:trHeight w:val="216"/>
        </w:trPr>
        <w:tc>
          <w:tcPr>
            <w:tcW w:w="6242" w:type="dxa"/>
            <w:tcBorders>
              <w:top w:val="nil"/>
              <w:left w:val="nil"/>
              <w:bottom w:val="nil"/>
              <w:right w:val="nil"/>
            </w:tcBorders>
            <w:shd w:val="clear" w:color="auto" w:fill="auto"/>
            <w:noWrap/>
            <w:vAlign w:val="bottom"/>
            <w:hideMark/>
          </w:tcPr>
          <w:p w14:paraId="292E597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BAYETILLA ROJA 40X70CM</w:t>
            </w:r>
          </w:p>
        </w:tc>
      </w:tr>
      <w:tr w:rsidR="00285D58" w:rsidRPr="00996684" w14:paraId="23927FC7" w14:textId="77777777" w:rsidTr="00285D58">
        <w:trPr>
          <w:trHeight w:val="216"/>
        </w:trPr>
        <w:tc>
          <w:tcPr>
            <w:tcW w:w="6242" w:type="dxa"/>
            <w:tcBorders>
              <w:top w:val="nil"/>
              <w:left w:val="nil"/>
              <w:bottom w:val="nil"/>
              <w:right w:val="nil"/>
            </w:tcBorders>
            <w:shd w:val="clear" w:color="auto" w:fill="auto"/>
            <w:noWrap/>
            <w:vAlign w:val="bottom"/>
            <w:hideMark/>
          </w:tcPr>
          <w:p w14:paraId="73B5E15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BOLSAS NEGRA PARA BASURA 100X120 POLIPROPILENO. </w:t>
            </w:r>
            <w:r w:rsidRPr="00996684">
              <w:rPr>
                <w:rFonts w:ascii="Calibri" w:eastAsia="Times New Roman" w:hAnsi="Calibri" w:cs="Calibri"/>
                <w:color w:val="000000"/>
                <w:lang w:val="fr-FR" w:eastAsia="fr-FR"/>
              </w:rPr>
              <w:t>10UN</w:t>
            </w:r>
          </w:p>
        </w:tc>
      </w:tr>
      <w:tr w:rsidR="00285D58" w:rsidRPr="00996684" w14:paraId="5A34AD16" w14:textId="77777777" w:rsidTr="00285D58">
        <w:trPr>
          <w:trHeight w:val="216"/>
        </w:trPr>
        <w:tc>
          <w:tcPr>
            <w:tcW w:w="6242" w:type="dxa"/>
            <w:tcBorders>
              <w:top w:val="nil"/>
              <w:left w:val="nil"/>
              <w:bottom w:val="nil"/>
              <w:right w:val="nil"/>
            </w:tcBorders>
            <w:shd w:val="clear" w:color="auto" w:fill="auto"/>
            <w:noWrap/>
            <w:vAlign w:val="bottom"/>
            <w:hideMark/>
          </w:tcPr>
          <w:p w14:paraId="463CBF8C"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eastAsia="fr-FR"/>
              </w:rPr>
              <w:t xml:space="preserve">PAPEL HIGIÉNICO DOBLE HOJA EN ROLLO. </w:t>
            </w:r>
            <w:r w:rsidRPr="00996684">
              <w:rPr>
                <w:rFonts w:ascii="Calibri" w:eastAsia="Times New Roman" w:hAnsi="Calibri" w:cs="Calibri"/>
                <w:color w:val="000000"/>
                <w:lang w:val="fr-FR" w:eastAsia="fr-FR"/>
              </w:rPr>
              <w:t>40 UN</w:t>
            </w:r>
          </w:p>
          <w:p w14:paraId="238D37ED" w14:textId="77777777" w:rsidR="00285D58" w:rsidRPr="00996684" w:rsidRDefault="00285D58" w:rsidP="00285D58">
            <w:pPr>
              <w:rPr>
                <w:rFonts w:ascii="Calibri" w:eastAsia="Times New Roman" w:hAnsi="Calibri" w:cs="Calibri"/>
                <w:color w:val="000000"/>
                <w:lang w:val="fr-FR" w:eastAsia="fr-FR"/>
              </w:rPr>
            </w:pPr>
          </w:p>
          <w:p w14:paraId="7BA73F4F"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23CA52F2" w14:textId="77777777" w:rsidTr="00285D58">
        <w:trPr>
          <w:trHeight w:val="216"/>
        </w:trPr>
        <w:tc>
          <w:tcPr>
            <w:tcW w:w="6242" w:type="dxa"/>
            <w:tcBorders>
              <w:top w:val="nil"/>
              <w:left w:val="nil"/>
              <w:bottom w:val="nil"/>
              <w:right w:val="nil"/>
            </w:tcBorders>
            <w:shd w:val="clear" w:color="auto" w:fill="auto"/>
            <w:noWrap/>
            <w:vAlign w:val="bottom"/>
            <w:hideMark/>
          </w:tcPr>
          <w:p w14:paraId="31E11AB5"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EQUIPOS DE ASEO (REPOSICIÓN ANUAL)</w:t>
            </w:r>
          </w:p>
        </w:tc>
      </w:tr>
      <w:tr w:rsidR="00285D58" w:rsidRPr="00996684" w14:paraId="671C2930" w14:textId="77777777" w:rsidTr="00285D58">
        <w:trPr>
          <w:trHeight w:val="216"/>
        </w:trPr>
        <w:tc>
          <w:tcPr>
            <w:tcW w:w="6242" w:type="dxa"/>
            <w:tcBorders>
              <w:top w:val="nil"/>
              <w:left w:val="nil"/>
              <w:bottom w:val="nil"/>
              <w:right w:val="nil"/>
            </w:tcBorders>
            <w:shd w:val="clear" w:color="auto" w:fill="auto"/>
            <w:noWrap/>
            <w:vAlign w:val="bottom"/>
            <w:hideMark/>
          </w:tcPr>
          <w:p w14:paraId="23DCC271"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HIDRO LAVADORA INDUSTRIAL 13HP, 15LPM</w:t>
            </w:r>
          </w:p>
        </w:tc>
      </w:tr>
      <w:tr w:rsidR="00285D58" w:rsidRPr="00996684" w14:paraId="442B8564" w14:textId="77777777" w:rsidTr="00285D58">
        <w:trPr>
          <w:trHeight w:val="216"/>
        </w:trPr>
        <w:tc>
          <w:tcPr>
            <w:tcW w:w="6242" w:type="dxa"/>
            <w:tcBorders>
              <w:top w:val="nil"/>
              <w:left w:val="nil"/>
              <w:bottom w:val="nil"/>
              <w:right w:val="nil"/>
            </w:tcBorders>
            <w:shd w:val="clear" w:color="auto" w:fill="auto"/>
            <w:noWrap/>
            <w:vAlign w:val="bottom"/>
            <w:hideMark/>
          </w:tcPr>
          <w:p w14:paraId="3E6502D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BRILLADORA INDUSTRIAL 20, 1500 RPM</w:t>
            </w:r>
          </w:p>
        </w:tc>
      </w:tr>
      <w:tr w:rsidR="00285D58" w:rsidRPr="00996684" w14:paraId="7A501745" w14:textId="77777777" w:rsidTr="00285D58">
        <w:trPr>
          <w:trHeight w:val="216"/>
        </w:trPr>
        <w:tc>
          <w:tcPr>
            <w:tcW w:w="6242" w:type="dxa"/>
            <w:tcBorders>
              <w:top w:val="nil"/>
              <w:left w:val="nil"/>
              <w:bottom w:val="nil"/>
              <w:right w:val="nil"/>
            </w:tcBorders>
            <w:shd w:val="clear" w:color="auto" w:fill="auto"/>
            <w:noWrap/>
            <w:vAlign w:val="bottom"/>
            <w:hideMark/>
          </w:tcPr>
          <w:p w14:paraId="54A9348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BRILLA PISOS MANUAL 80 CM</w:t>
            </w:r>
          </w:p>
        </w:tc>
      </w:tr>
      <w:tr w:rsidR="00285D58" w:rsidRPr="00996684" w14:paraId="3B955B9C" w14:textId="77777777" w:rsidTr="00285D58">
        <w:trPr>
          <w:trHeight w:val="216"/>
        </w:trPr>
        <w:tc>
          <w:tcPr>
            <w:tcW w:w="6242" w:type="dxa"/>
            <w:tcBorders>
              <w:top w:val="nil"/>
              <w:left w:val="nil"/>
              <w:bottom w:val="nil"/>
              <w:right w:val="nil"/>
            </w:tcBorders>
            <w:shd w:val="clear" w:color="auto" w:fill="auto"/>
            <w:noWrap/>
            <w:vAlign w:val="bottom"/>
            <w:hideMark/>
          </w:tcPr>
          <w:p w14:paraId="6D99AD2C"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LIMPIAVIDRIOS METÁLICO EXTENSIBLE (2.6 METROS)</w:t>
            </w:r>
          </w:p>
        </w:tc>
      </w:tr>
      <w:tr w:rsidR="00285D58" w:rsidRPr="00996684" w14:paraId="46569AEC" w14:textId="77777777" w:rsidTr="00285D58">
        <w:trPr>
          <w:trHeight w:val="216"/>
        </w:trPr>
        <w:tc>
          <w:tcPr>
            <w:tcW w:w="6242" w:type="dxa"/>
            <w:tcBorders>
              <w:top w:val="nil"/>
              <w:left w:val="nil"/>
              <w:bottom w:val="nil"/>
              <w:right w:val="nil"/>
            </w:tcBorders>
            <w:shd w:val="clear" w:color="auto" w:fill="auto"/>
            <w:noWrap/>
            <w:vAlign w:val="bottom"/>
            <w:hideMark/>
          </w:tcPr>
          <w:p w14:paraId="6BE8356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HARAGÁN METÁLICO PISOS 50 CM</w:t>
            </w:r>
          </w:p>
        </w:tc>
      </w:tr>
      <w:tr w:rsidR="00285D58" w:rsidRPr="00996684" w14:paraId="323FCC8F" w14:textId="77777777" w:rsidTr="00285D58">
        <w:trPr>
          <w:trHeight w:val="216"/>
        </w:trPr>
        <w:tc>
          <w:tcPr>
            <w:tcW w:w="6242" w:type="dxa"/>
            <w:tcBorders>
              <w:top w:val="nil"/>
              <w:left w:val="nil"/>
              <w:bottom w:val="nil"/>
              <w:right w:val="nil"/>
            </w:tcBorders>
            <w:shd w:val="clear" w:color="auto" w:fill="auto"/>
            <w:noWrap/>
            <w:vAlign w:val="bottom"/>
            <w:hideMark/>
          </w:tcPr>
          <w:p w14:paraId="0382212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BALDE ESCURRIDOR 48 LITROS CON CARRO</w:t>
            </w:r>
          </w:p>
        </w:tc>
      </w:tr>
      <w:tr w:rsidR="00285D58" w:rsidRPr="00996684" w14:paraId="4EF8CCC3" w14:textId="77777777" w:rsidTr="00285D58">
        <w:trPr>
          <w:trHeight w:val="216"/>
        </w:trPr>
        <w:tc>
          <w:tcPr>
            <w:tcW w:w="6242" w:type="dxa"/>
            <w:tcBorders>
              <w:top w:val="nil"/>
              <w:left w:val="nil"/>
              <w:bottom w:val="nil"/>
              <w:right w:val="nil"/>
            </w:tcBorders>
            <w:shd w:val="clear" w:color="auto" w:fill="auto"/>
            <w:noWrap/>
            <w:vAlign w:val="bottom"/>
            <w:hideMark/>
          </w:tcPr>
          <w:p w14:paraId="54976489"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ESCALERA TIJERA DE 9 PELDAÑOS (3 METROS)</w:t>
            </w:r>
          </w:p>
        </w:tc>
      </w:tr>
      <w:tr w:rsidR="00285D58" w:rsidRPr="00996684" w14:paraId="1B912093" w14:textId="77777777" w:rsidTr="00285D58">
        <w:trPr>
          <w:trHeight w:val="216"/>
        </w:trPr>
        <w:tc>
          <w:tcPr>
            <w:tcW w:w="6242" w:type="dxa"/>
            <w:tcBorders>
              <w:top w:val="nil"/>
              <w:left w:val="nil"/>
              <w:bottom w:val="nil"/>
              <w:right w:val="nil"/>
            </w:tcBorders>
            <w:shd w:val="clear" w:color="auto" w:fill="auto"/>
            <w:noWrap/>
            <w:vAlign w:val="bottom"/>
            <w:hideMark/>
          </w:tcPr>
          <w:p w14:paraId="39D42B62"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ESCALERA TIJERA DE 5 PELDAÑOS (1.8 METROS)</w:t>
            </w:r>
          </w:p>
        </w:tc>
      </w:tr>
      <w:tr w:rsidR="00285D58" w:rsidRPr="00996684" w14:paraId="4C164C14" w14:textId="77777777" w:rsidTr="00285D58">
        <w:trPr>
          <w:trHeight w:val="216"/>
        </w:trPr>
        <w:tc>
          <w:tcPr>
            <w:tcW w:w="6242" w:type="dxa"/>
            <w:tcBorders>
              <w:top w:val="nil"/>
              <w:left w:val="nil"/>
              <w:bottom w:val="nil"/>
              <w:right w:val="nil"/>
            </w:tcBorders>
            <w:shd w:val="clear" w:color="auto" w:fill="auto"/>
            <w:noWrap/>
            <w:vAlign w:val="bottom"/>
            <w:hideMark/>
          </w:tcPr>
          <w:p w14:paraId="299B764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CARRO DE LIMPIEZA</w:t>
            </w:r>
          </w:p>
        </w:tc>
      </w:tr>
      <w:tr w:rsidR="00285D58" w:rsidRPr="00996684" w14:paraId="2FC37435" w14:textId="77777777" w:rsidTr="00285D58">
        <w:trPr>
          <w:trHeight w:val="216"/>
        </w:trPr>
        <w:tc>
          <w:tcPr>
            <w:tcW w:w="6242" w:type="dxa"/>
            <w:tcBorders>
              <w:top w:val="nil"/>
              <w:left w:val="nil"/>
              <w:bottom w:val="nil"/>
              <w:right w:val="nil"/>
            </w:tcBorders>
            <w:shd w:val="clear" w:color="auto" w:fill="auto"/>
            <w:noWrap/>
            <w:vAlign w:val="bottom"/>
            <w:hideMark/>
          </w:tcPr>
          <w:p w14:paraId="0E716885"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MANGUERA DE 1/2", 50 M CON PORTA MANGUERA</w:t>
            </w:r>
          </w:p>
        </w:tc>
      </w:tr>
      <w:tr w:rsidR="00285D58" w:rsidRPr="00996684" w14:paraId="610DFB10" w14:textId="77777777" w:rsidTr="00285D58">
        <w:trPr>
          <w:trHeight w:val="216"/>
        </w:trPr>
        <w:tc>
          <w:tcPr>
            <w:tcW w:w="6242" w:type="dxa"/>
            <w:tcBorders>
              <w:top w:val="nil"/>
              <w:left w:val="nil"/>
              <w:bottom w:val="nil"/>
              <w:right w:val="nil"/>
            </w:tcBorders>
            <w:shd w:val="clear" w:color="auto" w:fill="auto"/>
            <w:noWrap/>
            <w:vAlign w:val="bottom"/>
            <w:hideMark/>
          </w:tcPr>
          <w:p w14:paraId="784DF070"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SEÑAL DE PREVENCIÓN PISO MOJADO</w:t>
            </w:r>
          </w:p>
        </w:tc>
      </w:tr>
      <w:tr w:rsidR="00285D58" w:rsidRPr="00996684" w14:paraId="7EA34AB7" w14:textId="77777777" w:rsidTr="00285D58">
        <w:trPr>
          <w:trHeight w:val="216"/>
        </w:trPr>
        <w:tc>
          <w:tcPr>
            <w:tcW w:w="6242" w:type="dxa"/>
            <w:tcBorders>
              <w:top w:val="nil"/>
              <w:left w:val="nil"/>
              <w:bottom w:val="nil"/>
              <w:right w:val="nil"/>
            </w:tcBorders>
            <w:shd w:val="clear" w:color="auto" w:fill="auto"/>
            <w:noWrap/>
            <w:vAlign w:val="bottom"/>
            <w:hideMark/>
          </w:tcPr>
          <w:p w14:paraId="706570BF"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EXTENSIÓN ELÉCTRICA DE 100M, CALIBRE 12</w:t>
            </w:r>
          </w:p>
        </w:tc>
      </w:tr>
      <w:tr w:rsidR="00285D58" w:rsidRPr="00996684" w14:paraId="2A9E625B" w14:textId="77777777" w:rsidTr="00285D58">
        <w:trPr>
          <w:trHeight w:val="216"/>
        </w:trPr>
        <w:tc>
          <w:tcPr>
            <w:tcW w:w="6242" w:type="dxa"/>
            <w:tcBorders>
              <w:top w:val="nil"/>
              <w:left w:val="nil"/>
              <w:bottom w:val="nil"/>
              <w:right w:val="nil"/>
            </w:tcBorders>
            <w:shd w:val="clear" w:color="auto" w:fill="auto"/>
            <w:noWrap/>
            <w:vAlign w:val="bottom"/>
            <w:hideMark/>
          </w:tcPr>
          <w:p w14:paraId="59764E1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TACHOS DE PEDAL 20 LT</w:t>
            </w:r>
          </w:p>
        </w:tc>
      </w:tr>
      <w:tr w:rsidR="00285D58" w:rsidRPr="00996684" w14:paraId="65166549" w14:textId="77777777" w:rsidTr="00285D58">
        <w:trPr>
          <w:trHeight w:val="216"/>
        </w:trPr>
        <w:tc>
          <w:tcPr>
            <w:tcW w:w="6242" w:type="dxa"/>
            <w:tcBorders>
              <w:top w:val="nil"/>
              <w:left w:val="nil"/>
              <w:bottom w:val="nil"/>
              <w:right w:val="nil"/>
            </w:tcBorders>
            <w:shd w:val="clear" w:color="auto" w:fill="auto"/>
            <w:noWrap/>
            <w:vAlign w:val="bottom"/>
            <w:hideMark/>
          </w:tcPr>
          <w:p w14:paraId="19301806"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LÍNEA DE VIDA RETRÁCTIL VERTICAL 10 METROS</w:t>
            </w:r>
          </w:p>
        </w:tc>
      </w:tr>
      <w:tr w:rsidR="00285D58" w:rsidRPr="00996684" w14:paraId="3F0C1122" w14:textId="77777777" w:rsidTr="00285D58">
        <w:trPr>
          <w:trHeight w:val="216"/>
        </w:trPr>
        <w:tc>
          <w:tcPr>
            <w:tcW w:w="6242" w:type="dxa"/>
            <w:tcBorders>
              <w:top w:val="nil"/>
              <w:left w:val="nil"/>
              <w:bottom w:val="nil"/>
              <w:right w:val="nil"/>
            </w:tcBorders>
            <w:shd w:val="clear" w:color="auto" w:fill="auto"/>
            <w:noWrap/>
            <w:vAlign w:val="bottom"/>
            <w:hideMark/>
          </w:tcPr>
          <w:p w14:paraId="273889D2"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ESLINGA DE POSICIONAMIENTO</w:t>
            </w:r>
          </w:p>
        </w:tc>
      </w:tr>
      <w:tr w:rsidR="00285D58" w:rsidRPr="00996684" w14:paraId="3403FB88" w14:textId="77777777" w:rsidTr="00285D58">
        <w:trPr>
          <w:trHeight w:val="216"/>
        </w:trPr>
        <w:tc>
          <w:tcPr>
            <w:tcW w:w="6242" w:type="dxa"/>
            <w:tcBorders>
              <w:top w:val="nil"/>
              <w:left w:val="nil"/>
              <w:bottom w:val="nil"/>
              <w:right w:val="nil"/>
            </w:tcBorders>
            <w:shd w:val="clear" w:color="auto" w:fill="auto"/>
            <w:noWrap/>
            <w:vAlign w:val="bottom"/>
            <w:hideMark/>
          </w:tcPr>
          <w:p w14:paraId="4CFA2901"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MOSQUETÓN</w:t>
            </w:r>
          </w:p>
        </w:tc>
      </w:tr>
      <w:tr w:rsidR="00285D58" w:rsidRPr="00996684" w14:paraId="70DE2A1E" w14:textId="77777777" w:rsidTr="00285D58">
        <w:trPr>
          <w:trHeight w:val="432"/>
        </w:trPr>
        <w:tc>
          <w:tcPr>
            <w:tcW w:w="6242" w:type="dxa"/>
            <w:tcBorders>
              <w:top w:val="nil"/>
              <w:left w:val="nil"/>
              <w:bottom w:val="nil"/>
              <w:right w:val="nil"/>
            </w:tcBorders>
            <w:shd w:val="clear" w:color="auto" w:fill="auto"/>
            <w:vAlign w:val="bottom"/>
            <w:hideMark/>
          </w:tcPr>
          <w:p w14:paraId="17D5670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PUNTO ECOLÓGICO DE 3 TACHOS DE 100 LITROS C/U (COLORES PARA CLASIFICACIÓN DE BASURAS)</w:t>
            </w:r>
          </w:p>
        </w:tc>
      </w:tr>
      <w:tr w:rsidR="00285D58" w:rsidRPr="00996684" w14:paraId="00750E44" w14:textId="77777777" w:rsidTr="00285D58">
        <w:trPr>
          <w:trHeight w:val="216"/>
        </w:trPr>
        <w:tc>
          <w:tcPr>
            <w:tcW w:w="6242" w:type="dxa"/>
            <w:tcBorders>
              <w:top w:val="nil"/>
              <w:left w:val="nil"/>
              <w:bottom w:val="nil"/>
              <w:right w:val="nil"/>
            </w:tcBorders>
            <w:shd w:val="clear" w:color="auto" w:fill="auto"/>
            <w:noWrap/>
            <w:vAlign w:val="bottom"/>
            <w:hideMark/>
          </w:tcPr>
          <w:p w14:paraId="1602B20B"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SERVICIO DE FUMIGACIÓN DE UNA ESTACIÓN</w:t>
            </w:r>
          </w:p>
        </w:tc>
      </w:tr>
      <w:tr w:rsidR="00285D58" w:rsidRPr="00996684" w14:paraId="541434C4" w14:textId="77777777" w:rsidTr="00285D58">
        <w:trPr>
          <w:trHeight w:val="216"/>
        </w:trPr>
        <w:tc>
          <w:tcPr>
            <w:tcW w:w="6242" w:type="dxa"/>
            <w:tcBorders>
              <w:top w:val="nil"/>
              <w:left w:val="nil"/>
              <w:bottom w:val="nil"/>
              <w:right w:val="nil"/>
            </w:tcBorders>
            <w:shd w:val="clear" w:color="auto" w:fill="auto"/>
            <w:noWrap/>
            <w:vAlign w:val="bottom"/>
            <w:hideMark/>
          </w:tcPr>
          <w:p w14:paraId="25B0F802"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ANDAMIO CERTIFICADO SECCIÓN 3*3</w:t>
            </w:r>
          </w:p>
          <w:p w14:paraId="11272C23" w14:textId="77777777" w:rsidR="00285D58" w:rsidRPr="00996684" w:rsidRDefault="00285D58" w:rsidP="00285D58">
            <w:pPr>
              <w:rPr>
                <w:rFonts w:ascii="Calibri" w:eastAsia="Times New Roman" w:hAnsi="Calibri" w:cs="Calibri"/>
                <w:color w:val="000000"/>
                <w:lang w:val="fr-FR" w:eastAsia="fr-FR"/>
              </w:rPr>
            </w:pPr>
          </w:p>
          <w:p w14:paraId="26D4FDAA"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79DDDC63" w14:textId="77777777" w:rsidTr="00285D58">
        <w:trPr>
          <w:trHeight w:val="216"/>
        </w:trPr>
        <w:tc>
          <w:tcPr>
            <w:tcW w:w="6242" w:type="dxa"/>
            <w:tcBorders>
              <w:top w:val="nil"/>
              <w:left w:val="nil"/>
              <w:bottom w:val="nil"/>
              <w:right w:val="nil"/>
            </w:tcBorders>
            <w:shd w:val="clear" w:color="auto" w:fill="auto"/>
            <w:noWrap/>
            <w:vAlign w:val="bottom"/>
            <w:hideMark/>
          </w:tcPr>
          <w:p w14:paraId="263928C5" w14:textId="79143011"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INSUMOS OTRAS ÁREAS</w:t>
            </w:r>
          </w:p>
        </w:tc>
      </w:tr>
      <w:tr w:rsidR="00285D58" w:rsidRPr="00996684" w14:paraId="351037AE" w14:textId="77777777" w:rsidTr="00285D58">
        <w:trPr>
          <w:trHeight w:val="216"/>
        </w:trPr>
        <w:tc>
          <w:tcPr>
            <w:tcW w:w="6242" w:type="dxa"/>
            <w:tcBorders>
              <w:top w:val="nil"/>
              <w:left w:val="nil"/>
              <w:bottom w:val="nil"/>
              <w:right w:val="nil"/>
            </w:tcBorders>
            <w:shd w:val="clear" w:color="auto" w:fill="auto"/>
            <w:vAlign w:val="bottom"/>
            <w:hideMark/>
          </w:tcPr>
          <w:p w14:paraId="4F5CC57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CARTELES Y PANCARTAS</w:t>
            </w:r>
          </w:p>
        </w:tc>
      </w:tr>
      <w:tr w:rsidR="00285D58" w:rsidRPr="00996684" w14:paraId="6783D140" w14:textId="77777777" w:rsidTr="00285D58">
        <w:trPr>
          <w:trHeight w:val="216"/>
        </w:trPr>
        <w:tc>
          <w:tcPr>
            <w:tcW w:w="6242" w:type="dxa"/>
            <w:tcBorders>
              <w:top w:val="nil"/>
              <w:left w:val="nil"/>
              <w:bottom w:val="nil"/>
              <w:right w:val="nil"/>
            </w:tcBorders>
            <w:shd w:val="clear" w:color="auto" w:fill="auto"/>
            <w:vAlign w:val="bottom"/>
            <w:hideMark/>
          </w:tcPr>
          <w:p w14:paraId="4A34D2B2"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INSUMOS DE OFICINA (PAPELERÍA,UTILES, TINTAS, ETC)</w:t>
            </w:r>
          </w:p>
        </w:tc>
      </w:tr>
      <w:tr w:rsidR="00285D58" w:rsidRPr="00996684" w14:paraId="5141A211" w14:textId="77777777" w:rsidTr="00285D58">
        <w:trPr>
          <w:trHeight w:val="216"/>
        </w:trPr>
        <w:tc>
          <w:tcPr>
            <w:tcW w:w="6242" w:type="dxa"/>
            <w:tcBorders>
              <w:top w:val="nil"/>
              <w:left w:val="nil"/>
              <w:bottom w:val="nil"/>
              <w:right w:val="nil"/>
            </w:tcBorders>
            <w:shd w:val="clear" w:color="auto" w:fill="auto"/>
            <w:vAlign w:val="bottom"/>
            <w:hideMark/>
          </w:tcPr>
          <w:p w14:paraId="46FF753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INSUMOS DE ENFERMERÍA</w:t>
            </w:r>
          </w:p>
        </w:tc>
      </w:tr>
      <w:tr w:rsidR="00285D58" w:rsidRPr="00996684" w14:paraId="56BDD8B4" w14:textId="77777777" w:rsidTr="00285D58">
        <w:trPr>
          <w:trHeight w:val="216"/>
        </w:trPr>
        <w:tc>
          <w:tcPr>
            <w:tcW w:w="6242" w:type="dxa"/>
            <w:tcBorders>
              <w:top w:val="nil"/>
              <w:left w:val="nil"/>
              <w:bottom w:val="nil"/>
              <w:right w:val="nil"/>
            </w:tcBorders>
            <w:shd w:val="clear" w:color="auto" w:fill="auto"/>
            <w:vAlign w:val="bottom"/>
            <w:hideMark/>
          </w:tcPr>
          <w:p w14:paraId="5DF3382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PAPELERÍA INSTITUCIONAL</w:t>
            </w:r>
          </w:p>
        </w:tc>
      </w:tr>
      <w:tr w:rsidR="00285D58" w:rsidRPr="00996684" w14:paraId="5D34D838" w14:textId="77777777" w:rsidTr="00285D58">
        <w:trPr>
          <w:trHeight w:val="216"/>
        </w:trPr>
        <w:tc>
          <w:tcPr>
            <w:tcW w:w="6242" w:type="dxa"/>
            <w:tcBorders>
              <w:top w:val="nil"/>
              <w:left w:val="nil"/>
              <w:bottom w:val="nil"/>
              <w:right w:val="nil"/>
            </w:tcBorders>
            <w:shd w:val="clear" w:color="auto" w:fill="auto"/>
            <w:vAlign w:val="bottom"/>
            <w:hideMark/>
          </w:tcPr>
          <w:p w14:paraId="4C2F557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MERCHANDISING VARIADO PLÁSTICO (REGALO)</w:t>
            </w:r>
          </w:p>
          <w:p w14:paraId="4EEFB663"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7328B86A" w14:textId="77777777" w:rsidTr="00285D58">
        <w:trPr>
          <w:trHeight w:val="216"/>
        </w:trPr>
        <w:tc>
          <w:tcPr>
            <w:tcW w:w="6242" w:type="dxa"/>
            <w:tcBorders>
              <w:top w:val="nil"/>
              <w:left w:val="nil"/>
              <w:bottom w:val="nil"/>
              <w:right w:val="nil"/>
            </w:tcBorders>
            <w:shd w:val="clear" w:color="auto" w:fill="auto"/>
            <w:noWrap/>
            <w:vAlign w:val="bottom"/>
            <w:hideMark/>
          </w:tcPr>
          <w:p w14:paraId="4F57B788"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lastRenderedPageBreak/>
              <w:t>EQUIPOS DE PROTECCIÓN PERSONAL</w:t>
            </w:r>
          </w:p>
        </w:tc>
      </w:tr>
      <w:tr w:rsidR="00285D58" w:rsidRPr="00996684" w14:paraId="0153263F" w14:textId="77777777" w:rsidTr="00285D58">
        <w:trPr>
          <w:trHeight w:val="216"/>
        </w:trPr>
        <w:tc>
          <w:tcPr>
            <w:tcW w:w="6242" w:type="dxa"/>
            <w:tcBorders>
              <w:top w:val="nil"/>
              <w:left w:val="nil"/>
              <w:bottom w:val="nil"/>
              <w:right w:val="nil"/>
            </w:tcBorders>
            <w:shd w:val="clear" w:color="auto" w:fill="auto"/>
            <w:vAlign w:val="bottom"/>
            <w:hideMark/>
          </w:tcPr>
          <w:p w14:paraId="7C37BCC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CASCO DE SEGURIDAD</w:t>
            </w:r>
          </w:p>
        </w:tc>
      </w:tr>
      <w:tr w:rsidR="00285D58" w:rsidRPr="00996684" w14:paraId="03C62099" w14:textId="77777777" w:rsidTr="00285D58">
        <w:trPr>
          <w:trHeight w:val="216"/>
        </w:trPr>
        <w:tc>
          <w:tcPr>
            <w:tcW w:w="6242" w:type="dxa"/>
            <w:tcBorders>
              <w:top w:val="nil"/>
              <w:left w:val="nil"/>
              <w:bottom w:val="nil"/>
              <w:right w:val="nil"/>
            </w:tcBorders>
            <w:shd w:val="clear" w:color="auto" w:fill="auto"/>
            <w:vAlign w:val="bottom"/>
            <w:hideMark/>
          </w:tcPr>
          <w:p w14:paraId="6DEEF8A7"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LENTE TRANSPARENTE</w:t>
            </w:r>
          </w:p>
        </w:tc>
      </w:tr>
      <w:tr w:rsidR="00285D58" w:rsidRPr="00996684" w14:paraId="5E9C9C88" w14:textId="77777777" w:rsidTr="00285D58">
        <w:trPr>
          <w:trHeight w:val="216"/>
        </w:trPr>
        <w:tc>
          <w:tcPr>
            <w:tcW w:w="6242" w:type="dxa"/>
            <w:tcBorders>
              <w:top w:val="nil"/>
              <w:left w:val="nil"/>
              <w:bottom w:val="nil"/>
              <w:right w:val="nil"/>
            </w:tcBorders>
            <w:shd w:val="clear" w:color="auto" w:fill="auto"/>
            <w:vAlign w:val="bottom"/>
            <w:hideMark/>
          </w:tcPr>
          <w:p w14:paraId="62DD4B3F"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TAPONES AUDITIVOS</w:t>
            </w:r>
          </w:p>
        </w:tc>
      </w:tr>
      <w:tr w:rsidR="00285D58" w:rsidRPr="00996684" w14:paraId="333AD478" w14:textId="77777777" w:rsidTr="00285D58">
        <w:trPr>
          <w:trHeight w:val="216"/>
        </w:trPr>
        <w:tc>
          <w:tcPr>
            <w:tcW w:w="6242" w:type="dxa"/>
            <w:tcBorders>
              <w:top w:val="nil"/>
              <w:left w:val="nil"/>
              <w:bottom w:val="nil"/>
              <w:right w:val="nil"/>
            </w:tcBorders>
            <w:shd w:val="clear" w:color="auto" w:fill="auto"/>
            <w:vAlign w:val="bottom"/>
            <w:hideMark/>
          </w:tcPr>
          <w:p w14:paraId="392DF5C8"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GUANTE </w:t>
            </w:r>
          </w:p>
        </w:tc>
      </w:tr>
      <w:tr w:rsidR="00285D58" w:rsidRPr="00996684" w14:paraId="5D7DBF2A" w14:textId="77777777" w:rsidTr="00285D58">
        <w:trPr>
          <w:trHeight w:val="216"/>
        </w:trPr>
        <w:tc>
          <w:tcPr>
            <w:tcW w:w="6242" w:type="dxa"/>
            <w:tcBorders>
              <w:top w:val="nil"/>
              <w:left w:val="nil"/>
              <w:bottom w:val="nil"/>
              <w:right w:val="nil"/>
            </w:tcBorders>
            <w:shd w:val="clear" w:color="auto" w:fill="auto"/>
            <w:vAlign w:val="bottom"/>
            <w:hideMark/>
          </w:tcPr>
          <w:p w14:paraId="72F5DF2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BOTAS DE SEGURIDAD</w:t>
            </w:r>
          </w:p>
        </w:tc>
      </w:tr>
      <w:tr w:rsidR="00285D58" w:rsidRPr="00996684" w14:paraId="0C03C1EC" w14:textId="77777777" w:rsidTr="00285D58">
        <w:trPr>
          <w:trHeight w:val="216"/>
        </w:trPr>
        <w:tc>
          <w:tcPr>
            <w:tcW w:w="6242" w:type="dxa"/>
            <w:tcBorders>
              <w:top w:val="nil"/>
              <w:left w:val="nil"/>
              <w:bottom w:val="nil"/>
              <w:right w:val="nil"/>
            </w:tcBorders>
            <w:shd w:val="clear" w:color="auto" w:fill="auto"/>
            <w:vAlign w:val="bottom"/>
            <w:hideMark/>
          </w:tcPr>
          <w:p w14:paraId="3C1BA7DE"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 xml:space="preserve">POLO MANGA LARGA </w:t>
            </w:r>
          </w:p>
        </w:tc>
      </w:tr>
      <w:tr w:rsidR="00285D58" w:rsidRPr="00996684" w14:paraId="540A420F" w14:textId="77777777" w:rsidTr="00285D58">
        <w:trPr>
          <w:trHeight w:val="216"/>
        </w:trPr>
        <w:tc>
          <w:tcPr>
            <w:tcW w:w="6242" w:type="dxa"/>
            <w:tcBorders>
              <w:top w:val="nil"/>
              <w:left w:val="nil"/>
              <w:bottom w:val="nil"/>
              <w:right w:val="nil"/>
            </w:tcBorders>
            <w:shd w:val="clear" w:color="auto" w:fill="auto"/>
            <w:vAlign w:val="bottom"/>
            <w:hideMark/>
          </w:tcPr>
          <w:p w14:paraId="07333F26"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OVEROL DE TRABAJO</w:t>
            </w:r>
          </w:p>
        </w:tc>
      </w:tr>
      <w:tr w:rsidR="00285D58" w:rsidRPr="00996684" w14:paraId="7E28207A" w14:textId="77777777" w:rsidTr="00285D58">
        <w:trPr>
          <w:trHeight w:val="216"/>
        </w:trPr>
        <w:tc>
          <w:tcPr>
            <w:tcW w:w="6242" w:type="dxa"/>
            <w:tcBorders>
              <w:top w:val="nil"/>
              <w:left w:val="nil"/>
              <w:bottom w:val="nil"/>
              <w:right w:val="nil"/>
            </w:tcBorders>
            <w:shd w:val="clear" w:color="auto" w:fill="auto"/>
            <w:vAlign w:val="bottom"/>
            <w:hideMark/>
          </w:tcPr>
          <w:p w14:paraId="28952E90"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CHALECO</w:t>
            </w:r>
          </w:p>
        </w:tc>
      </w:tr>
      <w:tr w:rsidR="00285D58" w:rsidRPr="00996684" w14:paraId="26A875EE" w14:textId="77777777" w:rsidTr="00285D58">
        <w:trPr>
          <w:trHeight w:val="216"/>
        </w:trPr>
        <w:tc>
          <w:tcPr>
            <w:tcW w:w="6242" w:type="dxa"/>
            <w:tcBorders>
              <w:top w:val="nil"/>
              <w:left w:val="nil"/>
              <w:bottom w:val="nil"/>
              <w:right w:val="nil"/>
            </w:tcBorders>
            <w:shd w:val="clear" w:color="auto" w:fill="auto"/>
            <w:vAlign w:val="bottom"/>
            <w:hideMark/>
          </w:tcPr>
          <w:p w14:paraId="6472E42D"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ARNÉS CERTIFICADO</w:t>
            </w:r>
          </w:p>
        </w:tc>
      </w:tr>
      <w:tr w:rsidR="00285D58" w:rsidRPr="00996684" w14:paraId="6F094FDA" w14:textId="77777777" w:rsidTr="00285D58">
        <w:trPr>
          <w:trHeight w:val="216"/>
        </w:trPr>
        <w:tc>
          <w:tcPr>
            <w:tcW w:w="6242" w:type="dxa"/>
            <w:tcBorders>
              <w:top w:val="nil"/>
              <w:left w:val="nil"/>
              <w:bottom w:val="nil"/>
              <w:right w:val="nil"/>
            </w:tcBorders>
            <w:shd w:val="clear" w:color="auto" w:fill="auto"/>
            <w:vAlign w:val="bottom"/>
            <w:hideMark/>
          </w:tcPr>
          <w:p w14:paraId="27C0EE4C" w14:textId="77777777" w:rsidR="00285D58"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CHALECO SALVAVIDAS</w:t>
            </w:r>
          </w:p>
          <w:p w14:paraId="2F82B459" w14:textId="77777777" w:rsidR="00285D58" w:rsidRPr="00996684" w:rsidRDefault="00285D58" w:rsidP="00285D58">
            <w:pPr>
              <w:rPr>
                <w:rFonts w:ascii="Calibri" w:eastAsia="Times New Roman" w:hAnsi="Calibri" w:cs="Calibri"/>
                <w:color w:val="000000"/>
                <w:lang w:val="fr-FR" w:eastAsia="fr-FR"/>
              </w:rPr>
            </w:pPr>
          </w:p>
          <w:p w14:paraId="444D92E6" w14:textId="77777777" w:rsidR="00285D58" w:rsidRPr="00996684" w:rsidRDefault="00285D58" w:rsidP="00285D58">
            <w:pPr>
              <w:rPr>
                <w:rFonts w:ascii="Calibri" w:eastAsia="Times New Roman" w:hAnsi="Calibri" w:cs="Calibri"/>
                <w:color w:val="000000"/>
                <w:lang w:val="fr-FR" w:eastAsia="fr-FR"/>
              </w:rPr>
            </w:pPr>
          </w:p>
        </w:tc>
      </w:tr>
      <w:tr w:rsidR="00285D58" w:rsidRPr="00996684" w14:paraId="3FA62D03" w14:textId="77777777" w:rsidTr="00285D58">
        <w:trPr>
          <w:trHeight w:val="216"/>
        </w:trPr>
        <w:tc>
          <w:tcPr>
            <w:tcW w:w="6242" w:type="dxa"/>
            <w:tcBorders>
              <w:top w:val="nil"/>
              <w:left w:val="nil"/>
              <w:bottom w:val="nil"/>
              <w:right w:val="nil"/>
            </w:tcBorders>
            <w:shd w:val="clear" w:color="auto" w:fill="auto"/>
            <w:noWrap/>
            <w:vAlign w:val="bottom"/>
            <w:hideMark/>
          </w:tcPr>
          <w:p w14:paraId="53495747" w14:textId="77777777" w:rsidR="00285D58" w:rsidRPr="00996684" w:rsidRDefault="00285D58" w:rsidP="00285D58">
            <w:pPr>
              <w:rPr>
                <w:rFonts w:ascii="Calibri" w:eastAsia="Times New Roman" w:hAnsi="Calibri" w:cs="Calibri"/>
                <w:b/>
                <w:bCs/>
                <w:color w:val="000000"/>
                <w:lang w:val="fr-FR" w:eastAsia="fr-FR"/>
              </w:rPr>
            </w:pPr>
            <w:r w:rsidRPr="00996684">
              <w:rPr>
                <w:rFonts w:ascii="Calibri" w:eastAsia="Times New Roman" w:hAnsi="Calibri" w:cs="Calibri"/>
                <w:b/>
                <w:bCs/>
                <w:color w:val="000000"/>
                <w:lang w:val="fr-FR" w:eastAsia="fr-FR"/>
              </w:rPr>
              <w:t xml:space="preserve">GASOLINA </w:t>
            </w:r>
          </w:p>
        </w:tc>
      </w:tr>
      <w:tr w:rsidR="00285D58" w:rsidRPr="00996684" w14:paraId="251C0055" w14:textId="77777777" w:rsidTr="00285D58">
        <w:trPr>
          <w:trHeight w:val="216"/>
        </w:trPr>
        <w:tc>
          <w:tcPr>
            <w:tcW w:w="6242" w:type="dxa"/>
            <w:tcBorders>
              <w:top w:val="nil"/>
              <w:left w:val="nil"/>
              <w:bottom w:val="nil"/>
              <w:right w:val="nil"/>
            </w:tcBorders>
            <w:shd w:val="clear" w:color="auto" w:fill="auto"/>
            <w:vAlign w:val="bottom"/>
            <w:hideMark/>
          </w:tcPr>
          <w:p w14:paraId="6519AD58"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GASOLINA CAMIONETA PICK UP DOBLE CABINA</w:t>
            </w:r>
          </w:p>
        </w:tc>
      </w:tr>
      <w:tr w:rsidR="00285D58" w:rsidRPr="00996684" w14:paraId="01453A15" w14:textId="77777777" w:rsidTr="00285D58">
        <w:trPr>
          <w:trHeight w:val="216"/>
        </w:trPr>
        <w:tc>
          <w:tcPr>
            <w:tcW w:w="6242" w:type="dxa"/>
            <w:tcBorders>
              <w:top w:val="nil"/>
              <w:left w:val="nil"/>
              <w:bottom w:val="nil"/>
              <w:right w:val="nil"/>
            </w:tcBorders>
            <w:shd w:val="clear" w:color="auto" w:fill="auto"/>
            <w:vAlign w:val="bottom"/>
            <w:hideMark/>
          </w:tcPr>
          <w:p w14:paraId="3E457DEB" w14:textId="77777777" w:rsidR="00285D58"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GASOLINA MINI VAN X11 PASAJEROS</w:t>
            </w:r>
          </w:p>
          <w:p w14:paraId="0AFC6D53" w14:textId="77777777" w:rsidR="00285D58" w:rsidRPr="00996684" w:rsidRDefault="00285D58" w:rsidP="00285D58">
            <w:pPr>
              <w:rPr>
                <w:rFonts w:ascii="Calibri" w:eastAsia="Times New Roman" w:hAnsi="Calibri" w:cs="Calibri"/>
                <w:color w:val="000000"/>
                <w:lang w:eastAsia="fr-FR"/>
              </w:rPr>
            </w:pPr>
          </w:p>
          <w:p w14:paraId="10FAD189" w14:textId="77777777" w:rsidR="00285D58" w:rsidRPr="00996684" w:rsidRDefault="00285D58" w:rsidP="00285D58">
            <w:pPr>
              <w:rPr>
                <w:rFonts w:ascii="Calibri" w:eastAsia="Times New Roman" w:hAnsi="Calibri" w:cs="Calibri"/>
                <w:color w:val="000000"/>
                <w:lang w:eastAsia="fr-FR"/>
              </w:rPr>
            </w:pPr>
          </w:p>
        </w:tc>
      </w:tr>
      <w:tr w:rsidR="00285D58" w:rsidRPr="00996684" w14:paraId="2B4F1B52" w14:textId="77777777" w:rsidTr="00285D58">
        <w:trPr>
          <w:trHeight w:val="216"/>
        </w:trPr>
        <w:tc>
          <w:tcPr>
            <w:tcW w:w="6242" w:type="dxa"/>
            <w:tcBorders>
              <w:top w:val="nil"/>
              <w:left w:val="nil"/>
              <w:bottom w:val="nil"/>
              <w:right w:val="nil"/>
            </w:tcBorders>
            <w:shd w:val="clear" w:color="auto" w:fill="auto"/>
            <w:noWrap/>
            <w:vAlign w:val="bottom"/>
            <w:hideMark/>
          </w:tcPr>
          <w:p w14:paraId="57D1EBC7" w14:textId="77777777" w:rsidR="00285D58" w:rsidRPr="00996684" w:rsidRDefault="00285D58" w:rsidP="00285D58">
            <w:pPr>
              <w:rPr>
                <w:rFonts w:ascii="Calibri" w:eastAsia="Times New Roman" w:hAnsi="Calibri" w:cs="Calibri"/>
                <w:b/>
                <w:bCs/>
                <w:color w:val="000000"/>
                <w:lang w:eastAsia="fr-FR"/>
              </w:rPr>
            </w:pPr>
            <w:r w:rsidRPr="00996684">
              <w:rPr>
                <w:rFonts w:ascii="Calibri" w:eastAsia="Times New Roman" w:hAnsi="Calibri" w:cs="Calibri"/>
                <w:b/>
                <w:bCs/>
                <w:color w:val="000000"/>
                <w:lang w:eastAsia="fr-FR"/>
              </w:rPr>
              <w:t>ADQUISICIÓN DE EQUIPOS ELECTRONICOS (PROVISIÓN ANUAL)</w:t>
            </w:r>
          </w:p>
        </w:tc>
      </w:tr>
      <w:tr w:rsidR="00285D58" w:rsidRPr="00996684" w14:paraId="379B892B" w14:textId="77777777" w:rsidTr="00285D58">
        <w:trPr>
          <w:trHeight w:val="432"/>
        </w:trPr>
        <w:tc>
          <w:tcPr>
            <w:tcW w:w="6242" w:type="dxa"/>
            <w:tcBorders>
              <w:top w:val="nil"/>
              <w:left w:val="nil"/>
              <w:bottom w:val="nil"/>
              <w:right w:val="nil"/>
            </w:tcBorders>
            <w:shd w:val="clear" w:color="auto" w:fill="auto"/>
            <w:vAlign w:val="bottom"/>
            <w:hideMark/>
          </w:tcPr>
          <w:p w14:paraId="14D7D88E"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EQUIPOS DE COMPUTACIÓN (BASE i5, 6RAM)</w:t>
            </w:r>
          </w:p>
        </w:tc>
      </w:tr>
      <w:tr w:rsidR="00285D58" w:rsidRPr="00996684" w14:paraId="7EE8BA2E" w14:textId="77777777" w:rsidTr="00285D58">
        <w:trPr>
          <w:trHeight w:val="216"/>
        </w:trPr>
        <w:tc>
          <w:tcPr>
            <w:tcW w:w="6242" w:type="dxa"/>
            <w:tcBorders>
              <w:top w:val="nil"/>
              <w:left w:val="nil"/>
              <w:bottom w:val="nil"/>
              <w:right w:val="nil"/>
            </w:tcBorders>
            <w:shd w:val="clear" w:color="auto" w:fill="auto"/>
            <w:vAlign w:val="bottom"/>
            <w:hideMark/>
          </w:tcPr>
          <w:p w14:paraId="64E9F855" w14:textId="77777777" w:rsidR="00285D58" w:rsidRPr="00996684" w:rsidRDefault="00285D58" w:rsidP="00285D58">
            <w:pPr>
              <w:rPr>
                <w:rFonts w:ascii="Calibri" w:eastAsia="Times New Roman" w:hAnsi="Calibri" w:cs="Calibri"/>
                <w:color w:val="000000"/>
                <w:lang w:val="fr-FR" w:eastAsia="fr-FR"/>
              </w:rPr>
            </w:pPr>
            <w:r w:rsidRPr="00996684">
              <w:rPr>
                <w:rFonts w:ascii="Calibri" w:eastAsia="Times New Roman" w:hAnsi="Calibri" w:cs="Calibri"/>
                <w:color w:val="000000"/>
                <w:lang w:val="fr-FR" w:eastAsia="fr-FR"/>
              </w:rPr>
              <w:t>REPOSICIÓN DE IMPRESORAS (MULTIFUNCIONAL)</w:t>
            </w:r>
          </w:p>
        </w:tc>
      </w:tr>
      <w:tr w:rsidR="00285D58" w:rsidRPr="00996684" w14:paraId="1EE0DCB1" w14:textId="77777777" w:rsidTr="00285D58">
        <w:trPr>
          <w:trHeight w:val="216"/>
        </w:trPr>
        <w:tc>
          <w:tcPr>
            <w:tcW w:w="6242" w:type="dxa"/>
            <w:tcBorders>
              <w:top w:val="nil"/>
              <w:left w:val="nil"/>
              <w:bottom w:val="nil"/>
              <w:right w:val="nil"/>
            </w:tcBorders>
            <w:shd w:val="clear" w:color="auto" w:fill="auto"/>
            <w:vAlign w:val="bottom"/>
            <w:hideMark/>
          </w:tcPr>
          <w:p w14:paraId="413B66BB"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EQUIPO DE CONTROL DE ACCESO</w:t>
            </w:r>
          </w:p>
        </w:tc>
      </w:tr>
      <w:tr w:rsidR="00285D58" w:rsidRPr="00996684" w14:paraId="31FE1C44" w14:textId="77777777" w:rsidTr="00285D58">
        <w:trPr>
          <w:trHeight w:val="216"/>
        </w:trPr>
        <w:tc>
          <w:tcPr>
            <w:tcW w:w="6242" w:type="dxa"/>
            <w:tcBorders>
              <w:top w:val="nil"/>
              <w:left w:val="nil"/>
              <w:bottom w:val="nil"/>
              <w:right w:val="nil"/>
            </w:tcBorders>
            <w:shd w:val="clear" w:color="auto" w:fill="auto"/>
            <w:vAlign w:val="bottom"/>
            <w:hideMark/>
          </w:tcPr>
          <w:p w14:paraId="337F3417"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ELECTRODOMÉSTICOS PARA COMEDOR</w:t>
            </w:r>
          </w:p>
        </w:tc>
      </w:tr>
      <w:tr w:rsidR="00285D58" w:rsidRPr="00996684" w14:paraId="1A214738" w14:textId="77777777" w:rsidTr="00285D58">
        <w:trPr>
          <w:trHeight w:val="216"/>
        </w:trPr>
        <w:tc>
          <w:tcPr>
            <w:tcW w:w="6242" w:type="dxa"/>
            <w:tcBorders>
              <w:top w:val="nil"/>
              <w:left w:val="nil"/>
              <w:bottom w:val="nil"/>
              <w:right w:val="nil"/>
            </w:tcBorders>
            <w:shd w:val="clear" w:color="auto" w:fill="auto"/>
            <w:vAlign w:val="bottom"/>
            <w:hideMark/>
          </w:tcPr>
          <w:p w14:paraId="7C8F223C" w14:textId="77777777" w:rsidR="00285D58" w:rsidRPr="00996684" w:rsidRDefault="00285D58" w:rsidP="00285D58">
            <w:pPr>
              <w:rPr>
                <w:rFonts w:ascii="Calibri" w:eastAsia="Times New Roman" w:hAnsi="Calibri" w:cs="Calibri"/>
                <w:color w:val="000000"/>
                <w:lang w:eastAsia="fr-FR"/>
              </w:rPr>
            </w:pPr>
            <w:r w:rsidRPr="00996684">
              <w:rPr>
                <w:rFonts w:ascii="Calibri" w:eastAsia="Times New Roman" w:hAnsi="Calibri" w:cs="Calibri"/>
                <w:color w:val="000000"/>
                <w:lang w:eastAsia="fr-FR"/>
              </w:rPr>
              <w:t>REPOSICIÓN DE PANELES INFORMATIVOS LED</w:t>
            </w:r>
          </w:p>
        </w:tc>
      </w:tr>
    </w:tbl>
    <w:p w14:paraId="6618A713" w14:textId="77777777" w:rsidR="009F2B65" w:rsidRPr="00285D58" w:rsidRDefault="009F2B65" w:rsidP="008D1FFF">
      <w:pPr>
        <w:spacing w:line="276" w:lineRule="auto"/>
        <w:jc w:val="both"/>
        <w:rPr>
          <w:rFonts w:asciiTheme="minorHAnsi" w:hAnsiTheme="minorHAnsi" w:cstheme="minorHAnsi"/>
          <w:color w:val="C45911"/>
        </w:rPr>
      </w:pPr>
    </w:p>
    <w:p w14:paraId="1A80450D" w14:textId="77777777" w:rsidR="00B90E09" w:rsidRPr="00285D58" w:rsidRDefault="00B90E09"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45E5CDFA" w14:textId="77777777" w:rsidR="00B90E09" w:rsidRPr="00285D58" w:rsidRDefault="00B90E09" w:rsidP="008D1FFF">
      <w:pPr>
        <w:keepNext/>
        <w:keepLines/>
        <w:spacing w:before="1" w:after="80" w:line="276" w:lineRule="auto"/>
        <w:jc w:val="both"/>
        <w:outlineLvl w:val="0"/>
        <w:rPr>
          <w:rFonts w:asciiTheme="minorHAnsi" w:eastAsia="Calibri" w:hAnsiTheme="minorHAnsi" w:cstheme="minorHAnsi"/>
          <w:b/>
          <w:color w:val="5B9BD5"/>
          <w:sz w:val="24"/>
          <w:szCs w:val="24"/>
          <w:u w:val="single"/>
        </w:rPr>
      </w:pPr>
      <w:bookmarkStart w:id="260" w:name="_Toc193979293"/>
      <w:r w:rsidRPr="00285D58">
        <w:rPr>
          <w:rFonts w:asciiTheme="minorHAnsi" w:eastAsia="Calibri" w:hAnsiTheme="minorHAnsi" w:cstheme="minorHAnsi"/>
          <w:b/>
          <w:color w:val="1F4E79"/>
          <w:sz w:val="24"/>
          <w:szCs w:val="24"/>
          <w:u w:val="single"/>
        </w:rPr>
        <w:lastRenderedPageBreak/>
        <w:t>ANEXO 10: REQUERIMIENTOS DE EQUIPAMIENTO Y MOBILIARIO</w:t>
      </w:r>
      <w:bookmarkEnd w:id="260"/>
    </w:p>
    <w:p w14:paraId="1C1BC9E3" w14:textId="77777777" w:rsidR="00B90E09" w:rsidRPr="00285D58" w:rsidRDefault="00B90E09" w:rsidP="008D1FFF">
      <w:pPr>
        <w:spacing w:line="276" w:lineRule="auto"/>
        <w:jc w:val="both"/>
        <w:rPr>
          <w:rFonts w:asciiTheme="minorHAnsi" w:eastAsia="Calibri" w:hAnsiTheme="minorHAnsi" w:cstheme="minorHAnsi"/>
        </w:rPr>
      </w:pPr>
    </w:p>
    <w:p w14:paraId="711CC9AD" w14:textId="77777777" w:rsidR="00B90E09" w:rsidRPr="00285D58" w:rsidRDefault="00B90E09" w:rsidP="00A3732C">
      <w:pPr>
        <w:widowControl/>
        <w:numPr>
          <w:ilvl w:val="0"/>
          <w:numId w:val="74"/>
        </w:numPr>
        <w:spacing w:line="276" w:lineRule="auto"/>
        <w:ind w:left="426" w:hanging="426"/>
        <w:jc w:val="both"/>
        <w:rPr>
          <w:rFonts w:asciiTheme="minorHAnsi" w:eastAsia="Calibri" w:hAnsiTheme="minorHAnsi" w:cstheme="minorHAnsi"/>
          <w:b/>
          <w:sz w:val="24"/>
          <w:szCs w:val="24"/>
        </w:rPr>
      </w:pPr>
      <w:r w:rsidRPr="00285D58">
        <w:rPr>
          <w:rFonts w:asciiTheme="minorHAnsi" w:eastAsia="Calibri" w:hAnsiTheme="minorHAnsi" w:cstheme="minorHAnsi"/>
          <w:b/>
          <w:sz w:val="24"/>
          <w:szCs w:val="24"/>
        </w:rPr>
        <w:t xml:space="preserve">EQUIPAMIENTO ELECTROMECÁNICO DE LOS TELEFÉRICOS </w:t>
      </w:r>
    </w:p>
    <w:p w14:paraId="7871E53C" w14:textId="08ABC849" w:rsidR="00B90E09" w:rsidRPr="00285D58" w:rsidRDefault="00B90E09"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Comprende todos los componentes eléctricos y mecánicos que forman parte de la instalación de transporte por cable (teleférico) que, de acuerdo </w:t>
      </w:r>
      <w:r w:rsidR="00190435" w:rsidRPr="00285D58">
        <w:rPr>
          <w:rFonts w:asciiTheme="minorHAnsi" w:eastAsia="Calibri" w:hAnsiTheme="minorHAnsi" w:cstheme="minorHAnsi"/>
        </w:rPr>
        <w:t>con</w:t>
      </w:r>
      <w:r w:rsidRPr="00285D58">
        <w:rPr>
          <w:rFonts w:asciiTheme="minorHAnsi" w:eastAsia="Calibri" w:hAnsiTheme="minorHAnsi" w:cstheme="minorHAnsi"/>
        </w:rPr>
        <w:t xml:space="preserve"> la norma europea, son los siguientes:</w:t>
      </w:r>
    </w:p>
    <w:p w14:paraId="44742482"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Cables y pinzas de cables</w:t>
      </w:r>
    </w:p>
    <w:p w14:paraId="36A976DA"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Equipo motor y frenos </w:t>
      </w:r>
    </w:p>
    <w:p w14:paraId="1E416B0E"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w:t>
      </w:r>
    </w:p>
    <w:p w14:paraId="4EB4B41A"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tensión de los cables </w:t>
      </w:r>
    </w:p>
    <w:p w14:paraId="056E363F"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las estaciones </w:t>
      </w:r>
    </w:p>
    <w:p w14:paraId="7023B878" w14:textId="77777777" w:rsidR="00B90E09" w:rsidRPr="00285D58" w:rsidRDefault="00B90E09" w:rsidP="00A3732C">
      <w:pPr>
        <w:widowControl/>
        <w:numPr>
          <w:ilvl w:val="1"/>
          <w:numId w:val="73"/>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mecánicos en los soportes de línea </w:t>
      </w:r>
    </w:p>
    <w:p w14:paraId="2568CC88"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Vehículos: </w:t>
      </w:r>
    </w:p>
    <w:p w14:paraId="407B377A"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Cabinas, sillas y dispositivos de arrastre </w:t>
      </w:r>
    </w:p>
    <w:p w14:paraId="520C1464"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Elementos de enganche </w:t>
      </w:r>
    </w:p>
    <w:p w14:paraId="34772EB3"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Carros </w:t>
      </w:r>
    </w:p>
    <w:p w14:paraId="5B4751DB" w14:textId="77777777" w:rsidR="00B90E09" w:rsidRPr="00285D58" w:rsidRDefault="00B90E09" w:rsidP="00A3732C">
      <w:pPr>
        <w:widowControl/>
        <w:numPr>
          <w:ilvl w:val="1"/>
          <w:numId w:val="10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Sujeción a los cables </w:t>
      </w:r>
    </w:p>
    <w:p w14:paraId="5A1C2DAD"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electrotécnicos: </w:t>
      </w:r>
    </w:p>
    <w:p w14:paraId="06112E00"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mando, control y seguridad </w:t>
      </w:r>
    </w:p>
    <w:p w14:paraId="5C1E7BE8"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Instalaciones de comunicación y de información </w:t>
      </w:r>
    </w:p>
    <w:p w14:paraId="18845F2E" w14:textId="77777777" w:rsidR="00B90E09" w:rsidRPr="00285D58" w:rsidRDefault="00B90E09" w:rsidP="00A3732C">
      <w:pPr>
        <w:widowControl/>
        <w:numPr>
          <w:ilvl w:val="1"/>
          <w:numId w:val="78"/>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protección contra el rayo </w:t>
      </w:r>
    </w:p>
    <w:p w14:paraId="294430C5" w14:textId="77777777" w:rsidR="00B90E09" w:rsidRPr="00285D58" w:rsidRDefault="00B90E09" w:rsidP="008D1FFF">
      <w:pPr>
        <w:widowControl/>
        <w:numPr>
          <w:ilvl w:val="3"/>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w:t>
      </w:r>
    </w:p>
    <w:p w14:paraId="380FACDD" w14:textId="77777777" w:rsidR="00B90E09" w:rsidRPr="00285D58" w:rsidRDefault="00B90E09" w:rsidP="00A3732C">
      <w:pPr>
        <w:widowControl/>
        <w:numPr>
          <w:ilvl w:val="1"/>
          <w:numId w:val="7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 xml:space="preserve">Dispositivos de salvamento fijos </w:t>
      </w:r>
    </w:p>
    <w:p w14:paraId="4C677612" w14:textId="77777777" w:rsidR="00B90E09" w:rsidRPr="00285D58" w:rsidRDefault="00B90E09" w:rsidP="00A3732C">
      <w:pPr>
        <w:widowControl/>
        <w:numPr>
          <w:ilvl w:val="1"/>
          <w:numId w:val="76"/>
        </w:numPr>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Dispositivos de salvamento móviles.</w:t>
      </w:r>
    </w:p>
    <w:p w14:paraId="38297DEF" w14:textId="77777777" w:rsidR="00B90E09" w:rsidRPr="00285D58" w:rsidRDefault="00B90E09" w:rsidP="00A3732C">
      <w:pPr>
        <w:widowControl/>
        <w:numPr>
          <w:ilvl w:val="0"/>
          <w:numId w:val="74"/>
        </w:numPr>
        <w:spacing w:line="276" w:lineRule="auto"/>
        <w:ind w:left="426" w:hanging="426"/>
        <w:jc w:val="both"/>
        <w:rPr>
          <w:rFonts w:asciiTheme="minorHAnsi" w:eastAsia="Calibri" w:hAnsiTheme="minorHAnsi" w:cstheme="minorHAnsi"/>
          <w:sz w:val="24"/>
          <w:szCs w:val="24"/>
        </w:rPr>
      </w:pPr>
      <w:r w:rsidRPr="00285D58">
        <w:rPr>
          <w:rFonts w:asciiTheme="minorHAnsi" w:hAnsiTheme="minorHAnsi" w:cstheme="minorHAnsi"/>
          <w:b/>
          <w:sz w:val="24"/>
          <w:szCs w:val="24"/>
        </w:rPr>
        <w:tab/>
      </w:r>
      <w:r w:rsidRPr="00285D58">
        <w:rPr>
          <w:rFonts w:asciiTheme="minorHAnsi" w:eastAsia="Calibri" w:hAnsiTheme="minorHAnsi" w:cstheme="minorHAnsi"/>
          <w:b/>
          <w:sz w:val="24"/>
          <w:szCs w:val="24"/>
        </w:rPr>
        <w:t>EQUIPAMIENTO Y MOBILIARIO ADMINISTRATIVO</w:t>
      </w:r>
    </w:p>
    <w:p w14:paraId="2AD11B28" w14:textId="77777777" w:rsidR="00B90E09" w:rsidRPr="00285D58" w:rsidRDefault="00B90E09"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siguiente anexo contiene el listado mínimo del equipamiento y mobiliario administrativo con el que deberá contar el CONCESIONARIO para la adecuada prestación de los servicios obligatorios. </w:t>
      </w:r>
    </w:p>
    <w:p w14:paraId="330BA580"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Mobiliario de oficina:</w:t>
      </w:r>
    </w:p>
    <w:p w14:paraId="60D8DC6A"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Escritorios y sillas.</w:t>
      </w:r>
    </w:p>
    <w:p w14:paraId="7A8CC232"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Archivadores y estanterías.</w:t>
      </w:r>
    </w:p>
    <w:p w14:paraId="0502E364" w14:textId="77777777" w:rsidR="00B90E09" w:rsidRPr="00285D58" w:rsidRDefault="00B90E09" w:rsidP="00A3732C">
      <w:pPr>
        <w:widowControl/>
        <w:numPr>
          <w:ilvl w:val="1"/>
          <w:numId w:val="82"/>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Mesas de reuniones.</w:t>
      </w:r>
    </w:p>
    <w:p w14:paraId="5ADA241B"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7DA8032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comunicación:</w:t>
      </w:r>
    </w:p>
    <w:p w14:paraId="318E368E"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Teléfonos y sistemas de intercomunicación.</w:t>
      </w:r>
    </w:p>
    <w:p w14:paraId="37CFA666"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Radios de comunicación para el personal en estaciones.</w:t>
      </w:r>
    </w:p>
    <w:p w14:paraId="342F7577" w14:textId="77777777" w:rsidR="00B90E09" w:rsidRPr="00285D58" w:rsidRDefault="00B90E09" w:rsidP="00A3732C">
      <w:pPr>
        <w:widowControl/>
        <w:numPr>
          <w:ilvl w:val="1"/>
          <w:numId w:val="74"/>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megafonía para anuncios al público.</w:t>
      </w:r>
    </w:p>
    <w:p w14:paraId="1BBA2AFA"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500F7D01"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informáticos:</w:t>
      </w:r>
    </w:p>
    <w:p w14:paraId="7D3B7470" w14:textId="77777777" w:rsidR="00B90E09" w:rsidRPr="00285D58" w:rsidRDefault="00B90E09" w:rsidP="00A3732C">
      <w:pPr>
        <w:widowControl/>
        <w:numPr>
          <w:ilvl w:val="1"/>
          <w:numId w:val="80"/>
        </w:numPr>
        <w:pBdr>
          <w:top w:val="nil"/>
          <w:left w:val="nil"/>
          <w:bottom w:val="nil"/>
          <w:right w:val="nil"/>
          <w:between w:val="nil"/>
        </w:pBdr>
        <w:spacing w:line="276" w:lineRule="auto"/>
        <w:ind w:left="1276"/>
        <w:jc w:val="both"/>
        <w:rPr>
          <w:rFonts w:asciiTheme="minorHAnsi" w:eastAsia="Calibri" w:hAnsiTheme="minorHAnsi" w:cstheme="minorHAnsi"/>
          <w:color w:val="000000"/>
        </w:rPr>
      </w:pPr>
      <w:r w:rsidRPr="00285D58">
        <w:rPr>
          <w:rFonts w:asciiTheme="minorHAnsi" w:eastAsia="Calibri" w:hAnsiTheme="minorHAnsi" w:cstheme="minorHAnsi"/>
          <w:color w:val="000000"/>
        </w:rPr>
        <w:t>Computadoras de escritorio y portátiles.</w:t>
      </w:r>
    </w:p>
    <w:p w14:paraId="6CEEEE29" w14:textId="77777777" w:rsidR="00B90E09" w:rsidRPr="00285D58" w:rsidRDefault="00B90E09" w:rsidP="00A3732C">
      <w:pPr>
        <w:widowControl/>
        <w:numPr>
          <w:ilvl w:val="1"/>
          <w:numId w:val="80"/>
        </w:numPr>
        <w:pBdr>
          <w:top w:val="nil"/>
          <w:left w:val="nil"/>
          <w:bottom w:val="nil"/>
          <w:right w:val="nil"/>
          <w:between w:val="nil"/>
        </w:pBdr>
        <w:spacing w:line="276" w:lineRule="auto"/>
        <w:ind w:left="1418"/>
        <w:jc w:val="both"/>
        <w:rPr>
          <w:rFonts w:asciiTheme="minorHAnsi" w:eastAsia="Calibri" w:hAnsiTheme="minorHAnsi" w:cstheme="minorHAnsi"/>
          <w:color w:val="000000"/>
        </w:rPr>
      </w:pPr>
      <w:r w:rsidRPr="00285D58">
        <w:rPr>
          <w:rFonts w:asciiTheme="minorHAnsi" w:eastAsia="Calibri" w:hAnsiTheme="minorHAnsi" w:cstheme="minorHAnsi"/>
          <w:color w:val="000000"/>
        </w:rPr>
        <w:t>Impresoras, escáneres y fotocopiadoras.</w:t>
      </w:r>
    </w:p>
    <w:p w14:paraId="2533964E"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gestión de pasajeros:</w:t>
      </w:r>
    </w:p>
    <w:p w14:paraId="4719E81B" w14:textId="77777777" w:rsidR="00B90E09" w:rsidRPr="00285D58" w:rsidRDefault="00B90E09" w:rsidP="00A3732C">
      <w:pPr>
        <w:widowControl/>
        <w:numPr>
          <w:ilvl w:val="1"/>
          <w:numId w:val="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lastRenderedPageBreak/>
        <w:t>Software de administración y control de operaciones.</w:t>
      </w:r>
    </w:p>
    <w:p w14:paraId="47EA2F5F" w14:textId="77777777" w:rsidR="00B90E09" w:rsidRPr="00285D58" w:rsidRDefault="00B90E09" w:rsidP="00A3732C">
      <w:pPr>
        <w:widowControl/>
        <w:numPr>
          <w:ilvl w:val="1"/>
          <w:numId w:val="86"/>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venta de boletos y gestión de reservas.</w:t>
      </w:r>
    </w:p>
    <w:p w14:paraId="7E282800" w14:textId="77777777" w:rsidR="00B90E09" w:rsidRPr="00285D58" w:rsidRDefault="00B90E09" w:rsidP="008D1FFF">
      <w:pPr>
        <w:widowControl/>
        <w:pBdr>
          <w:top w:val="nil"/>
          <w:left w:val="nil"/>
          <w:bottom w:val="nil"/>
          <w:right w:val="nil"/>
          <w:between w:val="nil"/>
        </w:pBdr>
        <w:spacing w:line="276" w:lineRule="auto"/>
        <w:ind w:left="1352"/>
        <w:jc w:val="both"/>
        <w:rPr>
          <w:rFonts w:asciiTheme="minorHAnsi" w:eastAsia="Calibri" w:hAnsiTheme="minorHAnsi" w:cstheme="minorHAnsi"/>
          <w:color w:val="000000"/>
        </w:rPr>
      </w:pPr>
    </w:p>
    <w:p w14:paraId="659375B1"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seguridad:</w:t>
      </w:r>
    </w:p>
    <w:p w14:paraId="65170481" w14:textId="77777777" w:rsidR="00B90E09" w:rsidRPr="00285D58" w:rsidRDefault="00B90E09" w:rsidP="00A3732C">
      <w:pPr>
        <w:widowControl/>
        <w:numPr>
          <w:ilvl w:val="0"/>
          <w:numId w:val="84"/>
        </w:numPr>
        <w:pBdr>
          <w:top w:val="nil"/>
          <w:left w:val="nil"/>
          <w:bottom w:val="nil"/>
          <w:right w:val="nil"/>
          <w:between w:val="nil"/>
        </w:pBdr>
        <w:spacing w:line="276" w:lineRule="auto"/>
        <w:ind w:left="1418" w:hanging="76"/>
        <w:jc w:val="both"/>
        <w:rPr>
          <w:rFonts w:asciiTheme="minorHAnsi" w:eastAsia="Calibri" w:hAnsiTheme="minorHAnsi" w:cstheme="minorHAnsi"/>
          <w:color w:val="000000"/>
        </w:rPr>
      </w:pPr>
      <w:r w:rsidRPr="00285D58">
        <w:rPr>
          <w:rFonts w:asciiTheme="minorHAnsi" w:eastAsia="Calibri" w:hAnsiTheme="minorHAnsi" w:cstheme="minorHAnsi"/>
          <w:color w:val="000000"/>
        </w:rPr>
        <w:t>Cámaras de vigilancia y equipos de monitoreo.</w:t>
      </w:r>
    </w:p>
    <w:p w14:paraId="3F14B6B5" w14:textId="77777777" w:rsidR="00B90E09" w:rsidRPr="00285D58" w:rsidRDefault="00B90E09" w:rsidP="00A3732C">
      <w:pPr>
        <w:widowControl/>
        <w:numPr>
          <w:ilvl w:val="0"/>
          <w:numId w:val="84"/>
        </w:numPr>
        <w:pBdr>
          <w:top w:val="nil"/>
          <w:left w:val="nil"/>
          <w:bottom w:val="nil"/>
          <w:right w:val="nil"/>
          <w:between w:val="nil"/>
        </w:pBdr>
        <w:spacing w:line="276" w:lineRule="auto"/>
        <w:ind w:left="1418" w:hanging="76"/>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control de acceso y tarjetas de identificación para el personal.</w:t>
      </w:r>
    </w:p>
    <w:p w14:paraId="18B2228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señalización y orientación:</w:t>
      </w:r>
    </w:p>
    <w:p w14:paraId="04E3A103"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Pantallas y tableros de información de llegadas y salidas.</w:t>
      </w:r>
    </w:p>
    <w:p w14:paraId="2BA4AF42"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Señalización direccional y de emergencia.</w:t>
      </w:r>
    </w:p>
    <w:p w14:paraId="67E42F2C" w14:textId="77777777" w:rsidR="00B90E09" w:rsidRPr="00285D58" w:rsidRDefault="00B90E09" w:rsidP="00A3732C">
      <w:pPr>
        <w:widowControl/>
        <w:numPr>
          <w:ilvl w:val="0"/>
          <w:numId w:val="69"/>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Anuncios visuales y auditivos.</w:t>
      </w:r>
    </w:p>
    <w:p w14:paraId="37F28DAA"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soporte logístico:</w:t>
      </w:r>
    </w:p>
    <w:p w14:paraId="6F319510" w14:textId="77777777" w:rsidR="00B90E09" w:rsidRPr="00285D58" w:rsidRDefault="00B90E09" w:rsidP="00A3732C">
      <w:pPr>
        <w:widowControl/>
        <w:numPr>
          <w:ilvl w:val="0"/>
          <w:numId w:val="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de manejo de carga.</w:t>
      </w:r>
    </w:p>
    <w:p w14:paraId="5C306CA3" w14:textId="77777777" w:rsidR="00B90E09" w:rsidRPr="00285D58" w:rsidRDefault="00B90E09" w:rsidP="00A3732C">
      <w:pPr>
        <w:widowControl/>
        <w:numPr>
          <w:ilvl w:val="0"/>
          <w:numId w:val="67"/>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Herramientas y equipos para mantenimiento de las instalaciones.</w:t>
      </w:r>
    </w:p>
    <w:p w14:paraId="48C4A3B9" w14:textId="77777777" w:rsidR="00B90E09" w:rsidRPr="00285D58" w:rsidRDefault="00B90E09" w:rsidP="008D1FFF">
      <w:pPr>
        <w:widowControl/>
        <w:numPr>
          <w:ilvl w:val="6"/>
          <w:numId w:val="3"/>
        </w:numPr>
        <w:pBdr>
          <w:top w:val="nil"/>
          <w:left w:val="nil"/>
          <w:bottom w:val="nil"/>
          <w:right w:val="nil"/>
          <w:between w:val="nil"/>
        </w:pBdr>
        <w:spacing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gestión de instalaciones:</w:t>
      </w:r>
    </w:p>
    <w:p w14:paraId="3AC9C95F" w14:textId="77777777" w:rsidR="00B90E09" w:rsidRPr="00285D58" w:rsidRDefault="00B90E09" w:rsidP="008D1FFF">
      <w:pPr>
        <w:widowControl/>
        <w:numPr>
          <w:ilvl w:val="0"/>
          <w:numId w:val="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Software de mantenimiento de infraestructuras.</w:t>
      </w:r>
    </w:p>
    <w:p w14:paraId="6A3F2131" w14:textId="77777777" w:rsidR="00B90E09" w:rsidRPr="00285D58" w:rsidRDefault="00B90E09" w:rsidP="008D1FFF">
      <w:pPr>
        <w:widowControl/>
        <w:numPr>
          <w:ilvl w:val="0"/>
          <w:numId w:val="50"/>
        </w:numPr>
        <w:pBdr>
          <w:top w:val="nil"/>
          <w:left w:val="nil"/>
          <w:bottom w:val="nil"/>
          <w:right w:val="nil"/>
          <w:between w:val="nil"/>
        </w:pBdr>
        <w:spacing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Sistemas de control de climatización y ventilación.</w:t>
      </w:r>
    </w:p>
    <w:p w14:paraId="12E95348" w14:textId="77777777" w:rsidR="00B90E09" w:rsidRPr="00285D58" w:rsidRDefault="00B90E09" w:rsidP="008D1FFF">
      <w:pPr>
        <w:widowControl/>
        <w:numPr>
          <w:ilvl w:val="0"/>
          <w:numId w:val="50"/>
        </w:numPr>
        <w:pBdr>
          <w:top w:val="nil"/>
          <w:left w:val="nil"/>
          <w:bottom w:val="nil"/>
          <w:right w:val="nil"/>
          <w:between w:val="nil"/>
        </w:pBdr>
        <w:spacing w:after="160" w:line="276" w:lineRule="auto"/>
        <w:jc w:val="both"/>
        <w:rPr>
          <w:rFonts w:asciiTheme="minorHAnsi" w:eastAsia="Calibri" w:hAnsiTheme="minorHAnsi" w:cstheme="minorHAnsi"/>
          <w:color w:val="000000"/>
        </w:rPr>
      </w:pPr>
      <w:r w:rsidRPr="00285D58">
        <w:rPr>
          <w:rFonts w:asciiTheme="minorHAnsi" w:eastAsia="Calibri" w:hAnsiTheme="minorHAnsi" w:cstheme="minorHAnsi"/>
          <w:color w:val="000000"/>
        </w:rPr>
        <w:t>Equipos para la gestión de energía y eficiencia.</w:t>
      </w:r>
    </w:p>
    <w:p w14:paraId="1C2CBC03" w14:textId="77777777" w:rsidR="00B90E09" w:rsidRPr="00285D58" w:rsidRDefault="00B90E09" w:rsidP="008D1FFF">
      <w:pPr>
        <w:spacing w:line="276" w:lineRule="auto"/>
        <w:jc w:val="both"/>
        <w:rPr>
          <w:rFonts w:asciiTheme="minorHAnsi" w:hAnsiTheme="minorHAnsi" w:cstheme="minorHAnsi"/>
        </w:rPr>
      </w:pPr>
    </w:p>
    <w:p w14:paraId="67A3A61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DFBD158"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17B869CF"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14E7192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6C97E7C"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2AB44852"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4BD6D3A"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5AA81C0"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1A95E3B"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51A88C3E"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E2F6A70"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44A9A982"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6161C74"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9802458"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221DE6B6"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0D20244"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6CB5D607"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463F709F"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4B264FD"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78BB2C87"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30935DB5" w14:textId="77777777" w:rsidR="001C0ADD" w:rsidRPr="00285D58" w:rsidRDefault="001C0ADD" w:rsidP="008D1FFF">
      <w:pPr>
        <w:spacing w:line="276" w:lineRule="auto"/>
        <w:jc w:val="both"/>
        <w:rPr>
          <w:rFonts w:asciiTheme="minorHAnsi" w:eastAsia="Calibri" w:hAnsiTheme="minorHAnsi" w:cstheme="minorHAnsi"/>
          <w:b/>
          <w:color w:val="1F4E79"/>
          <w:sz w:val="24"/>
          <w:szCs w:val="24"/>
          <w:u w:val="single"/>
        </w:rPr>
      </w:pPr>
    </w:p>
    <w:p w14:paraId="00002F40" w14:textId="504E07FB" w:rsidR="00F664DB" w:rsidRPr="00285D58" w:rsidRDefault="009807E0" w:rsidP="008D1FFF">
      <w:pPr>
        <w:pStyle w:val="Ttulo1"/>
        <w:spacing w:before="1" w:line="276" w:lineRule="auto"/>
        <w:jc w:val="both"/>
        <w:rPr>
          <w:rFonts w:asciiTheme="minorHAnsi" w:eastAsia="Calibri" w:hAnsiTheme="minorHAnsi" w:cstheme="minorHAnsi"/>
          <w:b/>
          <w:color w:val="1F4E79"/>
          <w:sz w:val="24"/>
          <w:szCs w:val="24"/>
          <w:u w:val="single"/>
        </w:rPr>
      </w:pPr>
      <w:bookmarkStart w:id="261" w:name="_Toc193979294"/>
      <w:r w:rsidRPr="00285D58">
        <w:rPr>
          <w:rFonts w:asciiTheme="minorHAnsi" w:eastAsia="Calibri" w:hAnsiTheme="minorHAnsi" w:cstheme="minorHAnsi"/>
          <w:b/>
          <w:color w:val="1F4E79"/>
          <w:sz w:val="24"/>
          <w:szCs w:val="24"/>
          <w:u w:val="single"/>
        </w:rPr>
        <w:lastRenderedPageBreak/>
        <w:t>ANEXO 11: RÉGIMEN ECONÓMICO FINANCIERO</w:t>
      </w:r>
      <w:bookmarkEnd w:id="261"/>
    </w:p>
    <w:p w14:paraId="187F9F23" w14:textId="352EF61A"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262" w:name="_heading=h.2r0uhxc" w:colFirst="0" w:colLast="0"/>
      <w:bookmarkStart w:id="263" w:name="_Toc193979295"/>
      <w:bookmarkEnd w:id="262"/>
      <w:r w:rsidRPr="00285D58">
        <w:rPr>
          <w:rFonts w:asciiTheme="minorHAnsi" w:eastAsia="Calibri" w:hAnsiTheme="minorHAnsi" w:cstheme="minorHAnsi"/>
          <w:b/>
          <w:color w:val="1F4E79"/>
          <w:sz w:val="22"/>
          <w:szCs w:val="22"/>
        </w:rPr>
        <w:t xml:space="preserve">ANEXO 11- APÉNDICE 1 - </w:t>
      </w:r>
      <w:sdt>
        <w:sdtPr>
          <w:rPr>
            <w:rFonts w:asciiTheme="minorHAnsi" w:hAnsiTheme="minorHAnsi" w:cstheme="minorHAnsi"/>
          </w:rPr>
          <w:tag w:val="goog_rdk_276"/>
          <w:id w:val="-11229924"/>
        </w:sdtPr>
        <w:sdtContent/>
      </w:sdt>
      <w:sdt>
        <w:sdtPr>
          <w:rPr>
            <w:rFonts w:asciiTheme="minorHAnsi" w:hAnsiTheme="minorHAnsi" w:cstheme="minorHAnsi"/>
          </w:rPr>
          <w:tag w:val="goog_rdk_277"/>
          <w:id w:val="-1985621355"/>
        </w:sdtPr>
        <w:sdtContent/>
      </w:sdt>
      <w:sdt>
        <w:sdtPr>
          <w:rPr>
            <w:rFonts w:asciiTheme="minorHAnsi" w:hAnsiTheme="minorHAnsi" w:cstheme="minorHAnsi"/>
          </w:rPr>
          <w:tag w:val="goog_rdk_278"/>
          <w:id w:val="164524165"/>
        </w:sdtPr>
        <w:sdtContent/>
      </w:sdt>
      <w:r w:rsidRPr="00285D58">
        <w:rPr>
          <w:rFonts w:asciiTheme="minorHAnsi" w:eastAsia="Calibri" w:hAnsiTheme="minorHAnsi" w:cstheme="minorHAnsi"/>
          <w:b/>
          <w:color w:val="1F4E79"/>
          <w:sz w:val="22"/>
          <w:szCs w:val="22"/>
        </w:rPr>
        <w:t>MECANISMO DE AJUSTES, LIQUIDACIÓN Y PAGO DEL PPD Y DEL PPO</w:t>
      </w:r>
      <w:bookmarkEnd w:id="263"/>
      <w:r w:rsidRPr="00285D58">
        <w:rPr>
          <w:rFonts w:asciiTheme="minorHAnsi" w:eastAsia="Calibri" w:hAnsiTheme="minorHAnsi" w:cstheme="minorHAnsi"/>
          <w:b/>
          <w:color w:val="1F4E79"/>
          <w:sz w:val="22"/>
          <w:szCs w:val="22"/>
        </w:rPr>
        <w:t xml:space="preserve"> </w:t>
      </w:r>
    </w:p>
    <w:p w14:paraId="7308B556" w14:textId="6031526E"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64" w:name="_Toc180162676"/>
      <w:bookmarkStart w:id="265" w:name="_Toc182581496"/>
      <w:bookmarkStart w:id="266" w:name="_Toc182582279"/>
      <w:r w:rsidRPr="00285D58">
        <w:rPr>
          <w:rFonts w:asciiTheme="minorHAnsi" w:eastAsia="Times New Roman" w:hAnsiTheme="minorHAnsi" w:cstheme="minorHAnsi"/>
          <w:b/>
          <w:lang w:val="es-PE" w:eastAsia="en-US"/>
        </w:rPr>
        <w:t>Pago por Obras (PPO)</w:t>
      </w:r>
      <w:bookmarkEnd w:id="264"/>
      <w:bookmarkEnd w:id="265"/>
      <w:bookmarkEnd w:id="266"/>
    </w:p>
    <w:p w14:paraId="5F3421F9"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3021AA37"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bookmarkStart w:id="267" w:name="_heading=h.1664s55" w:colFirst="0" w:colLast="0"/>
      <w:bookmarkEnd w:id="267"/>
      <w:r w:rsidRPr="00285D58">
        <w:rPr>
          <w:rFonts w:asciiTheme="minorHAnsi" w:eastAsia="Calibri" w:hAnsiTheme="minorHAnsi" w:cstheme="minorHAnsi"/>
          <w:lang w:val="es-PE" w:eastAsia="en-US"/>
        </w:rPr>
        <w:t>Durante el Periodo Pre-Operativo se reconocerán y pagarán en Dólares mediante el sistema PPO, lo siguiente:</w:t>
      </w:r>
    </w:p>
    <w:bookmarkStart w:id="268" w:name="_heading=h.3q5sasy" w:colFirst="0" w:colLast="0"/>
    <w:bookmarkEnd w:id="268"/>
    <w:p w14:paraId="168BD121" w14:textId="77777777" w:rsidR="004A2CCE" w:rsidRPr="00285D58" w:rsidRDefault="00000000" w:rsidP="008D1FFF">
      <w:pPr>
        <w:spacing w:line="276" w:lineRule="auto"/>
        <w:jc w:val="center"/>
        <w:rPr>
          <w:rFonts w:asciiTheme="minorHAnsi" w:eastAsia="Cambria Math" w:hAnsiTheme="minorHAnsi" w:cstheme="minorHAnsi"/>
        </w:rPr>
      </w:pPr>
      <w:sdt>
        <w:sdtPr>
          <w:rPr>
            <w:rFonts w:asciiTheme="minorHAnsi" w:hAnsiTheme="minorHAnsi" w:cstheme="minorHAnsi"/>
          </w:rPr>
          <w:tag w:val="goog_rdk_279"/>
          <w:id w:val="622651243"/>
        </w:sdtPr>
        <w:sdtContent/>
      </w:sdt>
      <w:sdt>
        <w:sdtPr>
          <w:rPr>
            <w:rFonts w:asciiTheme="minorHAnsi" w:hAnsiTheme="minorHAnsi" w:cstheme="minorHAnsi"/>
          </w:rPr>
          <w:tag w:val="goog_rdk_280"/>
          <w:id w:val="1668591189"/>
        </w:sdtPr>
        <w:sdtContent/>
      </w:sdt>
      <w:sdt>
        <w:sdtPr>
          <w:rPr>
            <w:rFonts w:asciiTheme="minorHAnsi" w:hAnsiTheme="minorHAnsi" w:cstheme="minorHAnsi"/>
          </w:rPr>
          <w:tag w:val="goog_rdk_281"/>
          <w:id w:val="1367795199"/>
          <w:showingPlcHdr/>
        </w:sdtPr>
        <w:sdtContent>
          <w:r w:rsidR="004A2CCE" w:rsidRPr="00285D58">
            <w:rPr>
              <w:rFonts w:asciiTheme="minorHAnsi" w:hAnsiTheme="minorHAnsi" w:cstheme="minorHAnsi"/>
            </w:rPr>
            <w:t xml:space="preserve">     </w:t>
          </w:r>
        </w:sdtContent>
      </w:sdt>
      <m:oMath>
        <m:r>
          <w:rPr>
            <w:rFonts w:ascii="Cambria Math" w:eastAsia="Cambria Math" w:hAnsi="Cambria Math" w:cstheme="minorHAnsi"/>
          </w:rPr>
          <m:t>PPO=</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1</m:t>
            </m:r>
          </m:sub>
        </m:sSub>
        <m:r>
          <w:rPr>
            <w:rFonts w:ascii="Cambria Math" w:eastAsia="Cambria Math" w:hAnsi="Cambria Math" w:cstheme="minorHAnsi"/>
          </w:rPr>
          <m:t xml:space="preserve"> ;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2</m:t>
            </m:r>
          </m:sub>
        </m:sSub>
        <m:r>
          <w:rPr>
            <w:rFonts w:ascii="Cambria Math" w:eastAsia="Cambria Math" w:hAnsi="Cambria Math" w:cstheme="minorHAnsi"/>
          </w:rPr>
          <m:t xml:space="preserve">;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3</m:t>
            </m:r>
          </m:sub>
        </m:sSub>
        <m:r>
          <w:rPr>
            <w:rFonts w:ascii="Cambria Math" w:eastAsia="Cambria Math" w:hAnsi="Cambria Math" w:cstheme="minorHAnsi"/>
          </w:rPr>
          <m:t xml:space="preserve"> ; </m:t>
        </m:r>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4</m:t>
            </m:r>
          </m:sub>
        </m:sSub>
      </m:oMath>
    </w:p>
    <w:p w14:paraId="0CE2ADF7"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6F38A170" w14:textId="467D4AF7" w:rsidR="004A2CCE" w:rsidRPr="00285D58" w:rsidRDefault="004A2CCE" w:rsidP="008D1FFF">
      <w:pPr>
        <w:widowControl/>
        <w:spacing w:after="160" w:line="276" w:lineRule="auto"/>
        <w:ind w:left="426"/>
        <w:jc w:val="both"/>
        <w:rPr>
          <w:rFonts w:asciiTheme="minorHAnsi" w:eastAsia="Calibri" w:hAnsiTheme="minorHAnsi" w:cstheme="minorHAnsi"/>
          <w:lang w:val="it-IT"/>
        </w:rPr>
      </w:pPr>
      <w:r w:rsidRPr="00285D58">
        <w:rPr>
          <w:rFonts w:asciiTheme="minorHAnsi" w:eastAsia="Calibri" w:hAnsiTheme="minorHAnsi" w:cstheme="minorHAnsi"/>
          <w:lang w:val="it-IT"/>
        </w:rPr>
        <w:t>Cada PPO asciende a:</w:t>
      </w:r>
    </w:p>
    <w:p w14:paraId="2997298F" w14:textId="778B526C" w:rsidR="00BA6031" w:rsidRPr="00285D58" w:rsidRDefault="0000000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1</m:t>
              </m:r>
            </m:sub>
          </m:sSub>
          <m:r>
            <w:rPr>
              <w:rFonts w:ascii="Cambria Math" w:eastAsia="Cambria Math" w:hAnsi="Cambria Math" w:cstheme="minorHAnsi"/>
            </w:rPr>
            <m:t>=[________________]</m:t>
          </m:r>
        </m:oMath>
      </m:oMathPara>
    </w:p>
    <w:p w14:paraId="27221E2E" w14:textId="183534CB" w:rsidR="00BA6031" w:rsidRPr="00285D58" w:rsidRDefault="0000000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2</m:t>
              </m:r>
            </m:sub>
          </m:sSub>
          <m:r>
            <w:rPr>
              <w:rFonts w:ascii="Cambria Math" w:eastAsia="Cambria Math" w:hAnsi="Cambria Math" w:cstheme="minorHAnsi"/>
            </w:rPr>
            <m:t>=[________________]</m:t>
          </m:r>
        </m:oMath>
      </m:oMathPara>
    </w:p>
    <w:p w14:paraId="62EC8C45" w14:textId="03174395" w:rsidR="00BA6031" w:rsidRPr="00285D58" w:rsidRDefault="0000000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3</m:t>
              </m:r>
            </m:sub>
          </m:sSub>
          <m:r>
            <w:rPr>
              <w:rFonts w:ascii="Cambria Math" w:eastAsia="Cambria Math" w:hAnsi="Cambria Math" w:cstheme="minorHAnsi"/>
            </w:rPr>
            <m:t>=[________________]</m:t>
          </m:r>
        </m:oMath>
      </m:oMathPara>
    </w:p>
    <w:p w14:paraId="27CE30CC" w14:textId="39370C9F" w:rsidR="00BA6031" w:rsidRPr="00285D58" w:rsidRDefault="00000000" w:rsidP="00BA6031">
      <w:pPr>
        <w:spacing w:before="240"/>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PPO</m:t>
              </m:r>
            </m:e>
            <m:sub>
              <m:r>
                <w:rPr>
                  <w:rFonts w:ascii="Cambria Math" w:eastAsia="Cambria Math" w:hAnsi="Cambria Math" w:cstheme="minorHAnsi"/>
                </w:rPr>
                <m:t>4</m:t>
              </m:r>
            </m:sub>
          </m:sSub>
          <m:r>
            <w:rPr>
              <w:rFonts w:ascii="Cambria Math" w:eastAsia="Cambria Math" w:hAnsi="Cambria Math" w:cstheme="minorHAnsi"/>
            </w:rPr>
            <m:t>=[________________]</m:t>
          </m:r>
        </m:oMath>
      </m:oMathPara>
    </w:p>
    <w:p w14:paraId="63867E8D" w14:textId="77777777" w:rsidR="004A2CCE" w:rsidRPr="00285D58" w:rsidRDefault="004A2CCE" w:rsidP="008D1FFF">
      <w:pPr>
        <w:widowControl/>
        <w:spacing w:before="240" w:after="160" w:line="276" w:lineRule="auto"/>
        <w:ind w:left="426"/>
        <w:jc w:val="both"/>
        <w:rPr>
          <w:rFonts w:asciiTheme="minorHAnsi" w:eastAsia="Calibri" w:hAnsiTheme="minorHAnsi" w:cstheme="minorHAnsi"/>
        </w:rPr>
      </w:pPr>
      <w:r w:rsidRPr="00285D58">
        <w:rPr>
          <w:rFonts w:asciiTheme="minorHAnsi" w:eastAsia="Calibri" w:hAnsiTheme="minorHAnsi" w:cstheme="minorHAnsi"/>
        </w:rPr>
        <w:t>Donde:</w:t>
      </w:r>
    </w:p>
    <w:tbl>
      <w:tblPr>
        <w:tblStyle w:val="162"/>
        <w:tblW w:w="8006" w:type="dxa"/>
        <w:tblInd w:w="61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1334"/>
        <w:gridCol w:w="6672"/>
      </w:tblGrid>
      <w:tr w:rsidR="004A2CCE" w:rsidRPr="00285D58" w14:paraId="7342EC87" w14:textId="77777777" w:rsidTr="00242093">
        <w:trPr>
          <w:trHeight w:val="1661"/>
        </w:trPr>
        <w:tc>
          <w:tcPr>
            <w:tcW w:w="1334" w:type="dxa"/>
          </w:tcPr>
          <w:p w14:paraId="39B1DC69"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1</w:t>
            </w:r>
            <w:r w:rsidRPr="00285D58">
              <w:rPr>
                <w:rFonts w:asciiTheme="minorHAnsi" w:eastAsia="Calibri" w:hAnsiTheme="minorHAnsi" w:cstheme="minorHAnsi"/>
                <w:i/>
                <w:iCs/>
                <w:lang w:val="es-PE" w:eastAsia="en-US"/>
              </w:rPr>
              <w:t>:</w:t>
            </w:r>
          </w:p>
        </w:tc>
        <w:tc>
          <w:tcPr>
            <w:tcW w:w="6672" w:type="dxa"/>
            <w:shd w:val="clear" w:color="auto" w:fill="auto"/>
          </w:tcPr>
          <w:p w14:paraId="77618547" w14:textId="7301A7C4"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rPr>
              <w:t xml:space="preserve">Componente del PPO, sin IGV pagado en Dólares. Este PPO reconoce </w:t>
            </w:r>
            <w:r w:rsidRPr="00285D58">
              <w:rPr>
                <w:rFonts w:asciiTheme="minorHAnsi" w:eastAsia="Calibri" w:hAnsiTheme="minorHAnsi" w:cstheme="minorHAnsi"/>
                <w:lang w:val="es-PE" w:eastAsia="en-US"/>
              </w:rPr>
              <w:t xml:space="preserve">un primer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 la fabricación y compra </w:t>
            </w:r>
            <w:r w:rsidRPr="00285D58">
              <w:rPr>
                <w:rFonts w:asciiTheme="minorHAnsi" w:eastAsia="Aptos" w:hAnsiTheme="minorHAnsi" w:cstheme="minorHAnsi"/>
                <w:color w:val="000000"/>
                <w:lang w:val="es-PE" w:eastAsia="en-US"/>
              </w:rPr>
              <w:t xml:space="preserve">del </w:t>
            </w:r>
            <w:r w:rsidRPr="00285D58">
              <w:rPr>
                <w:rFonts w:asciiTheme="minorHAnsi" w:hAnsiTheme="minorHAnsi" w:cstheme="minorHAnsi"/>
                <w:color w:val="000000"/>
                <w:lang w:val="es-PE"/>
              </w:rPr>
              <w:t>Equipamiento Electromecánico</w:t>
            </w:r>
            <w:r w:rsidRPr="00285D58">
              <w:rPr>
                <w:rFonts w:asciiTheme="minorHAnsi" w:eastAsia="Aptos" w:hAnsiTheme="minorHAnsi" w:cstheme="minorHAnsi"/>
                <w:color w:val="000000"/>
                <w:lang w:val="es-PE" w:eastAsia="en-US"/>
              </w:rPr>
              <w:t xml:space="preserve"> </w:t>
            </w:r>
            <w:r w:rsidRPr="00285D58">
              <w:rPr>
                <w:rFonts w:asciiTheme="minorHAnsi" w:eastAsia="Calibri" w:hAnsiTheme="minorHAnsi" w:cstheme="minorHAnsi"/>
                <w:lang w:val="es-PE" w:eastAsia="en-US"/>
              </w:rPr>
              <w:t xml:space="preserve">del Componente </w:t>
            </w:r>
            <w:r w:rsidRPr="00285D58">
              <w:rPr>
                <w:rFonts w:asciiTheme="minorHAnsi" w:eastAsia="Calibri" w:hAnsiTheme="minorHAnsi" w:cstheme="minorHAnsi"/>
              </w:rPr>
              <w:t xml:space="preserve">Norte, el cual será pagado de acuerdo con el cronograma establecido en la propuesta técnica del CONCESIONARIO y al numeral 2 y 3 del presente Apéndice. </w:t>
            </w:r>
          </w:p>
        </w:tc>
      </w:tr>
      <w:tr w:rsidR="004A2CCE" w:rsidRPr="00285D58" w14:paraId="2FF08952" w14:textId="77777777" w:rsidTr="00242093">
        <w:trPr>
          <w:trHeight w:val="1661"/>
        </w:trPr>
        <w:tc>
          <w:tcPr>
            <w:tcW w:w="1334" w:type="dxa"/>
          </w:tcPr>
          <w:p w14:paraId="6978DB12"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2</w:t>
            </w:r>
            <w:r w:rsidRPr="00285D58">
              <w:rPr>
                <w:rFonts w:asciiTheme="minorHAnsi" w:eastAsia="Calibri" w:hAnsiTheme="minorHAnsi" w:cstheme="minorHAnsi"/>
                <w:i/>
                <w:iCs/>
                <w:lang w:val="es-PE" w:eastAsia="en-US"/>
              </w:rPr>
              <w:t>:</w:t>
            </w:r>
          </w:p>
        </w:tc>
        <w:tc>
          <w:tcPr>
            <w:tcW w:w="6672" w:type="dxa"/>
            <w:shd w:val="clear" w:color="auto" w:fill="auto"/>
          </w:tcPr>
          <w:p w14:paraId="5C792E42" w14:textId="218DFCEC"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rPr>
              <w:t xml:space="preserve">Componente del PPO, sin IGV pagado en Dólares. Este PPO reconoce </w:t>
            </w:r>
            <w:bookmarkStart w:id="269" w:name="_Hlk176506317"/>
            <w:r w:rsidRPr="00285D58">
              <w:rPr>
                <w:rFonts w:asciiTheme="minorHAnsi" w:eastAsia="Calibri" w:hAnsiTheme="minorHAnsi" w:cstheme="minorHAnsi"/>
                <w:lang w:val="es-PE" w:eastAsia="en-US"/>
              </w:rPr>
              <w:t xml:space="preserve">un segundo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w:t>
            </w:r>
            <w:r w:rsidRPr="00285D58">
              <w:rPr>
                <w:rFonts w:asciiTheme="minorHAnsi" w:eastAsia="Aptos" w:hAnsiTheme="minorHAnsi" w:cstheme="minorHAnsi"/>
                <w:color w:val="000000"/>
                <w:lang w:val="es-PE" w:eastAsia="en-US"/>
              </w:rPr>
              <w:t xml:space="preserve"> la fabricación y compra del </w:t>
            </w:r>
            <w:r w:rsidRPr="00285D58">
              <w:rPr>
                <w:rFonts w:asciiTheme="minorHAnsi" w:hAnsiTheme="minorHAnsi" w:cstheme="minorHAnsi"/>
                <w:color w:val="000000"/>
                <w:lang w:val="es-PE"/>
              </w:rPr>
              <w:t>Equipamiento Electromecánico</w:t>
            </w:r>
            <w:r w:rsidRPr="00285D58">
              <w:rPr>
                <w:rFonts w:asciiTheme="minorHAnsi" w:eastAsia="Calibri" w:hAnsiTheme="minorHAnsi" w:cstheme="minorHAnsi"/>
                <w:lang w:val="es-PE" w:eastAsia="en-US"/>
              </w:rPr>
              <w:t xml:space="preserve"> del Componente Norte</w:t>
            </w:r>
            <w:bookmarkEnd w:id="269"/>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r w:rsidR="004A2CCE" w:rsidRPr="00285D58" w14:paraId="142BB0E1" w14:textId="77777777" w:rsidTr="00242093">
        <w:trPr>
          <w:trHeight w:val="1661"/>
        </w:trPr>
        <w:tc>
          <w:tcPr>
            <w:tcW w:w="1334" w:type="dxa"/>
          </w:tcPr>
          <w:p w14:paraId="39D0E57B"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3</w:t>
            </w:r>
            <w:r w:rsidRPr="00285D58">
              <w:rPr>
                <w:rFonts w:asciiTheme="minorHAnsi" w:eastAsia="Calibri" w:hAnsiTheme="minorHAnsi" w:cstheme="minorHAnsi"/>
                <w:i/>
                <w:iCs/>
                <w:lang w:val="es-PE" w:eastAsia="en-US"/>
              </w:rPr>
              <w:t>:</w:t>
            </w:r>
          </w:p>
        </w:tc>
        <w:tc>
          <w:tcPr>
            <w:tcW w:w="6672" w:type="dxa"/>
            <w:shd w:val="clear" w:color="auto" w:fill="auto"/>
          </w:tcPr>
          <w:p w14:paraId="1E007F98" w14:textId="5F2CA0CE"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Componente del PPO, sin IGV pagado en Dólares. Este PPO reconoce un primer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 la fabricación y compra </w:t>
            </w:r>
            <w:r w:rsidRPr="00285D58">
              <w:rPr>
                <w:rFonts w:asciiTheme="minorHAnsi" w:eastAsia="Aptos" w:hAnsiTheme="minorHAnsi" w:cstheme="minorHAnsi"/>
                <w:color w:val="000000"/>
                <w:lang w:val="es-PE" w:eastAsia="en-US"/>
              </w:rPr>
              <w:t xml:space="preserve">del </w:t>
            </w:r>
            <w:r w:rsidRPr="00285D58">
              <w:rPr>
                <w:rFonts w:asciiTheme="minorHAnsi" w:hAnsiTheme="minorHAnsi" w:cstheme="minorHAnsi"/>
                <w:color w:val="000000"/>
                <w:lang w:val="es-PE"/>
              </w:rPr>
              <w:t>Equipamiento Electromecánico</w:t>
            </w:r>
            <w:r w:rsidRPr="00285D58">
              <w:rPr>
                <w:rFonts w:asciiTheme="minorHAnsi" w:eastAsia="Aptos" w:hAnsiTheme="minorHAnsi" w:cstheme="minorHAnsi"/>
                <w:color w:val="000000"/>
                <w:lang w:val="es-PE" w:eastAsia="en-US"/>
              </w:rPr>
              <w:t xml:space="preserve"> </w:t>
            </w:r>
            <w:r w:rsidRPr="00285D58">
              <w:rPr>
                <w:rFonts w:asciiTheme="minorHAnsi" w:eastAsia="Calibri" w:hAnsiTheme="minorHAnsi" w:cstheme="minorHAnsi"/>
                <w:lang w:val="es-PE" w:eastAsia="en-US"/>
              </w:rPr>
              <w:t>del Componente Sur</w:t>
            </w:r>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r w:rsidR="004A2CCE" w:rsidRPr="00285D58" w14:paraId="6C40940F" w14:textId="77777777" w:rsidTr="00242093">
        <w:trPr>
          <w:trHeight w:val="1661"/>
        </w:trPr>
        <w:tc>
          <w:tcPr>
            <w:tcW w:w="1334" w:type="dxa"/>
          </w:tcPr>
          <w:p w14:paraId="6B2D663A" w14:textId="77777777" w:rsidR="004A2CCE" w:rsidRPr="00285D58" w:rsidRDefault="004A2CCE" w:rsidP="008D1FFF">
            <w:pPr>
              <w:spacing w:before="100" w:beforeAutospacing="1" w:after="120" w:line="276" w:lineRule="auto"/>
              <w:jc w:val="both"/>
              <w:rPr>
                <w:rFonts w:asciiTheme="minorHAnsi" w:eastAsia="Cambria Math" w:hAnsiTheme="minorHAnsi" w:cstheme="minorHAnsi"/>
              </w:rPr>
            </w:pPr>
            <w:r w:rsidRPr="00285D58">
              <w:rPr>
                <w:rFonts w:asciiTheme="minorHAnsi" w:eastAsia="Calibri" w:hAnsiTheme="minorHAnsi" w:cstheme="minorHAnsi"/>
                <w:i/>
                <w:iCs/>
                <w:lang w:val="es-PE" w:eastAsia="en-US"/>
              </w:rPr>
              <w:t>PPO</w:t>
            </w:r>
            <w:r w:rsidRPr="00285D58">
              <w:rPr>
                <w:rFonts w:asciiTheme="minorHAnsi" w:eastAsia="Calibri" w:hAnsiTheme="minorHAnsi" w:cstheme="minorHAnsi"/>
                <w:i/>
                <w:iCs/>
                <w:vertAlign w:val="subscript"/>
                <w:lang w:val="es-PE" w:eastAsia="en-US"/>
              </w:rPr>
              <w:t>4</w:t>
            </w:r>
            <w:r w:rsidRPr="00285D58">
              <w:rPr>
                <w:rFonts w:asciiTheme="minorHAnsi" w:eastAsia="Calibri" w:hAnsiTheme="minorHAnsi" w:cstheme="minorHAnsi"/>
                <w:i/>
                <w:iCs/>
                <w:lang w:val="es-PE" w:eastAsia="en-US"/>
              </w:rPr>
              <w:t>:</w:t>
            </w:r>
          </w:p>
        </w:tc>
        <w:tc>
          <w:tcPr>
            <w:tcW w:w="6672" w:type="dxa"/>
            <w:shd w:val="clear" w:color="auto" w:fill="auto"/>
          </w:tcPr>
          <w:p w14:paraId="47B7ABA4" w14:textId="4E21EC15" w:rsidR="004A2CCE" w:rsidRPr="00285D58" w:rsidRDefault="004A2CCE" w:rsidP="008D1FFF">
            <w:pPr>
              <w:widowControl/>
              <w:spacing w:before="100" w:beforeAutospacing="1" w:after="120" w:line="276" w:lineRule="auto"/>
              <w:ind w:left="18"/>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Componente del PPO, sin IGV pagado en Dólares. Este PPO reconoce el segundo </w:t>
            </w:r>
            <w:r w:rsidR="007F4ADD" w:rsidRPr="00285D58">
              <w:rPr>
                <w:rFonts w:asciiTheme="minorHAnsi" w:eastAsia="Calibri" w:hAnsiTheme="minorHAnsi" w:cstheme="minorHAnsi"/>
                <w:lang w:val="es-PE" w:eastAsia="en-US"/>
              </w:rPr>
              <w:t>anticipo</w:t>
            </w:r>
            <w:r w:rsidRPr="00285D58">
              <w:rPr>
                <w:rFonts w:asciiTheme="minorHAnsi" w:eastAsia="Calibri" w:hAnsiTheme="minorHAnsi" w:cstheme="minorHAnsi"/>
                <w:lang w:val="es-PE" w:eastAsia="en-US"/>
              </w:rPr>
              <w:t xml:space="preserve"> por</w:t>
            </w:r>
            <w:r w:rsidRPr="00285D58">
              <w:rPr>
                <w:rFonts w:asciiTheme="minorHAnsi" w:eastAsia="Aptos" w:hAnsiTheme="minorHAnsi" w:cstheme="minorHAnsi"/>
                <w:color w:val="000000"/>
                <w:lang w:val="es-PE" w:eastAsia="en-US"/>
              </w:rPr>
              <w:t xml:space="preserve"> la fabricación y compra del </w:t>
            </w:r>
            <w:r w:rsidRPr="00285D58">
              <w:rPr>
                <w:rFonts w:asciiTheme="minorHAnsi" w:hAnsiTheme="minorHAnsi" w:cstheme="minorHAnsi"/>
                <w:color w:val="000000"/>
                <w:lang w:val="es-PE"/>
              </w:rPr>
              <w:t>Equipamiento Electromecánico</w:t>
            </w:r>
            <w:r w:rsidRPr="00285D58">
              <w:rPr>
                <w:rFonts w:asciiTheme="minorHAnsi" w:eastAsia="Calibri" w:hAnsiTheme="minorHAnsi" w:cstheme="minorHAnsi"/>
                <w:lang w:val="es-PE" w:eastAsia="en-US"/>
              </w:rPr>
              <w:t xml:space="preserve"> del Componente Sur</w:t>
            </w:r>
            <w:r w:rsidRPr="00285D58">
              <w:rPr>
                <w:rFonts w:asciiTheme="minorHAnsi" w:eastAsia="Calibri" w:hAnsiTheme="minorHAnsi" w:cstheme="minorHAnsi"/>
              </w:rPr>
              <w:t xml:space="preserve">, el cual será pagado de acuerdo con el cronograma establecido en la propuesta técnica del CONCESIONARIO y al numeral 2 y 3 del presente Apéndice.  </w:t>
            </w:r>
          </w:p>
        </w:tc>
      </w:tr>
    </w:tbl>
    <w:p w14:paraId="783BF98F" w14:textId="77777777" w:rsidR="007F4ADD" w:rsidRPr="00285D58" w:rsidRDefault="004A2CCE" w:rsidP="00A3732C">
      <w:pPr>
        <w:widowControl/>
        <w:numPr>
          <w:ilvl w:val="0"/>
          <w:numId w:val="70"/>
        </w:numPr>
        <w:spacing w:before="240" w:after="160" w:line="276" w:lineRule="auto"/>
        <w:ind w:left="426" w:hanging="426"/>
        <w:jc w:val="both"/>
        <w:rPr>
          <w:rFonts w:asciiTheme="minorHAnsi" w:eastAsia="Calibri" w:hAnsiTheme="minorHAnsi" w:cstheme="minorHAnsi"/>
        </w:rPr>
      </w:pPr>
      <w:bookmarkStart w:id="270" w:name="_Ref176170941"/>
      <w:r w:rsidRPr="00285D58">
        <w:rPr>
          <w:rFonts w:asciiTheme="minorHAnsi" w:eastAsia="Calibri" w:hAnsiTheme="minorHAnsi" w:cstheme="minorHAnsi"/>
          <w:lang w:val="es-PE" w:eastAsia="en-US"/>
        </w:rPr>
        <w:lastRenderedPageBreak/>
        <w:t>El pago correspondiente al PPO</w:t>
      </w:r>
      <w:r w:rsidRPr="00285D58">
        <w:rPr>
          <w:rFonts w:asciiTheme="minorHAnsi" w:eastAsia="Calibri" w:hAnsiTheme="minorHAnsi" w:cstheme="minorHAnsi"/>
          <w:vertAlign w:val="subscript"/>
          <w:lang w:val="es-PE" w:eastAsia="en-US"/>
        </w:rPr>
        <w:t>1</w:t>
      </w:r>
      <w:r w:rsidRPr="00285D58">
        <w:rPr>
          <w:rFonts w:asciiTheme="minorHAnsi" w:eastAsia="Calibri" w:hAnsiTheme="minorHAnsi" w:cstheme="minorHAnsi"/>
          <w:lang w:val="es-PE" w:eastAsia="en-US"/>
        </w:rPr>
        <w:t xml:space="preserve"> y PPO</w:t>
      </w:r>
      <w:r w:rsidRPr="00285D58">
        <w:rPr>
          <w:rFonts w:asciiTheme="minorHAnsi" w:eastAsia="Calibri" w:hAnsiTheme="minorHAnsi" w:cstheme="minorHAnsi"/>
          <w:vertAlign w:val="subscript"/>
          <w:lang w:val="es-PE" w:eastAsia="en-US"/>
        </w:rPr>
        <w:t>3</w:t>
      </w:r>
      <w:r w:rsidRPr="00285D58">
        <w:rPr>
          <w:rFonts w:asciiTheme="minorHAnsi" w:eastAsia="Calibri" w:hAnsiTheme="minorHAnsi" w:cstheme="minorHAnsi"/>
          <w:lang w:val="es-PE" w:eastAsia="en-US"/>
        </w:rPr>
        <w:t xml:space="preserve"> será reconocido por el Concedente con la presentación de la orden de compra del Equipamiento Electromecánico de cada Componente. </w:t>
      </w:r>
    </w:p>
    <w:p w14:paraId="047CE95B" w14:textId="066AB507" w:rsidR="004A2CCE" w:rsidRPr="00285D58" w:rsidRDefault="004A2CCE" w:rsidP="008D1FFF">
      <w:pPr>
        <w:widowControl/>
        <w:spacing w:before="240" w:after="160" w:line="276" w:lineRule="auto"/>
        <w:ind w:left="426"/>
        <w:jc w:val="both"/>
        <w:rPr>
          <w:rFonts w:asciiTheme="minorHAnsi" w:eastAsia="Calibri" w:hAnsiTheme="minorHAnsi" w:cstheme="minorHAnsi"/>
        </w:rPr>
      </w:pPr>
      <w:r w:rsidRPr="00285D58">
        <w:rPr>
          <w:rFonts w:asciiTheme="minorHAnsi" w:eastAsia="Calibri" w:hAnsiTheme="minorHAnsi" w:cstheme="minorHAnsi"/>
          <w:lang w:val="es-PE" w:eastAsia="en-US"/>
        </w:rPr>
        <w:t>El pago correspondiente al PPO</w:t>
      </w:r>
      <w:r w:rsidRPr="00285D58">
        <w:rPr>
          <w:rFonts w:asciiTheme="minorHAnsi" w:eastAsia="Calibri" w:hAnsiTheme="minorHAnsi" w:cstheme="minorHAnsi"/>
          <w:vertAlign w:val="subscript"/>
          <w:lang w:val="es-PE" w:eastAsia="en-US"/>
        </w:rPr>
        <w:t>2</w:t>
      </w:r>
      <w:r w:rsidRPr="00285D58">
        <w:rPr>
          <w:rFonts w:asciiTheme="minorHAnsi" w:eastAsia="Calibri" w:hAnsiTheme="minorHAnsi" w:cstheme="minorHAnsi"/>
          <w:lang w:val="es-PE" w:eastAsia="en-US"/>
        </w:rPr>
        <w:t xml:space="preserve"> y PPO</w:t>
      </w:r>
      <w:r w:rsidRPr="00285D58">
        <w:rPr>
          <w:rFonts w:asciiTheme="minorHAnsi" w:eastAsia="Calibri" w:hAnsiTheme="minorHAnsi" w:cstheme="minorHAnsi"/>
          <w:vertAlign w:val="subscript"/>
          <w:lang w:val="es-PE" w:eastAsia="en-US"/>
        </w:rPr>
        <w:t>4</w:t>
      </w:r>
      <w:r w:rsidRPr="00285D58">
        <w:rPr>
          <w:rFonts w:asciiTheme="minorHAnsi" w:eastAsia="Calibri" w:hAnsiTheme="minorHAnsi" w:cstheme="minorHAnsi"/>
          <w:lang w:val="es-PE" w:eastAsia="en-US"/>
        </w:rPr>
        <w:t xml:space="preserve"> será reconocido con la presentación de los documentos que acrediten </w:t>
      </w:r>
      <w:r w:rsidR="00C50335" w:rsidRPr="00285D58">
        <w:rPr>
          <w:rFonts w:asciiTheme="minorHAnsi" w:eastAsia="Calibri" w:hAnsiTheme="minorHAnsi" w:cstheme="minorHAnsi"/>
          <w:lang w:val="es-PE" w:eastAsia="en-US"/>
        </w:rPr>
        <w:t xml:space="preserve">la nacionalización. </w:t>
      </w:r>
    </w:p>
    <w:p w14:paraId="4710FCBC" w14:textId="3336D7CF" w:rsidR="004A2CCE" w:rsidRPr="00285D58" w:rsidRDefault="004A2CCE" w:rsidP="008D1FFF">
      <w:pPr>
        <w:widowControl/>
        <w:spacing w:after="160" w:line="276" w:lineRule="auto"/>
        <w:ind w:left="426"/>
        <w:jc w:val="both"/>
        <w:rPr>
          <w:rFonts w:asciiTheme="minorHAnsi" w:eastAsia="Calibri" w:hAnsiTheme="minorHAnsi" w:cstheme="minorHAnsi"/>
          <w:lang w:val="es-PE" w:eastAsia="en-US"/>
        </w:rPr>
      </w:pPr>
      <w:r w:rsidRPr="00285D58">
        <w:rPr>
          <w:rFonts w:asciiTheme="minorHAnsi" w:eastAsia="Calibri" w:hAnsiTheme="minorHAnsi" w:cstheme="minorHAnsi"/>
          <w:lang w:val="es-PE" w:eastAsia="en-US"/>
        </w:rPr>
        <w:t xml:space="preserve">La diferencia del monto del costo total del Equipamiento Electromecánico respecto al valor total de </w:t>
      </w:r>
      <w:r w:rsidRPr="00BB5F42">
        <w:rPr>
          <w:rFonts w:asciiTheme="minorHAnsi" w:eastAsia="Calibri" w:hAnsiTheme="minorHAnsi" w:cstheme="minorHAnsi"/>
          <w:lang w:val="es-PE" w:eastAsia="en-US"/>
        </w:rPr>
        <w:t xml:space="preserve">los PPO se pagará mediante el </w:t>
      </w:r>
      <w:r w:rsidR="00870B40" w:rsidRPr="00BB5F42">
        <w:rPr>
          <w:rFonts w:asciiTheme="minorHAnsi" w:eastAsia="Calibri" w:hAnsiTheme="minorHAnsi" w:cstheme="minorHAnsi"/>
          <w:lang w:val="es-PE" w:eastAsia="en-US"/>
        </w:rPr>
        <w:t>PPD1</w:t>
      </w:r>
      <w:r w:rsidR="00627533" w:rsidRPr="00BB5F42">
        <w:rPr>
          <w:rFonts w:asciiTheme="minorHAnsi" w:eastAsia="Calibri" w:hAnsiTheme="minorHAnsi" w:cstheme="minorHAnsi"/>
          <w:lang w:val="es-PE" w:eastAsia="en-US"/>
        </w:rPr>
        <w:t xml:space="preserve"> ofertado por el Concesionario</w:t>
      </w:r>
      <w:r w:rsidRPr="00BB5F42">
        <w:rPr>
          <w:rFonts w:asciiTheme="minorHAnsi" w:eastAsia="Calibri" w:hAnsiTheme="minorHAnsi" w:cstheme="minorHAnsi"/>
          <w:lang w:val="es-PE" w:eastAsia="en-US"/>
        </w:rPr>
        <w:t>.</w:t>
      </w:r>
      <w:bookmarkEnd w:id="270"/>
    </w:p>
    <w:p w14:paraId="71BC865F" w14:textId="77777777" w:rsidR="004A2CCE" w:rsidRPr="00285D58" w:rsidRDefault="004A2CCE" w:rsidP="00A3732C">
      <w:pPr>
        <w:widowControl/>
        <w:numPr>
          <w:ilvl w:val="0"/>
          <w:numId w:val="70"/>
        </w:numPr>
        <w:spacing w:after="160" w:line="276" w:lineRule="auto"/>
        <w:ind w:left="426"/>
        <w:jc w:val="both"/>
        <w:rPr>
          <w:rFonts w:asciiTheme="minorHAnsi" w:eastAsia="Calibri" w:hAnsiTheme="minorHAnsi" w:cstheme="minorHAnsi"/>
        </w:rPr>
      </w:pPr>
      <w:bookmarkStart w:id="271" w:name="_heading=h.25b2l0r" w:colFirst="0" w:colLast="0"/>
      <w:bookmarkEnd w:id="271"/>
      <w:r w:rsidRPr="00285D58">
        <w:rPr>
          <w:rFonts w:asciiTheme="minorHAnsi" w:eastAsia="Calibri" w:hAnsiTheme="minorHAnsi" w:cstheme="minorHAnsi"/>
        </w:rPr>
        <w:t>El procedimiento para el reconocimiento de cada PPOi es el siguiente:</w:t>
      </w:r>
    </w:p>
    <w:p w14:paraId="728080B2" w14:textId="3D617BC8"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bookmarkStart w:id="272" w:name="_Hlk178697588"/>
      <w:r w:rsidRPr="00285D58">
        <w:rPr>
          <w:rFonts w:asciiTheme="minorHAnsi" w:eastAsia="Calibri" w:hAnsiTheme="minorHAnsi" w:cstheme="minorHAnsi"/>
        </w:rPr>
        <w:t xml:space="preserve">A más tardar 6 meses luego de acreditado el Cierre Financiero, </w:t>
      </w:r>
      <w:r w:rsidRPr="00285D58">
        <w:rPr>
          <w:rFonts w:asciiTheme="minorHAnsi" w:eastAsia="Calibri" w:hAnsiTheme="minorHAnsi" w:cstheme="minorHAnsi"/>
          <w:lang w:val="es-PE" w:eastAsia="en-US"/>
        </w:rPr>
        <w:t xml:space="preserve">el Concesionario deberá presentar al Concedente </w:t>
      </w:r>
      <w:r w:rsidRPr="00285D58">
        <w:rPr>
          <w:rFonts w:asciiTheme="minorHAnsi" w:eastAsia="Calibri" w:hAnsiTheme="minorHAnsi" w:cstheme="minorHAnsi"/>
        </w:rPr>
        <w:t xml:space="preserve">con copia Supervisor, la solicitud de pago del </w:t>
      </w:r>
      <w:bookmarkStart w:id="273" w:name="_Hlk182482537"/>
      <w:r w:rsidRPr="00285D58">
        <w:rPr>
          <w:rFonts w:asciiTheme="minorHAnsi" w:eastAsia="Calibri" w:hAnsiTheme="minorHAnsi" w:cstheme="minorHAnsi"/>
        </w:rPr>
        <w:t>PPO</w:t>
      </w:r>
      <w:r w:rsidRPr="00285D58">
        <w:rPr>
          <w:rFonts w:asciiTheme="minorHAnsi" w:eastAsia="Calibri" w:hAnsiTheme="minorHAnsi" w:cstheme="minorHAnsi"/>
          <w:vertAlign w:val="subscript"/>
        </w:rPr>
        <w:t xml:space="preserve">1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3</w:t>
      </w:r>
      <w:r w:rsidRPr="00285D58">
        <w:rPr>
          <w:rFonts w:asciiTheme="minorHAnsi" w:eastAsia="Calibri" w:hAnsiTheme="minorHAnsi" w:cstheme="minorHAnsi"/>
        </w:rPr>
        <w:t xml:space="preserve"> </w:t>
      </w:r>
      <w:bookmarkEnd w:id="273"/>
      <w:r w:rsidRPr="00285D58">
        <w:rPr>
          <w:rFonts w:asciiTheme="minorHAnsi" w:eastAsia="Calibri" w:hAnsiTheme="minorHAnsi" w:cstheme="minorHAnsi"/>
        </w:rPr>
        <w:t xml:space="preserve">adjuntando la orden de compra </w:t>
      </w:r>
      <w:r w:rsidRPr="00285D58">
        <w:rPr>
          <w:rFonts w:asciiTheme="minorHAnsi" w:eastAsia="Calibri" w:hAnsiTheme="minorHAnsi" w:cstheme="minorHAnsi"/>
          <w:lang w:val="es-PE" w:eastAsia="en-US"/>
        </w:rPr>
        <w:t xml:space="preserve">del Equipamiento Electromecánico del Componente Norte </w:t>
      </w:r>
      <w:r w:rsidR="001422DF" w:rsidRPr="00285D58">
        <w:rPr>
          <w:rFonts w:asciiTheme="minorHAnsi" w:eastAsia="Calibri" w:hAnsiTheme="minorHAnsi" w:cstheme="minorHAnsi"/>
          <w:lang w:val="es-PE" w:eastAsia="en-US"/>
        </w:rPr>
        <w:t>y/</w:t>
      </w:r>
      <w:r w:rsidRPr="00285D58">
        <w:rPr>
          <w:rFonts w:asciiTheme="minorHAnsi" w:eastAsia="Calibri" w:hAnsiTheme="minorHAnsi" w:cstheme="minorHAnsi"/>
          <w:lang w:val="es-PE" w:eastAsia="en-US"/>
        </w:rPr>
        <w:t xml:space="preserve">o la orden de compra del Equipamiento Electromecánico del Componente Sur. </w:t>
      </w:r>
    </w:p>
    <w:p w14:paraId="46D629A5" w14:textId="4019EC70"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lang w:val="es-PE" w:eastAsia="en-US"/>
        </w:rPr>
        <w:t xml:space="preserve">Con la Nacionalización del Equipamiento </w:t>
      </w:r>
      <w:r w:rsidR="00BC7E9C" w:rsidRPr="00285D58">
        <w:rPr>
          <w:rFonts w:asciiTheme="minorHAnsi" w:eastAsia="Calibri" w:hAnsiTheme="minorHAnsi" w:cstheme="minorHAnsi"/>
          <w:lang w:val="es-PE" w:eastAsia="en-US"/>
        </w:rPr>
        <w:t>Electromecánico del</w:t>
      </w:r>
      <w:r w:rsidRPr="00285D58">
        <w:rPr>
          <w:rFonts w:asciiTheme="minorHAnsi" w:eastAsia="Calibri" w:hAnsiTheme="minorHAnsi" w:cstheme="minorHAnsi"/>
          <w:lang w:val="es-PE" w:eastAsia="en-US"/>
        </w:rPr>
        <w:t xml:space="preserve"> Componente Norte </w:t>
      </w:r>
      <w:r w:rsidR="001422DF" w:rsidRPr="00285D58">
        <w:rPr>
          <w:rFonts w:asciiTheme="minorHAnsi" w:eastAsia="Calibri" w:hAnsiTheme="minorHAnsi" w:cstheme="minorHAnsi"/>
          <w:lang w:val="es-PE" w:eastAsia="en-US"/>
        </w:rPr>
        <w:t>y/</w:t>
      </w:r>
      <w:r w:rsidRPr="00285D58">
        <w:rPr>
          <w:rFonts w:asciiTheme="minorHAnsi" w:eastAsia="Calibri" w:hAnsiTheme="minorHAnsi" w:cstheme="minorHAnsi"/>
          <w:lang w:val="es-PE" w:eastAsia="en-US"/>
        </w:rPr>
        <w:t>o la Nacionalización</w:t>
      </w:r>
      <w:r w:rsidRPr="00285D58" w:rsidDel="00BE04E2">
        <w:rPr>
          <w:rFonts w:asciiTheme="minorHAnsi" w:eastAsia="Calibri" w:hAnsiTheme="minorHAnsi" w:cstheme="minorHAnsi"/>
          <w:lang w:val="es-PE" w:eastAsia="en-US"/>
        </w:rPr>
        <w:t xml:space="preserve"> </w:t>
      </w:r>
      <w:r w:rsidRPr="00285D58">
        <w:rPr>
          <w:rFonts w:asciiTheme="minorHAnsi" w:eastAsia="Calibri" w:hAnsiTheme="minorHAnsi" w:cstheme="minorHAnsi"/>
          <w:lang w:val="es-PE" w:eastAsia="en-US"/>
        </w:rPr>
        <w:t xml:space="preserve">del Equipamiento Electromecánico del Componente Sur, el Concesionario deberá presentar al Concedente </w:t>
      </w:r>
      <w:r w:rsidRPr="00285D58">
        <w:rPr>
          <w:rFonts w:asciiTheme="minorHAnsi" w:eastAsia="Calibri" w:hAnsiTheme="minorHAnsi" w:cstheme="minorHAnsi"/>
        </w:rPr>
        <w:t>con copia Supervisor, la solicitud de pago de cada PPO</w:t>
      </w:r>
      <w:r w:rsidRPr="00285D58">
        <w:rPr>
          <w:rFonts w:asciiTheme="minorHAnsi" w:eastAsia="Calibri" w:hAnsiTheme="minorHAnsi" w:cstheme="minorHAnsi"/>
          <w:vertAlign w:val="subscript"/>
        </w:rPr>
        <w:t xml:space="preserve">2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4</w:t>
      </w:r>
      <w:r w:rsidRPr="00285D58">
        <w:rPr>
          <w:rFonts w:asciiTheme="minorHAnsi" w:eastAsia="Calibri" w:hAnsiTheme="minorHAnsi" w:cstheme="minorHAnsi"/>
        </w:rPr>
        <w:t xml:space="preserve"> adjuntando los documentos que permitan su acreditación. </w:t>
      </w:r>
    </w:p>
    <w:p w14:paraId="4FE86367" w14:textId="77777777" w:rsidR="00BC7E9C" w:rsidRPr="00285D58" w:rsidRDefault="00BC7E9C"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A más tardar a los diez (10) Días de presentada la solicitud a la que se refiere el literal i) o el literal ii) del presente numeral, previa opinión del Supervisor, el Concedente responderá a dicha solicitud.</w:t>
      </w:r>
    </w:p>
    <w:p w14:paraId="5CEBE3E1" w14:textId="2CBDD9F5"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De existir observaciones, el plazo previsto para la subsanación es de diez (10) Días por parte del </w:t>
      </w:r>
      <w:r w:rsidR="00242093" w:rsidRPr="00285D58">
        <w:rPr>
          <w:rFonts w:asciiTheme="minorHAnsi" w:eastAsia="Calibri" w:hAnsiTheme="minorHAnsi" w:cstheme="minorHAnsi"/>
        </w:rPr>
        <w:t>CONCESIONARIO</w:t>
      </w:r>
      <w:r w:rsidRPr="00285D58">
        <w:rPr>
          <w:rFonts w:asciiTheme="minorHAnsi" w:eastAsia="Calibri" w:hAnsiTheme="minorHAnsi" w:cstheme="minorHAnsi"/>
        </w:rPr>
        <w:t>.</w:t>
      </w:r>
    </w:p>
    <w:p w14:paraId="60921337" w14:textId="77777777"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Recibida la subsanación, el CONCEDENTE tendrá diez (10) Días para emitir su opinión sobre la subsanación de observaciones. En caso de que el Concedente no emita opinión en el plazo antes indicado se entenderá que las observaciones fueron subsanadas. </w:t>
      </w:r>
    </w:p>
    <w:p w14:paraId="5EF81512" w14:textId="1F3333DE"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Luego de aprobada la solicitud de pago, el CONCESIONARIO presentará al CONCEDENTE la Garantía de Fiel Cumplimiento del </w:t>
      </w:r>
      <w:r w:rsidR="00BC7E9C" w:rsidRPr="00285D58">
        <w:rPr>
          <w:rFonts w:asciiTheme="minorHAnsi" w:eastAsia="Calibri" w:hAnsiTheme="minorHAnsi" w:cstheme="minorHAnsi"/>
        </w:rPr>
        <w:t>PPO a</w:t>
      </w:r>
      <w:r w:rsidRPr="00285D58">
        <w:rPr>
          <w:rFonts w:asciiTheme="minorHAnsi" w:eastAsia="Calibri" w:hAnsiTheme="minorHAnsi" w:cstheme="minorHAnsi"/>
        </w:rPr>
        <w:t xml:space="preserve"> la que se refiere la cláusula 10.3 del Contrato de Concesión, únicamente para el PPO</w:t>
      </w:r>
      <w:r w:rsidRPr="00285D58">
        <w:rPr>
          <w:rFonts w:asciiTheme="minorHAnsi" w:eastAsia="Calibri" w:hAnsiTheme="minorHAnsi" w:cstheme="minorHAnsi"/>
          <w:vertAlign w:val="subscript"/>
        </w:rPr>
        <w:t xml:space="preserve">1 </w:t>
      </w:r>
      <w:r w:rsidRPr="00285D58">
        <w:rPr>
          <w:rFonts w:asciiTheme="minorHAnsi" w:eastAsia="Calibri" w:hAnsiTheme="minorHAnsi" w:cstheme="minorHAnsi"/>
        </w:rPr>
        <w:t>y el PPO</w:t>
      </w:r>
      <w:r w:rsidRPr="00285D58">
        <w:rPr>
          <w:rFonts w:asciiTheme="minorHAnsi" w:eastAsia="Calibri" w:hAnsiTheme="minorHAnsi" w:cstheme="minorHAnsi"/>
          <w:vertAlign w:val="subscript"/>
        </w:rPr>
        <w:t>3</w:t>
      </w:r>
      <w:r w:rsidRPr="00285D58">
        <w:rPr>
          <w:rFonts w:asciiTheme="minorHAnsi" w:eastAsia="Calibri" w:hAnsiTheme="minorHAnsi" w:cstheme="minorHAnsi"/>
        </w:rPr>
        <w:t xml:space="preserve">. Asimismo, el CONCESIONARIO debe remitir al CONCEDENTE la(s) facturas(s) correspondiente(s), con copia al Fiduciario, por el monto aprobado. </w:t>
      </w:r>
    </w:p>
    <w:p w14:paraId="6E4D498C" w14:textId="6BEF8F18" w:rsidR="007F4ADD" w:rsidRPr="00285D58" w:rsidRDefault="007F4ADD" w:rsidP="00A3732C">
      <w:pPr>
        <w:widowControl/>
        <w:numPr>
          <w:ilvl w:val="0"/>
          <w:numId w:val="60"/>
        </w:numPr>
        <w:spacing w:after="160" w:line="276" w:lineRule="auto"/>
        <w:ind w:left="1134"/>
        <w:jc w:val="both"/>
        <w:rPr>
          <w:rFonts w:asciiTheme="minorHAnsi" w:eastAsia="Calibri" w:hAnsiTheme="minorHAnsi" w:cstheme="minorHAnsi"/>
        </w:rPr>
      </w:pPr>
      <w:r w:rsidRPr="00285D58">
        <w:rPr>
          <w:rFonts w:asciiTheme="minorHAnsi" w:eastAsia="Calibri" w:hAnsiTheme="minorHAnsi" w:cstheme="minorHAnsi"/>
        </w:rPr>
        <w:t xml:space="preserve">En un plazo no mayor a </w:t>
      </w:r>
      <w:r w:rsidR="001422DF" w:rsidRPr="00285D58">
        <w:rPr>
          <w:rFonts w:asciiTheme="minorHAnsi" w:eastAsia="Calibri" w:hAnsiTheme="minorHAnsi" w:cstheme="minorHAnsi"/>
        </w:rPr>
        <w:t xml:space="preserve">cinco </w:t>
      </w:r>
      <w:r w:rsidRPr="00285D58">
        <w:rPr>
          <w:rFonts w:asciiTheme="minorHAnsi" w:eastAsia="Calibri" w:hAnsiTheme="minorHAnsi" w:cstheme="minorHAnsi"/>
        </w:rPr>
        <w:t>(</w:t>
      </w:r>
      <w:r w:rsidR="001422DF" w:rsidRPr="00285D58">
        <w:rPr>
          <w:rFonts w:asciiTheme="minorHAnsi" w:eastAsia="Calibri" w:hAnsiTheme="minorHAnsi" w:cstheme="minorHAnsi"/>
        </w:rPr>
        <w:t>5</w:t>
      </w:r>
      <w:r w:rsidRPr="00285D58">
        <w:rPr>
          <w:rFonts w:asciiTheme="minorHAnsi" w:eastAsia="Calibri" w:hAnsiTheme="minorHAnsi" w:cstheme="minorHAnsi"/>
        </w:rPr>
        <w:t xml:space="preserve">) Días luego de aprobada la solicitud de pago y presentada la Garantía de </w:t>
      </w:r>
      <w:r w:rsidRPr="00285D58">
        <w:rPr>
          <w:rFonts w:asciiTheme="minorHAnsi" w:hAnsiTheme="minorHAnsi" w:cstheme="minorHAnsi"/>
          <w:color w:val="000000"/>
          <w:lang w:val="es-PE"/>
        </w:rPr>
        <w:t>Fiel Cumplimiento del PPO</w:t>
      </w:r>
      <w:r w:rsidRPr="00285D58">
        <w:rPr>
          <w:rFonts w:asciiTheme="minorHAnsi" w:eastAsia="Calibri" w:hAnsiTheme="minorHAnsi" w:cstheme="minorHAnsi"/>
        </w:rPr>
        <w:t>, el CONCEDENTE instruirá al Fideicomiso a fin de que realice el correspondiente pago del PPO</w:t>
      </w:r>
      <w:r w:rsidRPr="00285D58">
        <w:rPr>
          <w:rFonts w:asciiTheme="minorHAnsi" w:eastAsia="Calibri" w:hAnsiTheme="minorHAnsi" w:cstheme="minorHAnsi"/>
          <w:vertAlign w:val="subscript"/>
        </w:rPr>
        <w:t xml:space="preserve">i </w:t>
      </w:r>
      <w:r w:rsidRPr="00285D58">
        <w:rPr>
          <w:rFonts w:asciiTheme="minorHAnsi" w:eastAsia="Calibri" w:hAnsiTheme="minorHAnsi" w:cstheme="minorHAnsi"/>
        </w:rPr>
        <w:t xml:space="preserve">al Concesionario. Dicho pago se realizará en un plazo no mayor a tres (3) Días siguientes de recibida la instrucción.     </w:t>
      </w:r>
    </w:p>
    <w:p w14:paraId="59948FFC" w14:textId="496C5A33" w:rsidR="00C81BF7" w:rsidRPr="00285D58" w:rsidRDefault="00C81BF7" w:rsidP="00C81BF7">
      <w:pPr>
        <w:widowControl/>
        <w:spacing w:after="160" w:line="276" w:lineRule="auto"/>
        <w:ind w:left="1134"/>
        <w:jc w:val="both"/>
        <w:rPr>
          <w:rFonts w:asciiTheme="minorHAnsi" w:eastAsia="Calibri" w:hAnsiTheme="minorHAnsi" w:cstheme="minorHAnsi"/>
        </w:rPr>
      </w:pPr>
    </w:p>
    <w:p w14:paraId="5CCD2D25" w14:textId="77777777" w:rsidR="00C81BF7" w:rsidRPr="00285D58" w:rsidRDefault="00C81BF7" w:rsidP="00C81BF7">
      <w:pPr>
        <w:widowControl/>
        <w:spacing w:after="160" w:line="276" w:lineRule="auto"/>
        <w:ind w:left="1134"/>
        <w:jc w:val="both"/>
        <w:rPr>
          <w:rFonts w:asciiTheme="minorHAnsi" w:eastAsia="Calibri" w:hAnsiTheme="minorHAnsi" w:cstheme="minorHAnsi"/>
        </w:rPr>
      </w:pPr>
    </w:p>
    <w:p w14:paraId="3A10974C" w14:textId="4B6E8CED"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74" w:name="_Toc180162677"/>
      <w:bookmarkStart w:id="275" w:name="_Toc182581497"/>
      <w:bookmarkStart w:id="276" w:name="_Toc182582280"/>
      <w:bookmarkEnd w:id="272"/>
      <w:r w:rsidRPr="00285D58">
        <w:rPr>
          <w:rFonts w:asciiTheme="minorHAnsi" w:eastAsia="Times New Roman" w:hAnsiTheme="minorHAnsi" w:cstheme="minorHAnsi"/>
          <w:b/>
          <w:lang w:val="es-PE" w:eastAsia="en-US"/>
        </w:rPr>
        <w:lastRenderedPageBreak/>
        <w:t>Pago por Disponibilidad (PPD)</w:t>
      </w:r>
      <w:bookmarkEnd w:id="274"/>
      <w:bookmarkEnd w:id="275"/>
      <w:bookmarkEnd w:id="276"/>
    </w:p>
    <w:p w14:paraId="6B212CAC"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29891647" w14:textId="6C43EC63" w:rsidR="004A2CCE" w:rsidRPr="00285D58" w:rsidRDefault="004A2CCE" w:rsidP="00A3732C">
      <w:pPr>
        <w:widowControl/>
        <w:numPr>
          <w:ilvl w:val="0"/>
          <w:numId w:val="70"/>
        </w:numPr>
        <w:spacing w:after="160" w:line="276" w:lineRule="auto"/>
        <w:ind w:left="426"/>
        <w:jc w:val="both"/>
        <w:rPr>
          <w:rFonts w:asciiTheme="minorHAnsi" w:eastAsia="Calibri" w:hAnsiTheme="minorHAnsi" w:cstheme="minorHAnsi"/>
        </w:rPr>
      </w:pPr>
      <w:bookmarkStart w:id="277" w:name="_heading=h.kgcv8k" w:colFirst="0" w:colLast="0"/>
      <w:bookmarkEnd w:id="277"/>
      <w:r w:rsidRPr="00285D58">
        <w:rPr>
          <w:rFonts w:asciiTheme="minorHAnsi" w:eastAsia="Calibri" w:hAnsiTheme="minorHAnsi" w:cstheme="minorHAnsi"/>
        </w:rPr>
        <w:t xml:space="preserve">De acuerdo con lo establecido en la Cláusula 9.4 del </w:t>
      </w:r>
      <w:sdt>
        <w:sdtPr>
          <w:rPr>
            <w:rFonts w:asciiTheme="minorHAnsi" w:eastAsia="Calibri" w:hAnsiTheme="minorHAnsi" w:cstheme="minorHAnsi"/>
          </w:rPr>
          <w:tag w:val="goog_rdk_291"/>
          <w:id w:val="29164566"/>
        </w:sdtPr>
        <w:sdtContent/>
      </w:sdt>
      <w:sdt>
        <w:sdtPr>
          <w:rPr>
            <w:rFonts w:asciiTheme="minorHAnsi" w:eastAsia="Calibri" w:hAnsiTheme="minorHAnsi" w:cstheme="minorHAnsi"/>
          </w:rPr>
          <w:tag w:val="goog_rdk_292"/>
          <w:id w:val="270215933"/>
        </w:sdtPr>
        <w:sdtContent/>
      </w:sdt>
      <w:sdt>
        <w:sdtPr>
          <w:rPr>
            <w:rFonts w:asciiTheme="minorHAnsi" w:eastAsia="Calibri" w:hAnsiTheme="minorHAnsi" w:cstheme="minorHAnsi"/>
          </w:rPr>
          <w:tag w:val="goog_rdk_293"/>
          <w:id w:val="1988351649"/>
        </w:sdtPr>
        <w:sdtContent/>
      </w:sdt>
      <w:r w:rsidRPr="00285D58">
        <w:rPr>
          <w:rFonts w:asciiTheme="minorHAnsi" w:eastAsia="Calibri" w:hAnsiTheme="minorHAnsi" w:cstheme="minorHAnsi"/>
        </w:rPr>
        <w:t xml:space="preserve">presente Contrato de Concesión, a efectos de su liquidación y ajustes, el PPD está compuesto por los siguientes componentes: PPD1 y el PPD2. </w:t>
      </w:r>
    </w:p>
    <w:bookmarkStart w:id="278" w:name="_heading=h.34g0dwd" w:colFirst="0" w:colLast="0"/>
    <w:bookmarkEnd w:id="278"/>
    <w:p w14:paraId="0B286934" w14:textId="05C23BAB" w:rsidR="004A2CCE" w:rsidRPr="00285D58" w:rsidRDefault="00000000" w:rsidP="00A3732C">
      <w:pPr>
        <w:widowControl/>
        <w:numPr>
          <w:ilvl w:val="0"/>
          <w:numId w:val="70"/>
        </w:numPr>
        <w:spacing w:after="160" w:line="276" w:lineRule="auto"/>
        <w:ind w:left="426"/>
        <w:jc w:val="both"/>
        <w:rPr>
          <w:rFonts w:asciiTheme="minorHAnsi" w:eastAsia="Calibri" w:hAnsiTheme="minorHAnsi" w:cstheme="minorHAnsi"/>
        </w:rPr>
      </w:pPr>
      <w:sdt>
        <w:sdtPr>
          <w:rPr>
            <w:rFonts w:asciiTheme="minorHAnsi" w:eastAsia="Calibri" w:hAnsiTheme="minorHAnsi" w:cstheme="minorHAnsi"/>
          </w:rPr>
          <w:tag w:val="goog_rdk_294"/>
          <w:id w:val="509722408"/>
        </w:sdtPr>
        <w:sdtContent/>
      </w:sdt>
      <w:sdt>
        <w:sdtPr>
          <w:rPr>
            <w:rFonts w:asciiTheme="minorHAnsi" w:eastAsia="Calibri" w:hAnsiTheme="minorHAnsi" w:cstheme="minorHAnsi"/>
          </w:rPr>
          <w:tag w:val="goog_rdk_295"/>
          <w:id w:val="-644899885"/>
        </w:sdtPr>
        <w:sdtContent/>
      </w:sdt>
      <w:sdt>
        <w:sdtPr>
          <w:rPr>
            <w:rFonts w:asciiTheme="minorHAnsi" w:eastAsia="Calibri" w:hAnsiTheme="minorHAnsi" w:cstheme="minorHAnsi"/>
          </w:rPr>
          <w:tag w:val="goog_rdk_296"/>
          <w:id w:val="1268040812"/>
        </w:sdtPr>
        <w:sdtContent/>
      </w:sdt>
      <w:r w:rsidR="004A2CCE" w:rsidRPr="00285D58">
        <w:rPr>
          <w:rFonts w:asciiTheme="minorHAnsi" w:eastAsia="Calibri" w:hAnsiTheme="minorHAnsi" w:cstheme="minorHAnsi"/>
        </w:rPr>
        <w:t xml:space="preserve">El componente </w:t>
      </w:r>
      <w:sdt>
        <w:sdtPr>
          <w:rPr>
            <w:rFonts w:asciiTheme="minorHAnsi" w:eastAsia="Calibri" w:hAnsiTheme="minorHAnsi" w:cstheme="minorHAnsi"/>
          </w:rPr>
          <w:tag w:val="goog_rdk_297"/>
          <w:id w:val="-954173561"/>
        </w:sdtPr>
        <w:sdtContent/>
      </w:sdt>
      <w:sdt>
        <w:sdtPr>
          <w:rPr>
            <w:rFonts w:asciiTheme="minorHAnsi" w:eastAsia="Calibri" w:hAnsiTheme="minorHAnsi" w:cstheme="minorHAnsi"/>
          </w:rPr>
          <w:tag w:val="goog_rdk_298"/>
          <w:id w:val="-967354723"/>
        </w:sdtPr>
        <w:sdtContent/>
      </w:sdt>
      <w:sdt>
        <w:sdtPr>
          <w:rPr>
            <w:rFonts w:asciiTheme="minorHAnsi" w:eastAsia="Calibri" w:hAnsiTheme="minorHAnsi" w:cstheme="minorHAnsi"/>
          </w:rPr>
          <w:tag w:val="goog_rdk_299"/>
          <w:id w:val="472336476"/>
        </w:sdtPr>
        <w:sdtContent/>
      </w:sdt>
      <w:r w:rsidR="004A2CCE" w:rsidRPr="00285D58">
        <w:rPr>
          <w:rFonts w:asciiTheme="minorHAnsi" w:eastAsia="Calibri" w:hAnsiTheme="minorHAnsi" w:cstheme="minorHAnsi"/>
        </w:rPr>
        <w:t xml:space="preserve">PPD1 reconocerá la Inversión (con excepción de la inversión reconocida mediante PPO) y formará parte de la liquidación del PPD durante quince (15) años. El PPD1 se pagará en Dólares en cuotas que se liquidarán trimestralmente, asimismo, será ajustado por la inflación entre la fecha de la Buena Pro y el inicio de cada avance de obra semestral, de acuerdo con la siguiente fórmula: </w:t>
      </w:r>
    </w:p>
    <w:p w14:paraId="2858A757"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6C1877F7" w14:textId="77777777" w:rsidR="004A2CCE" w:rsidRPr="00285D58" w:rsidRDefault="004A2CCE" w:rsidP="008D1FFF">
      <w:pPr>
        <w:spacing w:line="276" w:lineRule="auto"/>
        <w:jc w:val="center"/>
        <w:rPr>
          <w:rFonts w:asciiTheme="minorHAnsi" w:eastAsia="Cambria Math" w:hAnsiTheme="minorHAnsi" w:cstheme="minorHAnsi"/>
        </w:rPr>
      </w:pP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oferta</m:t>
            </m:r>
          </m:sub>
        </m:sSub>
        <m:r>
          <w:rPr>
            <w:rFonts w:ascii="Cambria Math" w:eastAsia="Cambria Math" w:hAnsi="Cambria Math" w:cstheme="minorHAnsi"/>
          </w:rPr>
          <m:t xml:space="preserve"> × X% × </m:t>
        </m:r>
        <m:sSub>
          <m:sSubPr>
            <m:ctrlPr>
              <w:rPr>
                <w:rFonts w:ascii="Cambria Math" w:eastAsia="Cambria Math" w:hAnsi="Cambria Math" w:cstheme="minorHAnsi"/>
              </w:rPr>
            </m:ctrlPr>
          </m:sSubPr>
          <m:e>
            <m:r>
              <w:rPr>
                <w:rFonts w:ascii="Cambria Math" w:eastAsia="Cambria Math" w:hAnsi="Cambria Math" w:cstheme="minorHAnsi"/>
              </w:rPr>
              <m:t>k</m:t>
            </m:r>
          </m:e>
          <m:sub>
            <m:r>
              <w:rPr>
                <w:rFonts w:ascii="Cambria Math" w:eastAsia="Cambria Math" w:hAnsi="Cambria Math" w:cstheme="minorHAnsi"/>
              </w:rPr>
              <m:t>j</m:t>
            </m:r>
          </m:sub>
        </m:sSub>
      </m:oMath>
      <w:sdt>
        <w:sdtPr>
          <w:rPr>
            <w:rFonts w:asciiTheme="minorHAnsi" w:hAnsiTheme="minorHAnsi" w:cstheme="minorHAnsi"/>
          </w:rPr>
          <w:tag w:val="goog_rdk_304"/>
          <w:id w:val="-293215612"/>
        </w:sdtPr>
        <w:sdtContent/>
      </w:sdt>
      <w:sdt>
        <w:sdtPr>
          <w:rPr>
            <w:rFonts w:asciiTheme="minorHAnsi" w:hAnsiTheme="minorHAnsi" w:cstheme="minorHAnsi"/>
          </w:rPr>
          <w:tag w:val="goog_rdk_305"/>
          <w:id w:val="981273707"/>
        </w:sdtPr>
        <w:sdtContent/>
      </w:sdt>
      <w:sdt>
        <w:sdtPr>
          <w:rPr>
            <w:rFonts w:asciiTheme="minorHAnsi" w:hAnsiTheme="minorHAnsi" w:cstheme="minorHAnsi"/>
          </w:rPr>
          <w:tag w:val="goog_rdk_306"/>
          <w:id w:val="-1581064563"/>
        </w:sdtPr>
        <w:sdtContent/>
      </w:sdt>
      <w:sdt>
        <w:sdtPr>
          <w:rPr>
            <w:rFonts w:asciiTheme="minorHAnsi" w:hAnsiTheme="minorHAnsi" w:cstheme="minorHAnsi"/>
          </w:rPr>
          <w:tag w:val="goog_rdk_307"/>
          <w:id w:val="790633545"/>
        </w:sdtPr>
        <w:sdtContent/>
      </w:sdt>
    </w:p>
    <w:p w14:paraId="01BF23E3"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1CD07756"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Donde:</w:t>
      </w:r>
    </w:p>
    <w:tbl>
      <w:tblPr>
        <w:tblStyle w:val="160"/>
        <w:tblW w:w="7893" w:type="dxa"/>
        <w:tblInd w:w="61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1798"/>
        <w:gridCol w:w="6095"/>
      </w:tblGrid>
      <w:tr w:rsidR="004A2CCE" w:rsidRPr="00285D58" w14:paraId="6E643D50" w14:textId="77777777" w:rsidTr="00242093">
        <w:tc>
          <w:tcPr>
            <w:tcW w:w="1798" w:type="dxa"/>
            <w:shd w:val="clear" w:color="auto" w:fill="auto"/>
          </w:tcPr>
          <w:p w14:paraId="047ED6BF"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PPD1</w:t>
            </w:r>
            <w:r w:rsidRPr="00285D58">
              <w:rPr>
                <w:rFonts w:asciiTheme="minorHAnsi" w:eastAsia="Calibri" w:hAnsiTheme="minorHAnsi" w:cstheme="minorHAnsi"/>
                <w:i/>
                <w:vertAlign w:val="subscript"/>
              </w:rPr>
              <w:t>j</w:t>
            </w:r>
            <w:r w:rsidRPr="00285D58">
              <w:rPr>
                <w:rFonts w:asciiTheme="minorHAnsi" w:eastAsia="Calibri" w:hAnsiTheme="minorHAnsi" w:cstheme="minorHAnsi"/>
                <w:i/>
              </w:rPr>
              <w:t>:</w:t>
            </w:r>
          </w:p>
        </w:tc>
        <w:tc>
          <w:tcPr>
            <w:tcW w:w="6095" w:type="dxa"/>
            <w:shd w:val="clear" w:color="auto" w:fill="auto"/>
          </w:tcPr>
          <w:p w14:paraId="1100FFDB"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PPD1 correspondiente al Componente j.</w:t>
            </w:r>
          </w:p>
        </w:tc>
      </w:tr>
      <w:tr w:rsidR="004A2CCE" w:rsidRPr="00285D58" w14:paraId="5182C51A" w14:textId="77777777" w:rsidTr="00242093">
        <w:tc>
          <w:tcPr>
            <w:tcW w:w="1798" w:type="dxa"/>
            <w:shd w:val="clear" w:color="auto" w:fill="auto"/>
          </w:tcPr>
          <w:p w14:paraId="16910E37"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PPD1</w:t>
            </w:r>
            <w:r w:rsidRPr="00285D58">
              <w:rPr>
                <w:rFonts w:asciiTheme="minorHAnsi" w:eastAsia="Calibri" w:hAnsiTheme="minorHAnsi" w:cstheme="minorHAnsi"/>
                <w:i/>
                <w:vertAlign w:val="subscript"/>
              </w:rPr>
              <w:t>Oferta</w:t>
            </w:r>
            <w:r w:rsidRPr="00285D58">
              <w:rPr>
                <w:rFonts w:asciiTheme="minorHAnsi" w:eastAsia="Calibri" w:hAnsiTheme="minorHAnsi" w:cstheme="minorHAnsi"/>
                <w:i/>
              </w:rPr>
              <w:t>:</w:t>
            </w:r>
          </w:p>
        </w:tc>
        <w:tc>
          <w:tcPr>
            <w:tcW w:w="6095" w:type="dxa"/>
            <w:shd w:val="clear" w:color="auto" w:fill="auto"/>
          </w:tcPr>
          <w:p w14:paraId="55DB1A0A" w14:textId="12F2994A"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Valor del componente PPD1 ofertado por el adjudicatario de la Buena Pro. </w:t>
            </w:r>
            <w:sdt>
              <w:sdtPr>
                <w:rPr>
                  <w:rFonts w:asciiTheme="minorHAnsi" w:hAnsiTheme="minorHAnsi" w:cstheme="minorHAnsi"/>
                </w:rPr>
                <w:tag w:val="goog_rdk_308"/>
                <w:id w:val="14508086"/>
              </w:sdtPr>
              <w:sdtContent/>
            </w:sdt>
            <w:sdt>
              <w:sdtPr>
                <w:rPr>
                  <w:rFonts w:asciiTheme="minorHAnsi" w:hAnsiTheme="minorHAnsi" w:cstheme="minorHAnsi"/>
                </w:rPr>
                <w:tag w:val="goog_rdk_309"/>
                <w:id w:val="1279832046"/>
              </w:sdtPr>
              <w:sdtContent/>
            </w:sdt>
            <w:sdt>
              <w:sdtPr>
                <w:rPr>
                  <w:rFonts w:asciiTheme="minorHAnsi" w:hAnsiTheme="minorHAnsi" w:cstheme="minorHAnsi"/>
                </w:rPr>
                <w:tag w:val="goog_rdk_310"/>
                <w:id w:val="-1877917560"/>
              </w:sdtPr>
              <w:sdtContent/>
            </w:sdt>
            <w:r w:rsidRPr="00285D58">
              <w:rPr>
                <w:rFonts w:asciiTheme="minorHAnsi" w:eastAsia="Calibri" w:hAnsiTheme="minorHAnsi" w:cstheme="minorHAnsi"/>
              </w:rPr>
              <w:t>Asciende a USD</w:t>
            </w:r>
            <w:r w:rsidR="002A6E25" w:rsidRPr="00285D58">
              <w:rPr>
                <w:rFonts w:asciiTheme="minorHAnsi" w:eastAsia="Calibri" w:hAnsiTheme="minorHAnsi" w:cstheme="minorHAnsi"/>
              </w:rPr>
              <w:t>________</w:t>
            </w:r>
            <w:r w:rsidRPr="00285D58">
              <w:rPr>
                <w:rFonts w:asciiTheme="minorHAnsi" w:eastAsia="Calibri" w:hAnsiTheme="minorHAnsi" w:cstheme="minorHAnsi"/>
              </w:rPr>
              <w:t xml:space="preserve"> </w:t>
            </w:r>
            <w:r w:rsidR="002A6E25" w:rsidRPr="00285D58">
              <w:rPr>
                <w:rFonts w:asciiTheme="minorHAnsi" w:eastAsia="Calibri" w:hAnsiTheme="minorHAnsi" w:cstheme="minorHAnsi"/>
              </w:rPr>
              <w:t>(___________)</w:t>
            </w:r>
          </w:p>
        </w:tc>
      </w:tr>
      <w:tr w:rsidR="004A2CCE" w:rsidRPr="00285D58" w14:paraId="65161BBA" w14:textId="77777777" w:rsidTr="00242093">
        <w:tc>
          <w:tcPr>
            <w:tcW w:w="1798" w:type="dxa"/>
            <w:shd w:val="clear" w:color="auto" w:fill="auto"/>
          </w:tcPr>
          <w:p w14:paraId="20D05DA0"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X%:</w:t>
            </w:r>
          </w:p>
        </w:tc>
        <w:tc>
          <w:tcPr>
            <w:tcW w:w="6095" w:type="dxa"/>
            <w:shd w:val="clear" w:color="auto" w:fill="auto"/>
          </w:tcPr>
          <w:p w14:paraId="74A47B2B" w14:textId="60B37630"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Proporción del PPD1 correspondiente a cada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Corresponde al </w:t>
            </w:r>
            <w:r w:rsidR="003B2892" w:rsidRPr="00285D58">
              <w:rPr>
                <w:rFonts w:asciiTheme="minorHAnsi" w:eastAsia="Calibri" w:hAnsiTheme="minorHAnsi" w:cstheme="minorHAnsi"/>
              </w:rPr>
              <w:t>__</w:t>
            </w:r>
            <w:r w:rsidR="001C25CB" w:rsidRPr="00285D58">
              <w:rPr>
                <w:rFonts w:asciiTheme="minorHAnsi" w:eastAsia="Calibri" w:hAnsiTheme="minorHAnsi" w:cstheme="minorHAnsi"/>
              </w:rPr>
              <w:t>% (</w:t>
            </w:r>
            <w:r w:rsidR="003B2892" w:rsidRPr="00285D58">
              <w:rPr>
                <w:rFonts w:asciiTheme="minorHAnsi" w:eastAsia="Calibri" w:hAnsiTheme="minorHAnsi" w:cstheme="minorHAnsi"/>
              </w:rPr>
              <w:t>____</w:t>
            </w:r>
            <w:r w:rsidR="001C25CB" w:rsidRPr="00285D58">
              <w:rPr>
                <w:rFonts w:asciiTheme="minorHAnsi" w:eastAsia="Calibri" w:hAnsiTheme="minorHAnsi" w:cstheme="minorHAnsi"/>
              </w:rPr>
              <w:t xml:space="preserve"> por ciento) </w:t>
            </w:r>
            <w:r w:rsidRPr="00285D58">
              <w:rPr>
                <w:rFonts w:asciiTheme="minorHAnsi" w:eastAsia="Calibri" w:hAnsiTheme="minorHAnsi" w:cstheme="minorHAnsi"/>
              </w:rPr>
              <w:t xml:space="preserve"> para el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Norte y al </w:t>
            </w:r>
            <w:r w:rsidR="003B2892" w:rsidRPr="00285D58">
              <w:rPr>
                <w:rFonts w:asciiTheme="minorHAnsi" w:eastAsia="Calibri" w:hAnsiTheme="minorHAnsi" w:cstheme="minorHAnsi"/>
              </w:rPr>
              <w:t>__</w:t>
            </w:r>
            <w:r w:rsidR="001C25CB" w:rsidRPr="00285D58">
              <w:rPr>
                <w:rFonts w:asciiTheme="minorHAnsi" w:eastAsia="Calibri" w:hAnsiTheme="minorHAnsi" w:cstheme="minorHAnsi"/>
              </w:rPr>
              <w:t>% (</w:t>
            </w:r>
            <w:r w:rsidR="003B2892" w:rsidRPr="00285D58">
              <w:rPr>
                <w:rFonts w:asciiTheme="minorHAnsi" w:eastAsia="Calibri" w:hAnsiTheme="minorHAnsi" w:cstheme="minorHAnsi"/>
              </w:rPr>
              <w:t>____</w:t>
            </w:r>
            <w:r w:rsidR="001C25CB" w:rsidRPr="00285D58">
              <w:rPr>
                <w:rFonts w:asciiTheme="minorHAnsi" w:eastAsia="Calibri" w:hAnsiTheme="minorHAnsi" w:cstheme="minorHAnsi"/>
              </w:rPr>
              <w:t xml:space="preserve"> por ciento) </w:t>
            </w:r>
            <w:r w:rsidRPr="00285D58">
              <w:rPr>
                <w:rFonts w:asciiTheme="minorHAnsi" w:eastAsia="Calibri" w:hAnsiTheme="minorHAnsi" w:cstheme="minorHAnsi"/>
              </w:rPr>
              <w:t xml:space="preserve"> para el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Sur.</w:t>
            </w:r>
          </w:p>
        </w:tc>
      </w:tr>
      <w:tr w:rsidR="004A2CCE" w:rsidRPr="00285D58" w14:paraId="192AD3D4" w14:textId="77777777" w:rsidTr="00242093">
        <w:tc>
          <w:tcPr>
            <w:tcW w:w="1798" w:type="dxa"/>
            <w:shd w:val="clear" w:color="auto" w:fill="auto"/>
          </w:tcPr>
          <w:p w14:paraId="1C329932"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i/>
              </w:rPr>
              <w:t>k</w:t>
            </w:r>
            <w:r w:rsidRPr="00285D58">
              <w:rPr>
                <w:rFonts w:asciiTheme="minorHAnsi" w:eastAsia="Calibri" w:hAnsiTheme="minorHAnsi" w:cstheme="minorHAnsi"/>
                <w:i/>
                <w:vertAlign w:val="subscript"/>
              </w:rPr>
              <w:t>j</w:t>
            </w:r>
            <w:r w:rsidRPr="00285D58">
              <w:rPr>
                <w:rFonts w:asciiTheme="minorHAnsi" w:eastAsia="Calibri" w:hAnsiTheme="minorHAnsi" w:cstheme="minorHAnsi"/>
                <w:i/>
              </w:rPr>
              <w:t>:</w:t>
            </w:r>
          </w:p>
        </w:tc>
        <w:tc>
          <w:tcPr>
            <w:tcW w:w="6095" w:type="dxa"/>
            <w:shd w:val="clear" w:color="auto" w:fill="auto"/>
          </w:tcPr>
          <w:p w14:paraId="5C2BD8D9"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 xml:space="preserve">Factor de ajuste correspondiente al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w:t>
            </w:r>
          </w:p>
        </w:tc>
      </w:tr>
      <w:tr w:rsidR="004A2CCE" w:rsidRPr="00285D58" w14:paraId="4E29E541" w14:textId="77777777" w:rsidTr="00242093">
        <w:tc>
          <w:tcPr>
            <w:tcW w:w="1798" w:type="dxa"/>
            <w:shd w:val="clear" w:color="auto" w:fill="auto"/>
          </w:tcPr>
          <w:p w14:paraId="1B0D1B13" w14:textId="77777777" w:rsidR="004A2CCE" w:rsidRPr="00285D58" w:rsidRDefault="004A2CCE" w:rsidP="008D1FFF">
            <w:pPr>
              <w:widowControl/>
              <w:spacing w:before="120" w:after="120" w:line="276" w:lineRule="auto"/>
              <w:jc w:val="both"/>
              <w:rPr>
                <w:rFonts w:asciiTheme="minorHAnsi" w:eastAsia="Calibri" w:hAnsiTheme="minorHAnsi" w:cstheme="minorHAnsi"/>
                <w:i/>
              </w:rPr>
            </w:pPr>
            <w:r w:rsidRPr="00285D58">
              <w:rPr>
                <w:rFonts w:asciiTheme="minorHAnsi" w:eastAsia="Calibri" w:hAnsiTheme="minorHAnsi" w:cstheme="minorHAnsi"/>
                <w:i/>
              </w:rPr>
              <w:t>j:</w:t>
            </w:r>
          </w:p>
        </w:tc>
        <w:tc>
          <w:tcPr>
            <w:tcW w:w="6095" w:type="dxa"/>
            <w:shd w:val="clear" w:color="auto" w:fill="auto"/>
          </w:tcPr>
          <w:p w14:paraId="60D45E13" w14:textId="77777777" w:rsidR="004A2CCE" w:rsidRPr="00285D58" w:rsidRDefault="004A2CCE" w:rsidP="008D1FFF">
            <w:pPr>
              <w:widowControl/>
              <w:spacing w:before="120" w:after="120" w:line="276" w:lineRule="auto"/>
              <w:jc w:val="both"/>
              <w:rPr>
                <w:rFonts w:asciiTheme="minorHAnsi" w:eastAsia="Calibri" w:hAnsiTheme="minorHAnsi" w:cstheme="minorHAnsi"/>
              </w:rPr>
            </w:pPr>
            <w:r w:rsidRPr="00285D58">
              <w:rPr>
                <w:rFonts w:asciiTheme="minorHAnsi" w:eastAsia="Calibri" w:hAnsiTheme="minorHAnsi" w:cstheme="minorHAnsi"/>
              </w:rPr>
              <w:t>N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Norte) y S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Sur)</w:t>
            </w:r>
          </w:p>
        </w:tc>
      </w:tr>
    </w:tbl>
    <w:p w14:paraId="384CCD19" w14:textId="77777777" w:rsidR="004A2CCE" w:rsidRPr="00285D58" w:rsidRDefault="004A2CCE" w:rsidP="00A3732C">
      <w:pPr>
        <w:widowControl/>
        <w:numPr>
          <w:ilvl w:val="0"/>
          <w:numId w:val="70"/>
        </w:numPr>
        <w:spacing w:before="240"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El factor de ajuste por inflación para </w:t>
      </w:r>
      <m:oMath>
        <m:sSub>
          <m:sSubPr>
            <m:ctrlPr>
              <w:rPr>
                <w:rFonts w:ascii="Cambria Math" w:eastAsia="Cambria Math" w:hAnsi="Cambria Math" w:cstheme="minorHAnsi"/>
              </w:rPr>
            </m:ctrlPr>
          </m:sSubPr>
          <m:e>
            <m:r>
              <w:rPr>
                <w:rFonts w:ascii="Cambria Math" w:eastAsia="Cambria Math" w:hAnsi="Cambria Math" w:cstheme="minorHAnsi"/>
              </w:rPr>
              <m:t>k</m:t>
            </m:r>
          </m:e>
          <m:sub>
            <m:r>
              <w:rPr>
                <w:rFonts w:ascii="Cambria Math" w:eastAsia="Cambria Math" w:hAnsi="Cambria Math" w:cstheme="minorHAnsi"/>
              </w:rPr>
              <m:t>j</m:t>
            </m:r>
          </m:sub>
        </m:sSub>
        <m:r>
          <w:rPr>
            <w:rFonts w:ascii="Cambria Math" w:eastAsia="Cambria Math" w:hAnsi="Cambria Math" w:cstheme="minorHAnsi"/>
          </w:rPr>
          <m:t xml:space="preserve"> </m:t>
        </m:r>
      </m:oMath>
      <w:r w:rsidRPr="00285D58">
        <w:rPr>
          <w:rFonts w:asciiTheme="minorHAnsi" w:eastAsia="Calibri" w:hAnsiTheme="minorHAnsi" w:cstheme="minorHAnsi"/>
        </w:rPr>
        <w:t xml:space="preserve">del numeral precedente, serán calculado para cada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 según las siguientes </w:t>
      </w:r>
      <w:sdt>
        <w:sdtPr>
          <w:rPr>
            <w:rFonts w:asciiTheme="minorHAnsi" w:hAnsiTheme="minorHAnsi" w:cstheme="minorHAnsi"/>
          </w:rPr>
          <w:tag w:val="goog_rdk_311"/>
          <w:id w:val="-2120519845"/>
        </w:sdtPr>
        <w:sdtContent/>
      </w:sdt>
      <w:sdt>
        <w:sdtPr>
          <w:rPr>
            <w:rFonts w:asciiTheme="minorHAnsi" w:hAnsiTheme="minorHAnsi" w:cstheme="minorHAnsi"/>
          </w:rPr>
          <w:tag w:val="goog_rdk_312"/>
          <w:id w:val="1416825238"/>
        </w:sdtPr>
        <w:sdtContent/>
      </w:sdt>
      <w:sdt>
        <w:sdtPr>
          <w:rPr>
            <w:rFonts w:asciiTheme="minorHAnsi" w:hAnsiTheme="minorHAnsi" w:cstheme="minorHAnsi"/>
          </w:rPr>
          <w:tag w:val="goog_rdk_313"/>
          <w:id w:val="258800517"/>
        </w:sdtPr>
        <w:sdtContent/>
      </w:sdt>
      <w:r w:rsidRPr="00285D58">
        <w:rPr>
          <w:rFonts w:asciiTheme="minorHAnsi" w:eastAsia="Calibri" w:hAnsiTheme="minorHAnsi" w:cstheme="minorHAnsi"/>
        </w:rPr>
        <w:t xml:space="preserve">fórmulas: </w:t>
      </w:r>
    </w:p>
    <w:p w14:paraId="756513CB" w14:textId="77777777" w:rsidR="004A2CCE" w:rsidRPr="00285D58" w:rsidRDefault="004A2CCE" w:rsidP="008D1FFF">
      <w:pPr>
        <w:widowControl/>
        <w:spacing w:before="240" w:line="276" w:lineRule="auto"/>
        <w:ind w:left="360"/>
        <w:jc w:val="both"/>
        <w:rPr>
          <w:rFonts w:asciiTheme="minorHAnsi" w:eastAsia="Calibri" w:hAnsiTheme="minorHAnsi" w:cstheme="minorHAnsi"/>
        </w:rPr>
      </w:pPr>
    </w:p>
    <w:p w14:paraId="41B5392C" w14:textId="77777777" w:rsidR="004A2CCE" w:rsidRPr="00285D58" w:rsidRDefault="00000000" w:rsidP="008D1FFF">
      <w:pPr>
        <w:widowControl/>
        <w:spacing w:before="240" w:after="160" w:line="276" w:lineRule="auto"/>
        <w:ind w:left="360"/>
        <w:contextualSpacing/>
        <w:jc w:val="both"/>
        <w:rPr>
          <w:rFonts w:asciiTheme="minorHAnsi" w:eastAsia="Aptos" w:hAnsiTheme="minorHAnsi" w:cstheme="minorHAnsi"/>
          <w:lang w:eastAsia="en-US"/>
        </w:rPr>
      </w:pPr>
      <m:oMathPara>
        <m:oMath>
          <m:sSub>
            <m:sSubPr>
              <m:ctrlPr>
                <w:rPr>
                  <w:rFonts w:ascii="Cambria Math" w:eastAsia="Aptos" w:hAnsi="Cambria Math" w:cstheme="minorHAnsi"/>
                  <w:i/>
                  <w:lang w:eastAsia="en-US"/>
                </w:rPr>
              </m:ctrlPr>
            </m:sSubPr>
            <m:e>
              <m:r>
                <w:rPr>
                  <w:rFonts w:ascii="Cambria Math" w:eastAsia="Aptos" w:hAnsi="Cambria Math" w:cstheme="minorHAnsi"/>
                  <w:lang w:eastAsia="en-US"/>
                </w:rPr>
                <m:t>k</m:t>
              </m:r>
            </m:e>
            <m:sub>
              <m:r>
                <w:rPr>
                  <w:rFonts w:ascii="Cambria Math" w:eastAsia="Aptos" w:hAnsi="Cambria Math" w:cstheme="minorHAnsi"/>
                  <w:lang w:eastAsia="en-US"/>
                </w:rPr>
                <m:t>j</m:t>
              </m:r>
            </m:sub>
          </m:sSub>
          <m:r>
            <w:rPr>
              <w:rFonts w:ascii="Cambria Math" w:eastAsia="Aptos" w:hAnsi="Cambria Math" w:cstheme="minorHAnsi"/>
              <w:lang w:eastAsia="en-US"/>
            </w:rPr>
            <m:t>=</m:t>
          </m:r>
          <m:nary>
            <m:naryPr>
              <m:chr m:val="∑"/>
              <m:limLoc m:val="undOvr"/>
              <m:ctrlPr>
                <w:rPr>
                  <w:rFonts w:ascii="Cambria Math" w:eastAsia="Aptos" w:hAnsi="Cambria Math" w:cstheme="minorHAnsi"/>
                  <w:i/>
                  <w:lang w:eastAsia="en-US"/>
                </w:rPr>
              </m:ctrlPr>
            </m:naryPr>
            <m:sub>
              <m:r>
                <w:rPr>
                  <w:rFonts w:ascii="Cambria Math" w:eastAsia="Aptos" w:hAnsi="Cambria Math" w:cstheme="minorHAnsi"/>
                  <w:lang w:eastAsia="en-US"/>
                </w:rPr>
                <m:t>i=1</m:t>
              </m:r>
            </m:sub>
            <m:sup>
              <m:r>
                <w:rPr>
                  <w:rFonts w:ascii="Cambria Math" w:eastAsia="Aptos" w:hAnsi="Cambria Math" w:cstheme="minorHAnsi"/>
                  <w:lang w:eastAsia="en-US"/>
                </w:rPr>
                <m:t>m</m:t>
              </m:r>
            </m:sup>
            <m:e>
              <m:sSub>
                <m:sSubPr>
                  <m:ctrlPr>
                    <w:rPr>
                      <w:rFonts w:ascii="Cambria Math" w:eastAsia="Aptos" w:hAnsi="Cambria Math" w:cstheme="minorHAnsi"/>
                      <w:i/>
                      <w:lang w:eastAsia="en-US"/>
                    </w:rPr>
                  </m:ctrlPr>
                </m:sSubPr>
                <m:e>
                  <m:r>
                    <w:rPr>
                      <w:rFonts w:ascii="Cambria Math" w:eastAsia="Aptos" w:hAnsi="Cambria Math" w:cstheme="minorHAnsi"/>
                      <w:lang w:eastAsia="en-US"/>
                    </w:rPr>
                    <m:t>k</m:t>
                  </m:r>
                </m:e>
                <m:sub>
                  <m:r>
                    <w:rPr>
                      <w:rFonts w:ascii="Cambria Math" w:eastAsia="Aptos" w:hAnsi="Cambria Math" w:cstheme="minorHAnsi"/>
                      <w:lang w:eastAsia="en-US"/>
                    </w:rPr>
                    <m:t>j,i</m:t>
                  </m:r>
                </m:sub>
              </m:sSub>
            </m:e>
          </m:nary>
        </m:oMath>
      </m:oMathPara>
    </w:p>
    <w:p w14:paraId="605F3283"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r w:rsidRPr="00285D58">
        <w:rPr>
          <w:rFonts w:asciiTheme="minorHAnsi" w:eastAsia="Aptos" w:hAnsiTheme="minorHAnsi" w:cstheme="minorHAnsi"/>
          <w:lang w:eastAsia="en-US"/>
        </w:rPr>
        <w:t>En donde:</w:t>
      </w:r>
    </w:p>
    <w:p w14:paraId="3F21AA26" w14:textId="77777777" w:rsidR="004A2CCE" w:rsidRPr="00285D58" w:rsidRDefault="004A2CCE" w:rsidP="008D1FFF">
      <w:pPr>
        <w:widowControl/>
        <w:spacing w:before="240" w:after="160" w:line="276" w:lineRule="auto"/>
        <w:ind w:left="-851" w:right="-518"/>
        <w:contextualSpacing/>
        <w:jc w:val="both"/>
        <w:rPr>
          <w:rFonts w:asciiTheme="minorHAnsi" w:eastAsia="Aptos" w:hAnsiTheme="minorHAnsi" w:cstheme="minorHAnsi"/>
          <w:lang w:eastAsia="en-US"/>
        </w:rPr>
      </w:pPr>
    </w:p>
    <w:p w14:paraId="0989567D" w14:textId="77777777" w:rsidR="004A2CCE" w:rsidRPr="00285D58" w:rsidRDefault="00000000" w:rsidP="008D1FFF">
      <w:pPr>
        <w:widowControl/>
        <w:spacing w:before="240" w:after="160" w:line="276" w:lineRule="auto"/>
        <w:ind w:left="-851" w:right="-518"/>
        <w:contextualSpacing/>
        <w:jc w:val="both"/>
        <w:rPr>
          <w:rFonts w:asciiTheme="minorHAnsi" w:eastAsia="Aptos" w:hAnsiTheme="minorHAnsi" w:cstheme="minorHAnsi"/>
          <w:sz w:val="20"/>
          <w:szCs w:val="20"/>
          <w:lang w:eastAsia="en-US"/>
        </w:rPr>
      </w:pPr>
      <m:oMathPara>
        <m:oMath>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k</m:t>
              </m:r>
            </m:e>
            <m:sub>
              <m:r>
                <w:rPr>
                  <w:rFonts w:ascii="Cambria Math" w:eastAsia="Aptos" w:hAnsi="Cambria Math" w:cstheme="minorHAnsi"/>
                  <w:sz w:val="20"/>
                  <w:szCs w:val="20"/>
                  <w:lang w:eastAsia="en-US"/>
                </w:rPr>
                <m:t>j,i</m:t>
              </m:r>
            </m:sub>
          </m:sSub>
          <m:r>
            <w:rPr>
              <w:rFonts w:ascii="Cambria Math" w:eastAsia="Aptos" w:hAnsi="Cambria Math" w:cstheme="minorHAnsi"/>
              <w:sz w:val="20"/>
              <w:szCs w:val="20"/>
              <w:lang w:eastAsia="en-US"/>
            </w:rPr>
            <m:t xml:space="preserve">= </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 avance</m:t>
              </m:r>
            </m:e>
            <m:sub>
              <m:r>
                <w:rPr>
                  <w:rFonts w:ascii="Cambria Math" w:eastAsia="Aptos" w:hAnsi="Cambria Math" w:cstheme="minorHAnsi"/>
                  <w:sz w:val="20"/>
                  <w:szCs w:val="20"/>
                  <w:lang w:eastAsia="en-US"/>
                </w:rPr>
                <m:t>i</m:t>
              </m:r>
            </m:sub>
          </m:sSub>
          <m:r>
            <w:rPr>
              <w:rFonts w:ascii="Cambria Math" w:eastAsia="Aptos" w:hAnsi="Cambria Math" w:cstheme="minorHAnsi"/>
              <w:sz w:val="20"/>
              <w:szCs w:val="20"/>
              <w:lang w:eastAsia="en-US"/>
            </w:rPr>
            <m:t>×</m:t>
          </m:r>
          <m:d>
            <m:dPr>
              <m:ctrlPr>
                <w:rPr>
                  <w:rFonts w:ascii="Cambria Math" w:eastAsia="Aptos" w:hAnsi="Cambria Math" w:cstheme="minorHAnsi"/>
                  <w:sz w:val="20"/>
                  <w:szCs w:val="20"/>
                  <w:lang w:eastAsia="en-US"/>
                </w:rPr>
              </m:ctrlPr>
            </m:dPr>
            <m:e>
              <m:r>
                <w:rPr>
                  <w:rFonts w:ascii="Cambria Math" w:eastAsia="Aptos" w:hAnsi="Cambria Math" w:cstheme="minorHAnsi"/>
                  <w:sz w:val="20"/>
                  <w:szCs w:val="20"/>
                  <w:lang w:eastAsia="en-US"/>
                </w:rPr>
                <m:t xml:space="preserve">%CF1×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i,F1</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of,F1</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1</m:t>
                  </m:r>
                </m:sub>
              </m:sSub>
              <m:r>
                <w:rPr>
                  <w:rFonts w:ascii="Cambria Math" w:eastAsia="Aptos" w:hAnsi="Cambria Math" w:cstheme="minorHAnsi"/>
                  <w:sz w:val="20"/>
                  <w:szCs w:val="20"/>
                  <w:lang w:eastAsia="en-US"/>
                </w:rPr>
                <m:t xml:space="preserve">+  %CF2×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i,F2</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of,F2</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2</m:t>
                  </m:r>
                </m:sub>
              </m:sSub>
              <m:r>
                <w:rPr>
                  <w:rFonts w:ascii="Cambria Math" w:eastAsia="Aptos" w:hAnsi="Cambria Math" w:cstheme="minorHAnsi"/>
                  <w:sz w:val="20"/>
                  <w:szCs w:val="20"/>
                  <w:lang w:eastAsia="en-US"/>
                </w:rPr>
                <m:t xml:space="preserve">+ %CF3×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i,F3</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of,F3</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3</m:t>
                  </m:r>
                </m:sub>
              </m:sSub>
              <m:r>
                <w:rPr>
                  <w:rFonts w:ascii="Cambria Math" w:eastAsia="Aptos" w:hAnsi="Cambria Math" w:cstheme="minorHAnsi"/>
                  <w:sz w:val="20"/>
                  <w:szCs w:val="20"/>
                  <w:lang w:eastAsia="en-US"/>
                </w:rPr>
                <m:t xml:space="preserve">+ … +%CFn× </m:t>
              </m:r>
              <m:f>
                <m:fPr>
                  <m:ctrlPr>
                    <w:rPr>
                      <w:rFonts w:ascii="Cambria Math" w:eastAsia="Aptos" w:hAnsi="Cambria Math" w:cstheme="minorHAnsi"/>
                      <w:sz w:val="20"/>
                      <w:szCs w:val="20"/>
                      <w:lang w:eastAsia="en-US"/>
                    </w:rPr>
                  </m:ctrlPr>
                </m:fPr>
                <m:num>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i,Fn</m:t>
                      </m:r>
                    </m:sub>
                  </m:sSub>
                </m:num>
                <m:den>
                  <m:sSub>
                    <m:sSubPr>
                      <m:ctrlPr>
                        <w:rPr>
                          <w:rFonts w:ascii="Cambria Math" w:eastAsia="Aptos" w:hAnsi="Cambria Math" w:cstheme="minorHAnsi"/>
                          <w:sz w:val="20"/>
                          <w:szCs w:val="20"/>
                          <w:lang w:eastAsia="en-US"/>
                        </w:rPr>
                      </m:ctrlPr>
                    </m:sSubPr>
                    <m:e>
                      <m:r>
                        <w:rPr>
                          <w:rFonts w:ascii="Cambria Math" w:eastAsia="Aptos" w:hAnsi="Cambria Math" w:cstheme="minorHAnsi"/>
                          <w:sz w:val="20"/>
                          <w:szCs w:val="20"/>
                          <w:lang w:eastAsia="en-US"/>
                        </w:rPr>
                        <m:t>IP</m:t>
                      </m:r>
                    </m:e>
                    <m:sub>
                      <m:r>
                        <w:rPr>
                          <w:rFonts w:ascii="Cambria Math" w:eastAsia="Aptos" w:hAnsi="Cambria Math" w:cstheme="minorHAnsi"/>
                          <w:sz w:val="20"/>
                          <w:szCs w:val="20"/>
                          <w:lang w:eastAsia="en-US"/>
                        </w:rPr>
                        <m:t>of,Fn</m:t>
                      </m:r>
                    </m:sub>
                  </m:sSub>
                </m:den>
              </m:f>
              <m:r>
                <w:rPr>
                  <w:rFonts w:ascii="Cambria Math" w:eastAsia="Aptos" w:hAnsi="Cambria Math" w:cstheme="minorHAnsi"/>
                  <w:sz w:val="20"/>
                  <w:szCs w:val="20"/>
                  <w:lang w:eastAsia="en-US"/>
                </w:rPr>
                <m:t>×T</m:t>
              </m:r>
              <m:sSub>
                <m:sSubPr>
                  <m:ctrlPr>
                    <w:rPr>
                      <w:rFonts w:ascii="Cambria Math" w:eastAsia="Aptos" w:hAnsi="Cambria Math" w:cstheme="minorHAnsi"/>
                      <w:i/>
                      <w:sz w:val="20"/>
                      <w:szCs w:val="20"/>
                      <w:lang w:eastAsia="en-US"/>
                    </w:rPr>
                  </m:ctrlPr>
                </m:sSubPr>
                <m:e>
                  <m:r>
                    <w:rPr>
                      <w:rFonts w:ascii="Cambria Math" w:eastAsia="Aptos" w:hAnsi="Cambria Math" w:cstheme="minorHAnsi"/>
                      <w:sz w:val="20"/>
                      <w:szCs w:val="20"/>
                      <w:lang w:eastAsia="en-US"/>
                    </w:rPr>
                    <m:t>C</m:t>
                  </m:r>
                </m:e>
                <m:sub>
                  <m:r>
                    <w:rPr>
                      <w:rFonts w:ascii="Cambria Math" w:eastAsia="Aptos" w:hAnsi="Cambria Math" w:cstheme="minorHAnsi"/>
                      <w:sz w:val="20"/>
                      <w:szCs w:val="20"/>
                      <w:lang w:eastAsia="en-US"/>
                    </w:rPr>
                    <m:t>n</m:t>
                  </m:r>
                </m:sub>
              </m:sSub>
            </m:e>
          </m:d>
        </m:oMath>
      </m:oMathPara>
    </w:p>
    <w:p w14:paraId="74C7B55A" w14:textId="77777777" w:rsidR="004A2CCE" w:rsidRPr="00285D58" w:rsidRDefault="004A2CCE" w:rsidP="008D1FFF">
      <w:pPr>
        <w:widowControl/>
        <w:spacing w:before="240" w:after="160" w:line="276" w:lineRule="auto"/>
        <w:ind w:left="-851"/>
        <w:contextualSpacing/>
        <w:jc w:val="both"/>
        <w:rPr>
          <w:rFonts w:asciiTheme="minorHAnsi" w:eastAsia="Aptos" w:hAnsiTheme="minorHAnsi" w:cstheme="minorHAnsi"/>
          <w:sz w:val="20"/>
          <w:szCs w:val="20"/>
          <w:lang w:eastAsia="en-US"/>
        </w:rPr>
      </w:pPr>
    </w:p>
    <w:p w14:paraId="2C852386"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lastRenderedPageBreak/>
        <w:t>Donde:</w:t>
      </w:r>
    </w:p>
    <w:p w14:paraId="0AB09FD4" w14:textId="77777777" w:rsidR="004A2CCE" w:rsidRPr="00285D58" w:rsidRDefault="004A2CCE" w:rsidP="008D1FFF">
      <w:pPr>
        <w:widowControl/>
        <w:spacing w:before="240" w:after="160" w:line="276" w:lineRule="auto"/>
        <w:ind w:left="-851"/>
        <w:contextualSpacing/>
        <w:jc w:val="both"/>
        <w:rPr>
          <w:rFonts w:asciiTheme="minorHAnsi" w:eastAsia="Aptos" w:hAnsiTheme="minorHAnsi" w:cstheme="minorHAnsi"/>
          <w:sz w:val="20"/>
          <w:szCs w:val="20"/>
          <w:lang w:eastAsia="en-US"/>
        </w:rPr>
      </w:pPr>
    </w:p>
    <w:tbl>
      <w:tblPr>
        <w:tblpPr w:leftFromText="141" w:rightFromText="141" w:vertAnchor="text" w:horzAnchor="page" w:tblpX="2251" w:tblpY="137"/>
        <w:tblW w:w="4999"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3" w:type="dxa"/>
          <w:bottom w:w="3" w:type="dxa"/>
        </w:tblCellMar>
        <w:tblLook w:val="04A0" w:firstRow="1" w:lastRow="0" w:firstColumn="1" w:lastColumn="0" w:noHBand="0" w:noVBand="1"/>
      </w:tblPr>
      <w:tblGrid>
        <w:gridCol w:w="1472"/>
        <w:gridCol w:w="7354"/>
      </w:tblGrid>
      <w:tr w:rsidR="004A2CCE" w:rsidRPr="00285D58" w14:paraId="3AE78FCA" w14:textId="77777777" w:rsidTr="00242093">
        <w:tc>
          <w:tcPr>
            <w:tcW w:w="834" w:type="pct"/>
          </w:tcPr>
          <w:p w14:paraId="34F03AD1" w14:textId="77777777" w:rsidR="004A2CCE" w:rsidRPr="00285D58" w:rsidRDefault="004A2CCE" w:rsidP="008D1FFF">
            <w:pPr>
              <w:widowControl/>
              <w:spacing w:after="240" w:line="276" w:lineRule="auto"/>
              <w:rPr>
                <w:rFonts w:asciiTheme="minorHAnsi" w:hAnsiTheme="minorHAnsi" w:cstheme="minorHAnsi"/>
                <w:lang w:eastAsia="en-US"/>
              </w:rPr>
            </w:pPr>
            <w:r w:rsidRPr="00285D58">
              <w:rPr>
                <w:rFonts w:asciiTheme="minorHAnsi" w:eastAsia="Aptos" w:hAnsiTheme="minorHAnsi" w:cstheme="minorHAnsi"/>
                <w:i/>
                <w:iCs/>
                <w:lang w:eastAsia="en-US"/>
              </w:rPr>
              <w:t>k</w:t>
            </w:r>
            <w:r w:rsidRPr="00285D58">
              <w:rPr>
                <w:rFonts w:asciiTheme="minorHAnsi" w:eastAsia="Aptos" w:hAnsiTheme="minorHAnsi" w:cstheme="minorHAnsi"/>
                <w:i/>
                <w:iCs/>
                <w:vertAlign w:val="subscript"/>
                <w:lang w:eastAsia="en-US"/>
              </w:rPr>
              <w:t>j</w:t>
            </w:r>
            <w:r w:rsidRPr="00285D58">
              <w:rPr>
                <w:rFonts w:asciiTheme="minorHAnsi" w:eastAsia="Aptos" w:hAnsiTheme="minorHAnsi" w:cstheme="minorHAnsi"/>
                <w:i/>
                <w:iCs/>
                <w:lang w:eastAsia="en-US"/>
              </w:rPr>
              <w:t>:</w:t>
            </w:r>
          </w:p>
        </w:tc>
        <w:tc>
          <w:tcPr>
            <w:tcW w:w="4166" w:type="pct"/>
            <w:hideMark/>
          </w:tcPr>
          <w:p w14:paraId="7F0D439B"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Calibri" w:hAnsiTheme="minorHAnsi" w:cstheme="minorHAnsi"/>
              </w:rPr>
              <w:t xml:space="preserve">Factor de ajuste correspondiente al </w:t>
            </w:r>
            <w:r w:rsidRPr="00285D58">
              <w:rPr>
                <w:rFonts w:asciiTheme="minorHAnsi" w:eastAsia="Calibri" w:hAnsiTheme="minorHAnsi" w:cstheme="minorHAnsi"/>
                <w:lang w:val="es-PE" w:eastAsia="en-US"/>
              </w:rPr>
              <w:t>Componente</w:t>
            </w:r>
            <w:r w:rsidRPr="00285D58">
              <w:rPr>
                <w:rFonts w:asciiTheme="minorHAnsi" w:eastAsia="Calibri" w:hAnsiTheme="minorHAnsi" w:cstheme="minorHAnsi"/>
              </w:rPr>
              <w:t xml:space="preserve"> j para el avance i.</w:t>
            </w:r>
          </w:p>
        </w:tc>
      </w:tr>
      <w:tr w:rsidR="004A2CCE" w:rsidRPr="00285D58" w14:paraId="045A762A" w14:textId="77777777" w:rsidTr="00242093">
        <w:trPr>
          <w:trHeight w:val="767"/>
        </w:trPr>
        <w:tc>
          <w:tcPr>
            <w:tcW w:w="834" w:type="pct"/>
          </w:tcPr>
          <w:p w14:paraId="6084033C" w14:textId="77777777"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%avance</w:t>
            </w:r>
            <w:r w:rsidRPr="00285D58">
              <w:rPr>
                <w:rFonts w:asciiTheme="minorHAnsi" w:eastAsia="Aptos" w:hAnsiTheme="minorHAnsi" w:cstheme="minorHAnsi"/>
                <w:i/>
                <w:iCs/>
                <w:vertAlign w:val="subscript"/>
                <w:lang w:eastAsia="en-US"/>
              </w:rPr>
              <w:t>i</w:t>
            </w:r>
            <w:r w:rsidRPr="00285D58">
              <w:rPr>
                <w:rFonts w:asciiTheme="minorHAnsi" w:eastAsia="Aptos" w:hAnsiTheme="minorHAnsi" w:cstheme="minorHAnsi"/>
                <w:i/>
                <w:iCs/>
                <w:lang w:eastAsia="en-US"/>
              </w:rPr>
              <w:t>:</w:t>
            </w:r>
          </w:p>
        </w:tc>
        <w:tc>
          <w:tcPr>
            <w:tcW w:w="4166" w:type="pct"/>
          </w:tcPr>
          <w:p w14:paraId="437D003F"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Porcentaje de cada avance semestral para el avance i.</w:t>
            </w:r>
          </w:p>
          <w:p w14:paraId="2D7F367F"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 % avance</w:t>
            </w:r>
            <w:r w:rsidRPr="00285D58">
              <w:rPr>
                <w:rFonts w:asciiTheme="minorHAnsi" w:eastAsia="Aptos" w:hAnsiTheme="minorHAnsi" w:cstheme="minorHAnsi"/>
                <w:vertAlign w:val="subscript"/>
                <w:lang w:val="es-PE" w:eastAsia="en-US"/>
              </w:rPr>
              <w:t>1</w:t>
            </w:r>
            <w:r w:rsidRPr="00285D58">
              <w:rPr>
                <w:rFonts w:asciiTheme="minorHAnsi" w:eastAsia="Aptos" w:hAnsiTheme="minorHAnsi" w:cstheme="minorHAnsi"/>
                <w:lang w:val="es-PE" w:eastAsia="en-US"/>
              </w:rPr>
              <w:t xml:space="preserve"> + %avance</w:t>
            </w:r>
            <w:r w:rsidRPr="00285D58">
              <w:rPr>
                <w:rFonts w:asciiTheme="minorHAnsi" w:eastAsia="Aptos" w:hAnsiTheme="minorHAnsi" w:cstheme="minorHAnsi"/>
                <w:vertAlign w:val="subscript"/>
                <w:lang w:val="es-PE" w:eastAsia="en-US"/>
              </w:rPr>
              <w:t xml:space="preserve">2 </w:t>
            </w:r>
            <w:r w:rsidRPr="00285D58">
              <w:rPr>
                <w:rFonts w:asciiTheme="minorHAnsi" w:eastAsia="Aptos" w:hAnsiTheme="minorHAnsi" w:cstheme="minorHAnsi"/>
                <w:lang w:val="es-PE" w:eastAsia="en-US"/>
              </w:rPr>
              <w:t>+ ... + %avance</w:t>
            </w:r>
            <w:r w:rsidRPr="00285D58">
              <w:rPr>
                <w:rFonts w:asciiTheme="minorHAnsi" w:eastAsia="Aptos" w:hAnsiTheme="minorHAnsi" w:cstheme="minorHAnsi"/>
                <w:vertAlign w:val="subscript"/>
                <w:lang w:val="es-PE" w:eastAsia="en-US"/>
              </w:rPr>
              <w:t xml:space="preserve">m </w:t>
            </w:r>
            <w:r w:rsidRPr="00285D58">
              <w:rPr>
                <w:rFonts w:asciiTheme="minorHAnsi" w:eastAsia="Aptos" w:hAnsiTheme="minorHAnsi" w:cstheme="minorHAnsi"/>
                <w:lang w:val="es-PE" w:eastAsia="en-US"/>
              </w:rPr>
              <w:t>= 100%</w:t>
            </w:r>
          </w:p>
        </w:tc>
      </w:tr>
      <w:tr w:rsidR="004A2CCE" w:rsidRPr="00285D58" w14:paraId="1FA62A77" w14:textId="77777777" w:rsidTr="00242093">
        <w:tc>
          <w:tcPr>
            <w:tcW w:w="834" w:type="pct"/>
          </w:tcPr>
          <w:p w14:paraId="1D73DC70" w14:textId="77777777" w:rsidR="004A2CCE" w:rsidRPr="00285D58" w:rsidRDefault="004A2CCE" w:rsidP="008D1FFF">
            <w:pPr>
              <w:widowControl/>
              <w:spacing w:after="240" w:line="276" w:lineRule="auto"/>
              <w:rPr>
                <w:rFonts w:asciiTheme="minorHAnsi" w:eastAsia="Times New Roman" w:hAnsiTheme="minorHAnsi" w:cstheme="minorHAnsi"/>
                <w:i/>
                <w:lang w:eastAsia="en-US"/>
              </w:rPr>
            </w:pPr>
            <w:r w:rsidRPr="00285D58">
              <w:rPr>
                <w:rFonts w:asciiTheme="minorHAnsi" w:eastAsia="Aptos" w:hAnsiTheme="minorHAnsi" w:cstheme="minorHAnsi"/>
                <w:i/>
                <w:iCs/>
                <w:lang w:eastAsia="en-US"/>
              </w:rPr>
              <w:t>i:</w:t>
            </w:r>
          </w:p>
        </w:tc>
        <w:tc>
          <w:tcPr>
            <w:tcW w:w="4166" w:type="pct"/>
            <w:hideMark/>
          </w:tcPr>
          <w:p w14:paraId="00DC6A7D"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Representa el número de avance en los periodos semestrales, respectivos.</w:t>
            </w:r>
          </w:p>
          <w:p w14:paraId="22EE00EC"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 i = 1, 2, ...., m</w:t>
            </w:r>
          </w:p>
        </w:tc>
      </w:tr>
      <w:tr w:rsidR="004A2CCE" w:rsidRPr="00285D58" w14:paraId="600DD42A" w14:textId="77777777" w:rsidTr="00242093">
        <w:tc>
          <w:tcPr>
            <w:tcW w:w="834" w:type="pct"/>
          </w:tcPr>
          <w:p w14:paraId="44B7D635" w14:textId="77777777" w:rsidR="004A2CCE" w:rsidRPr="00285D58" w:rsidRDefault="004A2CCE" w:rsidP="008D1FFF">
            <w:pPr>
              <w:widowControl/>
              <w:spacing w:after="240" w:line="276" w:lineRule="auto"/>
              <w:rPr>
                <w:rFonts w:asciiTheme="minorHAnsi" w:eastAsia="Times New Roman" w:hAnsiTheme="minorHAnsi" w:cstheme="minorHAnsi"/>
                <w:i/>
                <w:lang w:eastAsia="en-US"/>
              </w:rPr>
            </w:pPr>
            <w:r w:rsidRPr="00285D58">
              <w:rPr>
                <w:rFonts w:asciiTheme="minorHAnsi" w:eastAsia="Aptos" w:hAnsiTheme="minorHAnsi" w:cstheme="minorHAnsi"/>
                <w:i/>
                <w:iCs/>
                <w:lang w:eastAsia="en-US"/>
              </w:rPr>
              <w:t>%CFn:</w:t>
            </w:r>
          </w:p>
        </w:tc>
        <w:tc>
          <w:tcPr>
            <w:tcW w:w="4166" w:type="pct"/>
            <w:hideMark/>
          </w:tcPr>
          <w:p w14:paraId="5BA18F93"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Porcentaje del factor respecto al % de cada avance semestral. Los factores agrupan los insumos de costos. </w:t>
            </w:r>
          </w:p>
        </w:tc>
      </w:tr>
      <w:tr w:rsidR="004A2CCE" w:rsidRPr="00285D58" w14:paraId="0C22AFF3" w14:textId="77777777" w:rsidTr="00242093">
        <w:tc>
          <w:tcPr>
            <w:tcW w:w="834" w:type="pct"/>
          </w:tcPr>
          <w:p w14:paraId="0D914054" w14:textId="77777777" w:rsidR="004A2CCE" w:rsidRPr="00285D58" w:rsidRDefault="004A2CCE" w:rsidP="008D1FFF">
            <w:pPr>
              <w:widowControl/>
              <w:spacing w:after="240" w:line="276" w:lineRule="auto"/>
              <w:rPr>
                <w:rFonts w:asciiTheme="minorHAnsi" w:eastAsia="Calibri" w:hAnsiTheme="minorHAnsi" w:cstheme="minorHAnsi"/>
                <w:lang w:eastAsia="en-US"/>
              </w:rPr>
            </w:pPr>
            <w:r w:rsidRPr="00285D58">
              <w:rPr>
                <w:rFonts w:asciiTheme="minorHAnsi" w:eastAsia="Aptos" w:hAnsiTheme="minorHAnsi" w:cstheme="minorHAnsi"/>
                <w:i/>
                <w:iCs/>
                <w:lang w:eastAsia="en-US"/>
              </w:rPr>
              <w:t>n</w:t>
            </w:r>
          </w:p>
        </w:tc>
        <w:tc>
          <w:tcPr>
            <w:tcW w:w="4166" w:type="pct"/>
            <w:hideMark/>
          </w:tcPr>
          <w:p w14:paraId="185D8DAA" w14:textId="77777777" w:rsidR="004A2CCE" w:rsidRPr="00285D58" w:rsidRDefault="004A2CCE" w:rsidP="008D1FFF">
            <w:pPr>
              <w:widowControl/>
              <w:spacing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Representa el número factores que agrupan los insumos de costos. </w:t>
            </w:r>
          </w:p>
          <w:p w14:paraId="5810809B" w14:textId="77777777" w:rsidR="004A2CCE" w:rsidRPr="00285D58" w:rsidRDefault="004A2CCE" w:rsidP="008D1FFF">
            <w:pPr>
              <w:widowControl/>
              <w:spacing w:after="240" w:line="276" w:lineRule="auto"/>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n = 1, 2, ...., n</w:t>
            </w:r>
          </w:p>
        </w:tc>
      </w:tr>
      <w:tr w:rsidR="004A2CCE" w:rsidRPr="00285D58" w14:paraId="3502A9B2" w14:textId="77777777" w:rsidTr="00242093">
        <w:tc>
          <w:tcPr>
            <w:tcW w:w="834" w:type="pct"/>
          </w:tcPr>
          <w:p w14:paraId="29C4B780" w14:textId="77777777"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IP</w:t>
            </w:r>
            <w:r w:rsidRPr="00285D58">
              <w:rPr>
                <w:rFonts w:asciiTheme="minorHAnsi" w:eastAsia="Aptos" w:hAnsiTheme="minorHAnsi" w:cstheme="minorHAnsi"/>
                <w:i/>
                <w:iCs/>
                <w:vertAlign w:val="subscript"/>
                <w:lang w:eastAsia="en-US"/>
              </w:rPr>
              <w:t>i,Fn</w:t>
            </w:r>
            <w:r w:rsidRPr="00285D58">
              <w:rPr>
                <w:rFonts w:asciiTheme="minorHAnsi" w:eastAsia="Aptos" w:hAnsiTheme="minorHAnsi" w:cstheme="minorHAnsi"/>
                <w:i/>
                <w:iCs/>
                <w:lang w:eastAsia="en-US"/>
              </w:rPr>
              <w:t>:</w:t>
            </w:r>
          </w:p>
          <w:p w14:paraId="7AC06224" w14:textId="77777777" w:rsidR="004A2CCE" w:rsidRPr="00285D58" w:rsidRDefault="004A2CCE" w:rsidP="008D1FFF">
            <w:pPr>
              <w:widowControl/>
              <w:spacing w:after="240" w:line="276" w:lineRule="auto"/>
              <w:rPr>
                <w:rFonts w:asciiTheme="minorHAnsi" w:eastAsia="Aptos" w:hAnsiTheme="minorHAnsi" w:cstheme="minorHAnsi"/>
                <w:i/>
                <w:iCs/>
                <w:lang w:eastAsia="en-US"/>
              </w:rPr>
            </w:pPr>
          </w:p>
        </w:tc>
        <w:tc>
          <w:tcPr>
            <w:tcW w:w="4166" w:type="pct"/>
            <w:hideMark/>
          </w:tcPr>
          <w:p w14:paraId="41820B92"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Índice de Precios correspondiente al factor</w:t>
            </w:r>
            <w:r w:rsidRPr="00285D58">
              <w:rPr>
                <w:rFonts w:asciiTheme="minorHAnsi" w:eastAsia="Aptos" w:hAnsiTheme="minorHAnsi" w:cstheme="minorHAnsi"/>
                <w:vertAlign w:val="subscript"/>
                <w:lang w:eastAsia="en-US"/>
              </w:rPr>
              <w:t>n</w:t>
            </w:r>
            <w:r w:rsidRPr="00285D58">
              <w:rPr>
                <w:rFonts w:asciiTheme="minorHAnsi" w:eastAsia="Aptos" w:hAnsiTheme="minorHAnsi" w:cstheme="minorHAnsi"/>
                <w:lang w:eastAsia="en-US"/>
              </w:rPr>
              <w:t>. Se tomará en cuenta el valor del último índice mensual disponible a la fecha del término de cada avance en el periodo i.</w:t>
            </w:r>
          </w:p>
        </w:tc>
      </w:tr>
      <w:tr w:rsidR="004A2CCE" w:rsidRPr="00285D58" w14:paraId="7881F932" w14:textId="77777777" w:rsidTr="00242093">
        <w:tc>
          <w:tcPr>
            <w:tcW w:w="834" w:type="pct"/>
          </w:tcPr>
          <w:p w14:paraId="4234DA58" w14:textId="77777777" w:rsidR="004A2CCE" w:rsidRPr="00285D58" w:rsidRDefault="004A2CCE" w:rsidP="008D1FFF">
            <w:pPr>
              <w:widowControl/>
              <w:spacing w:after="240" w:line="276" w:lineRule="auto"/>
              <w:rPr>
                <w:rFonts w:asciiTheme="minorHAnsi" w:eastAsia="Arial MT" w:hAnsiTheme="minorHAnsi" w:cstheme="minorHAnsi"/>
                <w:lang w:eastAsia="en-US"/>
              </w:rPr>
            </w:pPr>
            <w:r w:rsidRPr="00285D58">
              <w:rPr>
                <w:rFonts w:asciiTheme="minorHAnsi" w:eastAsia="Aptos" w:hAnsiTheme="minorHAnsi" w:cstheme="minorHAnsi"/>
                <w:i/>
                <w:iCs/>
                <w:lang w:eastAsia="en-US"/>
              </w:rPr>
              <w:t>IP</w:t>
            </w:r>
            <w:r w:rsidRPr="00285D58">
              <w:rPr>
                <w:rFonts w:asciiTheme="minorHAnsi" w:eastAsia="Aptos" w:hAnsiTheme="minorHAnsi" w:cstheme="minorHAnsi"/>
                <w:i/>
                <w:iCs/>
                <w:vertAlign w:val="subscript"/>
                <w:lang w:eastAsia="en-US"/>
              </w:rPr>
              <w:t>of,Fn</w:t>
            </w:r>
            <w:r w:rsidRPr="00285D58">
              <w:rPr>
                <w:rFonts w:asciiTheme="minorHAnsi" w:eastAsia="Aptos" w:hAnsiTheme="minorHAnsi" w:cstheme="minorHAnsi"/>
                <w:i/>
                <w:iCs/>
                <w:lang w:eastAsia="en-US"/>
              </w:rPr>
              <w:t>:</w:t>
            </w:r>
          </w:p>
        </w:tc>
        <w:tc>
          <w:tcPr>
            <w:tcW w:w="4166" w:type="pct"/>
            <w:hideMark/>
          </w:tcPr>
          <w:p w14:paraId="00A94328" w14:textId="77777777"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Índice de Precios correspondiente al factor</w:t>
            </w:r>
            <w:r w:rsidRPr="00285D58">
              <w:rPr>
                <w:rFonts w:asciiTheme="minorHAnsi" w:eastAsia="Aptos" w:hAnsiTheme="minorHAnsi" w:cstheme="minorHAnsi"/>
                <w:vertAlign w:val="subscript"/>
                <w:lang w:eastAsia="en-US"/>
              </w:rPr>
              <w:t>n</w:t>
            </w:r>
            <w:r w:rsidRPr="00285D58">
              <w:rPr>
                <w:rFonts w:asciiTheme="minorHAnsi" w:eastAsia="Aptos" w:hAnsiTheme="minorHAnsi" w:cstheme="minorHAnsi"/>
                <w:lang w:eastAsia="en-US"/>
              </w:rPr>
              <w:t xml:space="preserve">. Se tomará en cuenta el valor del último índice mensual disponible a la fecha de la </w:t>
            </w:r>
            <w:r w:rsidRPr="00285D58">
              <w:rPr>
                <w:rFonts w:asciiTheme="minorHAnsi" w:hAnsiTheme="minorHAnsi" w:cstheme="minorHAnsi"/>
                <w:lang w:val="es-PE"/>
              </w:rPr>
              <w:t xml:space="preserve"> Buena Pro.</w:t>
            </w:r>
          </w:p>
        </w:tc>
      </w:tr>
      <w:tr w:rsidR="004A2CCE" w:rsidRPr="00285D58" w14:paraId="19C20F8D" w14:textId="77777777" w:rsidTr="00242093">
        <w:tc>
          <w:tcPr>
            <w:tcW w:w="834" w:type="pct"/>
          </w:tcPr>
          <w:p w14:paraId="2D41DEB0" w14:textId="7FD78F52" w:rsidR="004A2CCE" w:rsidRPr="00285D58" w:rsidRDefault="004A2CCE"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TC</w:t>
            </w:r>
            <w:r w:rsidRPr="00285D58">
              <w:rPr>
                <w:rFonts w:asciiTheme="minorHAnsi" w:eastAsia="Aptos" w:hAnsiTheme="minorHAnsi" w:cstheme="minorHAnsi"/>
                <w:i/>
                <w:iCs/>
                <w:vertAlign w:val="subscript"/>
                <w:lang w:eastAsia="en-US"/>
              </w:rPr>
              <w:t>i</w:t>
            </w:r>
          </w:p>
        </w:tc>
        <w:tc>
          <w:tcPr>
            <w:tcW w:w="4166" w:type="pct"/>
          </w:tcPr>
          <w:p w14:paraId="5308DE21" w14:textId="295AB736"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Factor de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para el factor n del avance semestral i.</w:t>
            </w:r>
          </w:p>
          <w:p w14:paraId="163E69D0" w14:textId="1833692A"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Si la variación del costo de inversión de un factor está asociado al Dólar, el factor del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será 1.</w:t>
            </w:r>
          </w:p>
          <w:p w14:paraId="736E1186" w14:textId="07561BDF" w:rsidR="004A2CCE" w:rsidRPr="00285D58" w:rsidRDefault="004A2CCE" w:rsidP="008D1FFF">
            <w:pPr>
              <w:widowControl/>
              <w:spacing w:after="240" w:line="276" w:lineRule="auto"/>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Si la variación del costo de inversión de un factor está asociado a Soles o una moneda distinta al Dólar, deberá considerarse el factor del </w:t>
            </w:r>
            <w:r w:rsidR="00567D5A" w:rsidRPr="00285D58">
              <w:rPr>
                <w:rFonts w:asciiTheme="minorHAnsi" w:eastAsia="Aptos" w:hAnsiTheme="minorHAnsi" w:cstheme="minorHAnsi"/>
                <w:lang w:eastAsia="en-US"/>
              </w:rPr>
              <w:t>Tipo de Cambio</w:t>
            </w:r>
            <w:r w:rsidRPr="00285D58">
              <w:rPr>
                <w:rFonts w:asciiTheme="minorHAnsi" w:eastAsia="Aptos" w:hAnsiTheme="minorHAnsi" w:cstheme="minorHAnsi"/>
                <w:lang w:eastAsia="en-US"/>
              </w:rPr>
              <w:t xml:space="preserve"> como sigue:</w:t>
            </w:r>
          </w:p>
          <w:p w14:paraId="5AD62EE8" w14:textId="6D35A458" w:rsidR="00E86953" w:rsidRPr="00285D58" w:rsidRDefault="00E86953" w:rsidP="008D1FFF">
            <w:pPr>
              <w:widowControl/>
              <w:spacing w:after="240" w:line="276" w:lineRule="auto"/>
              <w:jc w:val="both"/>
              <w:rPr>
                <w:rFonts w:asciiTheme="minorHAnsi" w:eastAsia="Aptos" w:hAnsiTheme="minorHAnsi" w:cstheme="minorHAnsi"/>
                <w:lang w:eastAsia="en-US"/>
              </w:rPr>
            </w:pPr>
          </w:p>
          <w:p w14:paraId="60A32E06" w14:textId="0BA22D69" w:rsidR="004A2CCE" w:rsidRPr="00285D58" w:rsidRDefault="00000000" w:rsidP="008D1FFF">
            <w:pPr>
              <w:widowControl/>
              <w:spacing w:after="240" w:line="276" w:lineRule="auto"/>
              <w:ind w:left="360"/>
              <w:jc w:val="both"/>
              <w:rPr>
                <w:rFonts w:asciiTheme="minorHAnsi" w:eastAsia="Aptos" w:hAnsiTheme="minorHAnsi" w:cstheme="minorHAnsi"/>
                <w:lang w:eastAsia="en-US"/>
              </w:rPr>
            </w:pPr>
            <m:oMath>
              <m:f>
                <m:fPr>
                  <m:ctrlPr>
                    <w:rPr>
                      <w:rFonts w:ascii="Cambria Math" w:eastAsia="Aptos" w:hAnsi="Cambria Math" w:cstheme="minorHAnsi"/>
                      <w:lang w:eastAsia="en-US"/>
                    </w:rPr>
                  </m:ctrlPr>
                </m:fPr>
                <m:num>
                  <m:sSub>
                    <m:sSubPr>
                      <m:ctrlPr>
                        <w:rPr>
                          <w:rFonts w:ascii="Cambria Math" w:eastAsia="Aptos" w:hAnsi="Cambria Math" w:cstheme="minorHAnsi"/>
                          <w:lang w:eastAsia="en-US"/>
                        </w:rPr>
                      </m:ctrlPr>
                    </m:sSubPr>
                    <m:e>
                      <m:r>
                        <w:rPr>
                          <w:rFonts w:ascii="Cambria Math" w:eastAsia="Aptos" w:hAnsi="Cambria Math" w:cstheme="minorHAnsi"/>
                          <w:lang w:eastAsia="en-US"/>
                        </w:rPr>
                        <m:t>TC</m:t>
                      </m:r>
                    </m:e>
                    <m:sub>
                      <m:r>
                        <w:rPr>
                          <w:rFonts w:ascii="Cambria Math" w:eastAsia="Aptos" w:hAnsi="Cambria Math" w:cstheme="minorHAnsi"/>
                          <w:lang w:eastAsia="en-US"/>
                        </w:rPr>
                        <m:t>of,Fn</m:t>
                      </m:r>
                    </m:sub>
                  </m:sSub>
                </m:num>
                <m:den>
                  <m:sSub>
                    <m:sSubPr>
                      <m:ctrlPr>
                        <w:rPr>
                          <w:rFonts w:ascii="Cambria Math" w:eastAsia="Aptos" w:hAnsi="Cambria Math" w:cstheme="minorHAnsi"/>
                          <w:lang w:eastAsia="en-US"/>
                        </w:rPr>
                      </m:ctrlPr>
                    </m:sSubPr>
                    <m:e>
                      <m:r>
                        <w:rPr>
                          <w:rFonts w:ascii="Cambria Math" w:eastAsia="Aptos" w:hAnsi="Cambria Math" w:cstheme="minorHAnsi"/>
                          <w:lang w:eastAsia="en-US"/>
                        </w:rPr>
                        <m:t>TC</m:t>
                      </m:r>
                    </m:e>
                    <m:sub>
                      <m:r>
                        <w:rPr>
                          <w:rFonts w:ascii="Cambria Math" w:eastAsia="Aptos" w:hAnsi="Cambria Math" w:cstheme="minorHAnsi"/>
                          <w:lang w:eastAsia="en-US"/>
                        </w:rPr>
                        <m:t>s,Fn</m:t>
                      </m:r>
                    </m:sub>
                  </m:sSub>
                </m:den>
              </m:f>
            </m:oMath>
            <w:r w:rsidR="004A2CCE" w:rsidRPr="00285D58">
              <w:rPr>
                <w:rFonts w:asciiTheme="minorHAnsi" w:eastAsia="Aptos" w:hAnsiTheme="minorHAnsi" w:cstheme="minorHAnsi"/>
                <w:lang w:eastAsia="en-US"/>
              </w:rPr>
              <w:t>.</w:t>
            </w:r>
          </w:p>
          <w:p w14:paraId="6F298F31"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Donde:</w:t>
            </w:r>
          </w:p>
          <w:p w14:paraId="28674409"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p>
          <w:tbl>
            <w:tblPr>
              <w:tblpPr w:leftFromText="141" w:rightFromText="141" w:vertAnchor="text" w:horzAnchor="margin" w:tblpY="-322"/>
              <w:tblOverlap w:val="never"/>
              <w:tblW w:w="4999" w:type="pct"/>
              <w:tblCellMar>
                <w:top w:w="3" w:type="dxa"/>
                <w:bottom w:w="3" w:type="dxa"/>
              </w:tblCellMar>
              <w:tblLook w:val="04A0" w:firstRow="1" w:lastRow="0" w:firstColumn="1" w:lastColumn="0" w:noHBand="0" w:noVBand="1"/>
            </w:tblPr>
            <w:tblGrid>
              <w:gridCol w:w="1190"/>
              <w:gridCol w:w="5947"/>
            </w:tblGrid>
            <w:tr w:rsidR="00E86953" w:rsidRPr="00285D58" w14:paraId="07FDC290" w14:textId="77777777" w:rsidTr="00E86953">
              <w:tc>
                <w:tcPr>
                  <w:tcW w:w="834" w:type="pct"/>
                </w:tcPr>
                <w:p w14:paraId="4FAEEE28" w14:textId="35FEAD00" w:rsidR="00E86953" w:rsidRPr="00285D58" w:rsidRDefault="00E86953"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lastRenderedPageBreak/>
                    <w:t>TC</w:t>
                  </w:r>
                  <w:r w:rsidRPr="00285D58">
                    <w:rPr>
                      <w:rFonts w:asciiTheme="minorHAnsi" w:eastAsia="Aptos" w:hAnsiTheme="minorHAnsi" w:cstheme="minorHAnsi"/>
                      <w:i/>
                      <w:iCs/>
                      <w:vertAlign w:val="subscript"/>
                      <w:lang w:eastAsia="en-US"/>
                    </w:rPr>
                    <w:t>of,Fn</w:t>
                  </w:r>
                  <w:r w:rsidRPr="00285D58">
                    <w:rPr>
                      <w:rFonts w:asciiTheme="minorHAnsi" w:eastAsia="Aptos" w:hAnsiTheme="minorHAnsi" w:cstheme="minorHAnsi"/>
                      <w:i/>
                      <w:iCs/>
                      <w:lang w:eastAsia="en-US"/>
                    </w:rPr>
                    <w:t>:</w:t>
                  </w:r>
                </w:p>
              </w:tc>
              <w:tc>
                <w:tcPr>
                  <w:tcW w:w="4166" w:type="pct"/>
                  <w:hideMark/>
                </w:tcPr>
                <w:p w14:paraId="04F361DB" w14:textId="0D77E28D" w:rsidR="00E86953" w:rsidRPr="00285D58" w:rsidRDefault="00567D5A" w:rsidP="008D1FFF">
                  <w:pPr>
                    <w:widowControl/>
                    <w:spacing w:after="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Tipo de Cambio</w:t>
                  </w:r>
                  <w:r w:rsidR="00E86953" w:rsidRPr="00285D58">
                    <w:rPr>
                      <w:rFonts w:asciiTheme="minorHAnsi" w:eastAsia="Aptos" w:hAnsiTheme="minorHAnsi" w:cstheme="minorHAnsi"/>
                      <w:lang w:eastAsia="en-US"/>
                    </w:rPr>
                    <w:t xml:space="preserve"> para la conversión de una moneda a Dólares, disponible a la fecha de </w:t>
                  </w:r>
                  <w:r w:rsidR="003C3A5F" w:rsidRPr="00285D58">
                    <w:rPr>
                      <w:rFonts w:asciiTheme="minorHAnsi" w:eastAsia="Aptos" w:hAnsiTheme="minorHAnsi" w:cstheme="minorHAnsi"/>
                      <w:lang w:eastAsia="en-US"/>
                    </w:rPr>
                    <w:t xml:space="preserve">la </w:t>
                  </w:r>
                  <w:r w:rsidR="003C3A5F" w:rsidRPr="00285D58">
                    <w:rPr>
                      <w:rFonts w:asciiTheme="minorHAnsi" w:hAnsiTheme="minorHAnsi" w:cstheme="minorHAnsi"/>
                      <w:lang w:val="es-PE"/>
                    </w:rPr>
                    <w:t>Buena</w:t>
                  </w:r>
                  <w:r w:rsidR="00E86953" w:rsidRPr="00285D58">
                    <w:rPr>
                      <w:rFonts w:asciiTheme="minorHAnsi" w:hAnsiTheme="minorHAnsi" w:cstheme="minorHAnsi"/>
                      <w:lang w:val="es-PE"/>
                    </w:rPr>
                    <w:t xml:space="preserve"> Pro</w:t>
                  </w:r>
                  <w:r w:rsidR="00E86953" w:rsidRPr="00285D58">
                    <w:rPr>
                      <w:rFonts w:asciiTheme="minorHAnsi" w:eastAsia="Aptos" w:hAnsiTheme="minorHAnsi" w:cstheme="minorHAnsi"/>
                      <w:lang w:eastAsia="en-US"/>
                    </w:rPr>
                    <w:t>.</w:t>
                  </w:r>
                </w:p>
              </w:tc>
            </w:tr>
            <w:tr w:rsidR="00E86953" w:rsidRPr="00285D58" w14:paraId="2E3A3F32" w14:textId="77777777" w:rsidTr="00E86953">
              <w:tc>
                <w:tcPr>
                  <w:tcW w:w="834" w:type="pct"/>
                </w:tcPr>
                <w:p w14:paraId="74EFC4E7" w14:textId="77777777" w:rsidR="00E86953" w:rsidRPr="00285D58" w:rsidRDefault="00E86953" w:rsidP="008D1FFF">
                  <w:pPr>
                    <w:widowControl/>
                    <w:spacing w:after="240" w:line="276" w:lineRule="auto"/>
                    <w:rPr>
                      <w:rFonts w:asciiTheme="minorHAnsi" w:eastAsia="Aptos" w:hAnsiTheme="minorHAnsi" w:cstheme="minorHAnsi"/>
                      <w:i/>
                      <w:iCs/>
                      <w:lang w:eastAsia="en-US"/>
                    </w:rPr>
                  </w:pPr>
                  <w:r w:rsidRPr="00285D58">
                    <w:rPr>
                      <w:rFonts w:asciiTheme="minorHAnsi" w:eastAsia="Aptos" w:hAnsiTheme="minorHAnsi" w:cstheme="minorHAnsi"/>
                      <w:i/>
                      <w:iCs/>
                      <w:lang w:eastAsia="en-US"/>
                    </w:rPr>
                    <w:t>TC</w:t>
                  </w:r>
                  <w:r w:rsidRPr="00285D58">
                    <w:rPr>
                      <w:rFonts w:asciiTheme="minorHAnsi" w:eastAsia="Aptos" w:hAnsiTheme="minorHAnsi" w:cstheme="minorHAnsi"/>
                      <w:i/>
                      <w:iCs/>
                      <w:vertAlign w:val="subscript"/>
                      <w:lang w:eastAsia="en-US"/>
                    </w:rPr>
                    <w:t>s,Fn</w:t>
                  </w:r>
                  <w:r w:rsidRPr="00285D58">
                    <w:rPr>
                      <w:rFonts w:asciiTheme="minorHAnsi" w:eastAsia="Aptos" w:hAnsiTheme="minorHAnsi" w:cstheme="minorHAnsi"/>
                      <w:i/>
                      <w:iCs/>
                      <w:lang w:eastAsia="en-US"/>
                    </w:rPr>
                    <w:t>:</w:t>
                  </w:r>
                </w:p>
                <w:p w14:paraId="2D1DC40A" w14:textId="2F734A22" w:rsidR="00E86953" w:rsidRPr="00285D58" w:rsidRDefault="00E86953" w:rsidP="008D1FFF">
                  <w:pPr>
                    <w:widowControl/>
                    <w:spacing w:after="240" w:line="276" w:lineRule="auto"/>
                    <w:rPr>
                      <w:rFonts w:asciiTheme="minorHAnsi" w:eastAsia="Arial MT" w:hAnsiTheme="minorHAnsi" w:cstheme="minorHAnsi"/>
                      <w:lang w:eastAsia="en-US"/>
                    </w:rPr>
                  </w:pPr>
                </w:p>
              </w:tc>
              <w:tc>
                <w:tcPr>
                  <w:tcW w:w="4166" w:type="pct"/>
                  <w:hideMark/>
                </w:tcPr>
                <w:p w14:paraId="69F6702C" w14:textId="4B3AF8F7" w:rsidR="00E86953" w:rsidRPr="00285D58" w:rsidRDefault="00567D5A" w:rsidP="00242093">
                  <w:pPr>
                    <w:widowControl/>
                    <w:spacing w:after="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Tipo de Cambio</w:t>
                  </w:r>
                  <w:r w:rsidR="00E86953" w:rsidRPr="00285D58">
                    <w:rPr>
                      <w:rFonts w:asciiTheme="minorHAnsi" w:eastAsia="Aptos" w:hAnsiTheme="minorHAnsi" w:cstheme="minorHAnsi"/>
                      <w:lang w:eastAsia="en-US"/>
                    </w:rPr>
                    <w:t xml:space="preserve"> para la conversión de una moneda a Dólares, disponible al último </w:t>
                  </w:r>
                  <w:r w:rsidR="00242093" w:rsidRPr="00285D58">
                    <w:rPr>
                      <w:rFonts w:asciiTheme="minorHAnsi" w:eastAsia="Aptos" w:hAnsiTheme="minorHAnsi" w:cstheme="minorHAnsi"/>
                      <w:lang w:eastAsia="en-US"/>
                    </w:rPr>
                    <w:t>D</w:t>
                  </w:r>
                  <w:r w:rsidR="00E86953" w:rsidRPr="00285D58">
                    <w:rPr>
                      <w:rFonts w:asciiTheme="minorHAnsi" w:eastAsia="Aptos" w:hAnsiTheme="minorHAnsi" w:cstheme="minorHAnsi"/>
                      <w:lang w:eastAsia="en-US"/>
                    </w:rPr>
                    <w:t>ía al mes previo a la fecha de término de cada avance en el periodo s.</w:t>
                  </w:r>
                </w:p>
              </w:tc>
            </w:tr>
          </w:tbl>
          <w:p w14:paraId="6D02A6B3" w14:textId="77777777" w:rsidR="004A2CCE" w:rsidRPr="00285D58" w:rsidRDefault="004A2CCE" w:rsidP="008D1FFF">
            <w:pPr>
              <w:widowControl/>
              <w:spacing w:after="240" w:line="276" w:lineRule="auto"/>
              <w:ind w:left="360"/>
              <w:jc w:val="both"/>
              <w:rPr>
                <w:rFonts w:asciiTheme="minorHAnsi" w:eastAsia="Aptos" w:hAnsiTheme="minorHAnsi" w:cstheme="minorHAnsi"/>
                <w:lang w:eastAsia="en-US"/>
              </w:rPr>
            </w:pPr>
          </w:p>
        </w:tc>
      </w:tr>
    </w:tbl>
    <w:p w14:paraId="44DB44B4"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p>
    <w:p w14:paraId="2AE774E0" w14:textId="77777777" w:rsidR="004A2CCE" w:rsidRPr="00285D58" w:rsidRDefault="004A2CCE" w:rsidP="008D1FFF">
      <w:pPr>
        <w:widowControl/>
        <w:spacing w:before="240" w:after="160" w:line="276" w:lineRule="auto"/>
        <w:ind w:left="360"/>
        <w:contextualSpacing/>
        <w:jc w:val="both"/>
        <w:rPr>
          <w:rFonts w:asciiTheme="minorHAnsi" w:eastAsia="Aptos" w:hAnsiTheme="minorHAnsi" w:cstheme="minorHAnsi"/>
          <w:lang w:eastAsia="en-US"/>
        </w:rPr>
      </w:pPr>
    </w:p>
    <w:p w14:paraId="0C7B73CB" w14:textId="77777777" w:rsidR="004A2CCE" w:rsidRPr="00285D58" w:rsidRDefault="004A2CCE" w:rsidP="008D1FFF">
      <w:pPr>
        <w:widowControl/>
        <w:spacing w:before="240"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 </w:t>
      </w:r>
    </w:p>
    <w:p w14:paraId="7715F1FC" w14:textId="77777777" w:rsidR="004A2CCE" w:rsidRPr="00285D58" w:rsidRDefault="004A2CCE" w:rsidP="008D1FFF">
      <w:pPr>
        <w:widowControl/>
        <w:spacing w:before="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 xml:space="preserve">El </w:t>
      </w:r>
      <w:r w:rsidRPr="00285D58">
        <w:rPr>
          <w:rFonts w:asciiTheme="minorHAnsi" w:eastAsia="Calibri" w:hAnsiTheme="minorHAnsi" w:cstheme="minorHAnsi"/>
        </w:rPr>
        <w:t xml:space="preserve">factor de ajuste por inflación </w:t>
      </w:r>
      <w:r w:rsidRPr="00285D58">
        <w:rPr>
          <w:rFonts w:asciiTheme="minorHAnsi" w:eastAsia="Aptos" w:hAnsiTheme="minorHAnsi" w:cstheme="minorHAnsi"/>
          <w:lang w:eastAsia="en-US"/>
        </w:rPr>
        <w:t>k</w:t>
      </w:r>
      <w:r w:rsidRPr="00285D58">
        <w:rPr>
          <w:rFonts w:asciiTheme="minorHAnsi" w:eastAsia="Aptos" w:hAnsiTheme="minorHAnsi" w:cstheme="minorHAnsi"/>
          <w:vertAlign w:val="subscript"/>
          <w:lang w:eastAsia="en-US"/>
        </w:rPr>
        <w:t>j</w:t>
      </w:r>
      <w:r w:rsidRPr="00285D58">
        <w:rPr>
          <w:rFonts w:asciiTheme="minorHAnsi" w:eastAsia="Calibri" w:hAnsiTheme="minorHAnsi" w:cstheme="minorHAnsi"/>
        </w:rPr>
        <w:t xml:space="preserve">, en el caso de los costos asociados a la fabricación de los Teleféricos de los componentes Norte y Sur, </w:t>
      </w:r>
      <w:r w:rsidRPr="00285D58">
        <w:rPr>
          <w:rFonts w:asciiTheme="minorHAnsi" w:eastAsia="Aptos" w:hAnsiTheme="minorHAnsi" w:cstheme="minorHAnsi"/>
          <w:lang w:eastAsia="en-US"/>
        </w:rPr>
        <w:t>solo deberá considerar los costos de Inversión remunerados mediante el PPD. En ese sentido, deberá sustraer de las partidas de los EDI correspondientes el equivalente del costo pagado con PPO.</w:t>
      </w:r>
    </w:p>
    <w:p w14:paraId="1FF13614" w14:textId="77777777" w:rsidR="004A2CCE" w:rsidRPr="00285D58" w:rsidRDefault="004A2CCE" w:rsidP="008D1FFF">
      <w:pPr>
        <w:widowControl/>
        <w:spacing w:before="240"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El factor de ajuste por inflación k</w:t>
      </w:r>
      <w:r w:rsidRPr="00285D58">
        <w:rPr>
          <w:rFonts w:asciiTheme="minorHAnsi" w:eastAsia="Aptos" w:hAnsiTheme="minorHAnsi" w:cstheme="minorHAnsi"/>
          <w:vertAlign w:val="subscript"/>
          <w:lang w:eastAsia="en-US"/>
        </w:rPr>
        <w:t>j,i</w:t>
      </w:r>
      <w:r w:rsidRPr="00285D58">
        <w:rPr>
          <w:rFonts w:asciiTheme="minorHAnsi" w:eastAsia="Calibri" w:hAnsiTheme="minorHAnsi" w:cstheme="minorHAnsi"/>
        </w:rPr>
        <w:t xml:space="preserve">, </w:t>
      </w:r>
      <w:r w:rsidRPr="00285D58">
        <w:rPr>
          <w:rFonts w:asciiTheme="minorHAnsi" w:eastAsia="Aptos" w:hAnsiTheme="minorHAnsi" w:cstheme="minorHAnsi"/>
          <w:lang w:eastAsia="en-US"/>
        </w:rPr>
        <w:t xml:space="preserve">debe considerar para cada factor “n” un índice de precios “IP” consistente con la moneda en la que se determina el costo de inversión de dicho factor. </w:t>
      </w:r>
    </w:p>
    <w:p w14:paraId="03B4558A"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3842526B"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r w:rsidRPr="00285D58">
        <w:rPr>
          <w:rFonts w:asciiTheme="minorHAnsi" w:eastAsia="Aptos" w:hAnsiTheme="minorHAnsi" w:cstheme="minorHAnsi"/>
          <w:lang w:eastAsia="en-US"/>
        </w:rPr>
        <w:t>Por otro lado, para la determinación del %avance</w:t>
      </w:r>
      <w:r w:rsidRPr="00285D58">
        <w:rPr>
          <w:rFonts w:asciiTheme="minorHAnsi" w:eastAsia="Aptos" w:hAnsiTheme="minorHAnsi" w:cstheme="minorHAnsi"/>
          <w:vertAlign w:val="subscript"/>
          <w:lang w:eastAsia="en-US"/>
        </w:rPr>
        <w:t>i</w:t>
      </w:r>
      <w:r w:rsidRPr="00285D58">
        <w:rPr>
          <w:rFonts w:asciiTheme="minorHAnsi" w:eastAsia="Aptos" w:hAnsiTheme="minorHAnsi" w:cstheme="minorHAnsi"/>
          <w:i/>
          <w:iCs/>
          <w:lang w:eastAsia="en-US"/>
        </w:rPr>
        <w:t xml:space="preserve"> y el %CFn</w:t>
      </w:r>
      <w:r w:rsidRPr="00285D58">
        <w:rPr>
          <w:rFonts w:asciiTheme="minorHAnsi" w:eastAsia="Aptos" w:hAnsiTheme="minorHAnsi" w:cstheme="minorHAnsi"/>
          <w:lang w:eastAsia="en-US"/>
        </w:rPr>
        <w:t xml:space="preserve"> del avance semestral correspondiente, se expresarán todos los costos en Dólares tomando como referencia los tipos de cambios publicados por la Superintendencia de Banca, Seguros y AFP (SBS), para las monedas correspondientes, a la fecha de aprobación del EDI del componente respectivo.</w:t>
      </w:r>
    </w:p>
    <w:p w14:paraId="6360B10E" w14:textId="77777777" w:rsidR="004A2CCE" w:rsidRPr="00285D58" w:rsidRDefault="004A2CCE" w:rsidP="008D1FFF">
      <w:pPr>
        <w:widowControl/>
        <w:spacing w:line="276" w:lineRule="auto"/>
        <w:ind w:left="360"/>
        <w:jc w:val="both"/>
        <w:rPr>
          <w:rFonts w:asciiTheme="minorHAnsi" w:eastAsia="Aptos" w:hAnsiTheme="minorHAnsi" w:cstheme="minorHAnsi"/>
          <w:lang w:eastAsia="en-US"/>
        </w:rPr>
      </w:pPr>
    </w:p>
    <w:p w14:paraId="0F754C4B"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b/>
        </w:rPr>
      </w:pPr>
      <w:r w:rsidRPr="00285D58">
        <w:rPr>
          <w:rFonts w:asciiTheme="minorHAnsi" w:eastAsia="Calibri" w:hAnsiTheme="minorHAnsi" w:cstheme="minorHAnsi"/>
        </w:rPr>
        <w:t xml:space="preserve">A efectos de ajustar el PPD1 por variación de precios se tomarán en cuenta el siguiente </w:t>
      </w:r>
      <w:sdt>
        <w:sdtPr>
          <w:rPr>
            <w:rFonts w:asciiTheme="minorHAnsi" w:hAnsiTheme="minorHAnsi" w:cstheme="minorHAnsi"/>
          </w:rPr>
          <w:tag w:val="goog_rdk_318"/>
          <w:id w:val="589975407"/>
        </w:sdtPr>
        <w:sdtContent/>
      </w:sdt>
      <w:sdt>
        <w:sdtPr>
          <w:rPr>
            <w:rFonts w:asciiTheme="minorHAnsi" w:hAnsiTheme="minorHAnsi" w:cstheme="minorHAnsi"/>
          </w:rPr>
          <w:tag w:val="goog_rdk_319"/>
          <w:id w:val="-1121907718"/>
        </w:sdtPr>
        <w:sdtContent/>
      </w:sdt>
      <w:sdt>
        <w:sdtPr>
          <w:rPr>
            <w:rFonts w:asciiTheme="minorHAnsi" w:hAnsiTheme="minorHAnsi" w:cstheme="minorHAnsi"/>
          </w:rPr>
          <w:tag w:val="goog_rdk_320"/>
          <w:id w:val="-1242020993"/>
        </w:sdtPr>
        <w:sdtContent/>
      </w:sdt>
      <w:sdt>
        <w:sdtPr>
          <w:rPr>
            <w:rFonts w:asciiTheme="minorHAnsi" w:hAnsiTheme="minorHAnsi" w:cstheme="minorHAnsi"/>
          </w:rPr>
          <w:tag w:val="goog_rdk_321"/>
          <w:id w:val="-1036585170"/>
        </w:sdtPr>
        <w:sdtContent/>
      </w:sdt>
      <w:sdt>
        <w:sdtPr>
          <w:rPr>
            <w:rFonts w:asciiTheme="minorHAnsi" w:hAnsiTheme="minorHAnsi" w:cstheme="minorHAnsi"/>
          </w:rPr>
          <w:tag w:val="goog_rdk_322"/>
          <w:id w:val="551195834"/>
        </w:sdtPr>
        <w:sdtContent/>
      </w:sdt>
      <w:sdt>
        <w:sdtPr>
          <w:rPr>
            <w:rFonts w:asciiTheme="minorHAnsi" w:hAnsiTheme="minorHAnsi" w:cstheme="minorHAnsi"/>
          </w:rPr>
          <w:tag w:val="goog_rdk_323"/>
          <w:id w:val="-172335585"/>
        </w:sdtPr>
        <w:sdtContent/>
      </w:sdt>
      <w:sdt>
        <w:sdtPr>
          <w:rPr>
            <w:rFonts w:asciiTheme="minorHAnsi" w:hAnsiTheme="minorHAnsi" w:cstheme="minorHAnsi"/>
          </w:rPr>
          <w:tag w:val="goog_rdk_324"/>
          <w:id w:val="771204996"/>
        </w:sdtPr>
        <w:sdtContent/>
      </w:sdt>
      <w:r w:rsidRPr="00285D58">
        <w:rPr>
          <w:rFonts w:asciiTheme="minorHAnsi" w:eastAsia="Calibri" w:hAnsiTheme="minorHAnsi" w:cstheme="minorHAnsi"/>
        </w:rPr>
        <w:t>procedimiento:</w:t>
      </w:r>
      <w:sdt>
        <w:sdtPr>
          <w:rPr>
            <w:rFonts w:asciiTheme="minorHAnsi" w:hAnsiTheme="minorHAnsi" w:cstheme="minorHAnsi"/>
          </w:rPr>
          <w:tag w:val="goog_rdk_325"/>
          <w:id w:val="-619295924"/>
        </w:sdtPr>
        <w:sdtContent/>
      </w:sdt>
      <w:sdt>
        <w:sdtPr>
          <w:rPr>
            <w:rFonts w:asciiTheme="minorHAnsi" w:hAnsiTheme="minorHAnsi" w:cstheme="minorHAnsi"/>
          </w:rPr>
          <w:tag w:val="goog_rdk_326"/>
          <w:id w:val="-218366200"/>
        </w:sdtPr>
        <w:sdtContent/>
      </w:sdt>
      <w:sdt>
        <w:sdtPr>
          <w:rPr>
            <w:rFonts w:asciiTheme="minorHAnsi" w:hAnsiTheme="minorHAnsi" w:cstheme="minorHAnsi"/>
          </w:rPr>
          <w:tag w:val="goog_rdk_327"/>
          <w:id w:val="1455833603"/>
        </w:sdtPr>
        <w:sdtContent/>
      </w:sdt>
      <w:sdt>
        <w:sdtPr>
          <w:rPr>
            <w:rFonts w:asciiTheme="minorHAnsi" w:hAnsiTheme="minorHAnsi" w:cstheme="minorHAnsi"/>
          </w:rPr>
          <w:tag w:val="goog_rdk_328"/>
          <w:id w:val="-818814956"/>
          <w:showingPlcHdr/>
        </w:sdtPr>
        <w:sdtContent>
          <w:r w:rsidRPr="00285D58">
            <w:rPr>
              <w:rFonts w:asciiTheme="minorHAnsi" w:hAnsiTheme="minorHAnsi" w:cstheme="minorHAnsi"/>
            </w:rPr>
            <w:t xml:space="preserve">     </w:t>
          </w:r>
        </w:sdtContent>
      </w:sdt>
    </w:p>
    <w:p w14:paraId="21FC836F" w14:textId="77777777" w:rsidR="004A2CCE" w:rsidRPr="00285D58" w:rsidRDefault="004A2CCE" w:rsidP="008D1FFF">
      <w:pPr>
        <w:widowControl/>
        <w:tabs>
          <w:tab w:val="left" w:pos="426"/>
          <w:tab w:val="left" w:pos="1069"/>
        </w:tabs>
        <w:spacing w:line="276" w:lineRule="auto"/>
        <w:ind w:left="360"/>
        <w:jc w:val="both"/>
        <w:rPr>
          <w:rFonts w:asciiTheme="minorHAnsi" w:eastAsia="Calibri" w:hAnsiTheme="minorHAnsi" w:cstheme="minorHAnsi"/>
        </w:rPr>
      </w:pPr>
    </w:p>
    <w:p w14:paraId="6F4AF6EA"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A los quince (15) Días luego de haber finalizado cada despliegue semestral, el CONCESIONARIO solicitará al Supervisor del Contrato con copia al CONCEDENTE el cálculo del factor k</w:t>
      </w:r>
      <w:r w:rsidRPr="00285D58">
        <w:rPr>
          <w:rFonts w:asciiTheme="minorHAnsi" w:hAnsiTheme="minorHAnsi" w:cstheme="minorHAnsi"/>
          <w:vertAlign w:val="subscript"/>
        </w:rPr>
        <w:t>j,i</w:t>
      </w:r>
      <w:r w:rsidRPr="00285D58">
        <w:rPr>
          <w:rFonts w:asciiTheme="minorHAnsi" w:hAnsiTheme="minorHAnsi" w:cstheme="minorHAnsi"/>
        </w:rPr>
        <w:t xml:space="preserve"> del avance semestral. Esta solicitud debe ser acompañada de un informe de sustento.</w:t>
      </w:r>
    </w:p>
    <w:p w14:paraId="29EF54B0" w14:textId="77777777" w:rsidR="004A2CCE" w:rsidRPr="00285D58" w:rsidRDefault="004A2CCE" w:rsidP="008D1FFF">
      <w:pPr>
        <w:pStyle w:val="Prrafodelista"/>
        <w:spacing w:line="276" w:lineRule="auto"/>
        <w:ind w:left="1428"/>
        <w:jc w:val="both"/>
        <w:rPr>
          <w:rFonts w:asciiTheme="minorHAnsi" w:hAnsiTheme="minorHAnsi" w:cstheme="minorHAnsi"/>
        </w:rPr>
      </w:pPr>
    </w:p>
    <w:p w14:paraId="5D90AA25"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El informe debe ser revisado por el Supervisor del Contrato quien determinará el valor del factor k</w:t>
      </w:r>
      <w:r w:rsidRPr="00285D58">
        <w:rPr>
          <w:rFonts w:asciiTheme="minorHAnsi" w:hAnsiTheme="minorHAnsi" w:cstheme="minorHAnsi"/>
          <w:vertAlign w:val="subscript"/>
        </w:rPr>
        <w:t>j,i</w:t>
      </w:r>
      <w:r w:rsidRPr="00285D58">
        <w:rPr>
          <w:rFonts w:asciiTheme="minorHAnsi" w:hAnsiTheme="minorHAnsi" w:cstheme="minorHAnsi"/>
        </w:rPr>
        <w:t xml:space="preserve"> del avance semestral</w:t>
      </w:r>
      <m:oMath>
        <m:r>
          <w:rPr>
            <w:rFonts w:ascii="Cambria Math" w:eastAsia="Aptos" w:hAnsi="Cambria Math" w:cstheme="minorHAnsi"/>
            <w:lang w:val="es-PE" w:eastAsia="en-US"/>
          </w:rPr>
          <m:t xml:space="preserve"> </m:t>
        </m:r>
      </m:oMath>
      <w:r w:rsidRPr="00285D58">
        <w:rPr>
          <w:rFonts w:asciiTheme="minorHAnsi" w:hAnsiTheme="minorHAnsi" w:cstheme="minorHAnsi"/>
        </w:rPr>
        <w:t>en un plazo de quince (15) Días y lo informará al CONCESIONARIO y al CONCEDENTE, mediante comunicación escrita. Este plazo podrá ser prorrogado por cinco (5) Días adicionales, previa comunicación por parte del Supervisor.</w:t>
      </w:r>
    </w:p>
    <w:p w14:paraId="11DC2EDA" w14:textId="77777777" w:rsidR="004A2CCE" w:rsidRPr="00285D58" w:rsidRDefault="004A2CCE" w:rsidP="008D1FFF">
      <w:pPr>
        <w:spacing w:line="276" w:lineRule="auto"/>
        <w:rPr>
          <w:rFonts w:asciiTheme="minorHAnsi" w:hAnsiTheme="minorHAnsi" w:cstheme="minorHAnsi"/>
        </w:rPr>
      </w:pPr>
    </w:p>
    <w:p w14:paraId="530BB51E" w14:textId="5488F0AC" w:rsidR="00BA6031" w:rsidRPr="00285D58" w:rsidRDefault="00BA6031"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A los quince (15) Días luego de la emisión del Acta de Recepción de Obras y Equipamiento Electromecánico de cada Componente, el Supervisor del contrato determinará el ajuste del PPD1</w:t>
      </w:r>
      <w:r w:rsidRPr="00285D58">
        <w:rPr>
          <w:rFonts w:asciiTheme="minorHAnsi" w:hAnsiTheme="minorHAnsi" w:cstheme="minorHAnsi"/>
          <w:sz w:val="16"/>
          <w:szCs w:val="16"/>
        </w:rPr>
        <w:t>j</w:t>
      </w:r>
      <w:r w:rsidRPr="00285D58">
        <w:rPr>
          <w:rFonts w:asciiTheme="minorHAnsi" w:hAnsiTheme="minorHAnsi" w:cstheme="minorHAnsi"/>
        </w:rPr>
        <w:t>, el cual deberá considerar el cálculo de todos los factores de los literales i) y ii), de acuerdo con el numeral 6 del presente apéndice.</w:t>
      </w:r>
    </w:p>
    <w:p w14:paraId="1D2F535D" w14:textId="77777777" w:rsidR="004A2CCE" w:rsidRPr="00285D58" w:rsidRDefault="004A2CCE" w:rsidP="008D1FFF">
      <w:pPr>
        <w:spacing w:line="276" w:lineRule="auto"/>
        <w:jc w:val="both"/>
        <w:rPr>
          <w:rFonts w:asciiTheme="minorHAnsi" w:hAnsiTheme="minorHAnsi" w:cstheme="minorHAnsi"/>
          <w:sz w:val="21"/>
          <w:szCs w:val="21"/>
        </w:rPr>
      </w:pPr>
    </w:p>
    <w:p w14:paraId="3B9DE47D" w14:textId="77777777" w:rsidR="004A2CCE" w:rsidRPr="00285D58" w:rsidRDefault="004A2CCE" w:rsidP="00A3732C">
      <w:pPr>
        <w:pStyle w:val="Prrafodelista"/>
        <w:numPr>
          <w:ilvl w:val="0"/>
          <w:numId w:val="212"/>
        </w:numPr>
        <w:spacing w:line="276" w:lineRule="auto"/>
        <w:ind w:left="1428"/>
        <w:jc w:val="both"/>
        <w:rPr>
          <w:rFonts w:asciiTheme="minorHAnsi" w:hAnsiTheme="minorHAnsi" w:cstheme="minorHAnsi"/>
        </w:rPr>
      </w:pPr>
      <w:r w:rsidRPr="00285D58">
        <w:rPr>
          <w:rFonts w:asciiTheme="minorHAnsi" w:hAnsiTheme="minorHAnsi" w:cstheme="minorHAnsi"/>
        </w:rPr>
        <w:t>Si alguna de las Partes se encuentra en desacuerdo respecto del índice de ajuste establecido por el Supervisor, podrá someterse a controversia de acuerdo con los procedimientos establecidos en la Sección XVII del Contrato de Concesión.</w:t>
      </w:r>
    </w:p>
    <w:p w14:paraId="1E4D9837" w14:textId="67B4C8EB"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lastRenderedPageBreak/>
        <w:t>El componente PPD2 reconocerá la Operación y Mantenimiento y formará parte de la liquidación trimestral del PPD durante todo el Periodo Operativo del Proyecto y será sujetos a Deducciones en función al cumplimiento de los Niveles de Servicio establecidos en el Anexo 9.</w:t>
      </w:r>
    </w:p>
    <w:p w14:paraId="0A4DD78D"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752E249" w14:textId="1D8CCCEB"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79" w:name="_heading=h.1jlao46" w:colFirst="0" w:colLast="0"/>
      <w:bookmarkEnd w:id="279"/>
      <w:r w:rsidRPr="00285D58">
        <w:rPr>
          <w:rFonts w:asciiTheme="minorHAnsi" w:eastAsia="Calibri" w:hAnsiTheme="minorHAnsi" w:cstheme="minorHAnsi"/>
        </w:rPr>
        <w:t xml:space="preserve">El </w:t>
      </w:r>
      <w:sdt>
        <w:sdtPr>
          <w:rPr>
            <w:rFonts w:asciiTheme="minorHAnsi" w:hAnsiTheme="minorHAnsi" w:cstheme="minorHAnsi"/>
          </w:rPr>
          <w:tag w:val="goog_rdk_329"/>
          <w:id w:val="793246542"/>
        </w:sdtPr>
        <w:sdtContent/>
      </w:sdt>
      <w:sdt>
        <w:sdtPr>
          <w:rPr>
            <w:rFonts w:asciiTheme="minorHAnsi" w:hAnsiTheme="minorHAnsi" w:cstheme="minorHAnsi"/>
          </w:rPr>
          <w:tag w:val="goog_rdk_330"/>
          <w:id w:val="1253788013"/>
        </w:sdtPr>
        <w:sdtContent/>
      </w:sdt>
      <w:sdt>
        <w:sdtPr>
          <w:rPr>
            <w:rFonts w:asciiTheme="minorHAnsi" w:hAnsiTheme="minorHAnsi" w:cstheme="minorHAnsi"/>
          </w:rPr>
          <w:tag w:val="goog_rdk_331"/>
          <w:id w:val="1097132409"/>
        </w:sdtPr>
        <w:sdtContent/>
      </w:sdt>
      <w:r w:rsidRPr="00285D58">
        <w:rPr>
          <w:rFonts w:asciiTheme="minorHAnsi" w:eastAsia="Calibri" w:hAnsiTheme="minorHAnsi" w:cstheme="minorHAnsi"/>
        </w:rPr>
        <w:t xml:space="preserve">PPD2 </w:t>
      </w:r>
      <w:r w:rsidRPr="00285D58">
        <w:rPr>
          <w:rFonts w:asciiTheme="minorHAnsi" w:hAnsiTheme="minorHAnsi" w:cstheme="minorHAnsi"/>
          <w:color w:val="000000"/>
          <w:lang w:val="es-PE"/>
        </w:rPr>
        <w:t>se pagará en Soles en cuotas que se liquidarán trimestralmente y será</w:t>
      </w:r>
      <w:r w:rsidRPr="00285D58">
        <w:rPr>
          <w:rFonts w:asciiTheme="minorHAnsi" w:eastAsia="Calibri" w:hAnsiTheme="minorHAnsi" w:cstheme="minorHAnsi"/>
        </w:rPr>
        <w:t xml:space="preserve"> ajustado anualmente por la inflación</w:t>
      </w:r>
      <w:sdt>
        <w:sdtPr>
          <w:rPr>
            <w:rFonts w:asciiTheme="minorHAnsi" w:hAnsiTheme="minorHAnsi" w:cstheme="minorHAnsi"/>
          </w:rPr>
          <w:tag w:val="goog_rdk_333"/>
          <w:id w:val="-1999188701"/>
        </w:sdtPr>
        <w:sdtContent>
          <w:r w:rsidRPr="00285D58">
            <w:rPr>
              <w:rFonts w:asciiTheme="minorHAnsi" w:eastAsia="Calibri" w:hAnsiTheme="minorHAnsi" w:cstheme="minorHAnsi"/>
            </w:rPr>
            <w:t xml:space="preserve"> </w:t>
          </w:r>
          <w:sdt>
            <w:sdtPr>
              <w:rPr>
                <w:rFonts w:asciiTheme="minorHAnsi" w:hAnsiTheme="minorHAnsi" w:cstheme="minorHAnsi"/>
              </w:rPr>
              <w:tag w:val="goog_rdk_335"/>
              <w:id w:val="764427446"/>
            </w:sdtPr>
            <w:sdtContent/>
          </w:sdt>
          <w:sdt>
            <w:sdtPr>
              <w:rPr>
                <w:rFonts w:asciiTheme="minorHAnsi" w:hAnsiTheme="minorHAnsi" w:cstheme="minorHAnsi"/>
              </w:rPr>
              <w:tag w:val="goog_rdk_336"/>
              <w:id w:val="1647398579"/>
            </w:sdtPr>
            <w:sdtContent/>
          </w:sdt>
        </w:sdtContent>
      </w:sdt>
      <w:r w:rsidRPr="00285D58">
        <w:rPr>
          <w:rFonts w:asciiTheme="minorHAnsi" w:eastAsia="Calibri" w:hAnsiTheme="minorHAnsi" w:cstheme="minorHAnsi"/>
        </w:rPr>
        <w:t xml:space="preserve"> trascurrida entre el momento de presentación de la </w:t>
      </w:r>
      <w:r w:rsidRPr="00285D58">
        <w:rPr>
          <w:rFonts w:asciiTheme="minorHAnsi" w:eastAsia="Aptos" w:hAnsiTheme="minorHAnsi" w:cstheme="minorHAnsi"/>
          <w:lang w:val="es-PE" w:eastAsia="en-US"/>
        </w:rPr>
        <w:t xml:space="preserve">Buena Pro </w:t>
      </w:r>
      <w:r w:rsidRPr="00285D58">
        <w:rPr>
          <w:rFonts w:asciiTheme="minorHAnsi" w:eastAsia="Calibri" w:hAnsiTheme="minorHAnsi" w:cstheme="minorHAnsi"/>
        </w:rPr>
        <w:t>y el inicio de cada Año Calendario correspondiente a cada Componente j, de acuerdo con la siguiente fórmula:</w:t>
      </w:r>
    </w:p>
    <w:p w14:paraId="4C3CADF3" w14:textId="77777777" w:rsidR="004A2CCE" w:rsidRPr="00285D58" w:rsidRDefault="004A2CCE" w:rsidP="008D1FFF">
      <w:pPr>
        <w:widowControl/>
        <w:spacing w:line="276" w:lineRule="auto"/>
        <w:jc w:val="both"/>
        <w:rPr>
          <w:rFonts w:asciiTheme="minorHAnsi" w:eastAsia="Calibri" w:hAnsiTheme="minorHAnsi" w:cstheme="minorHAnsi"/>
        </w:rPr>
      </w:pPr>
    </w:p>
    <w:p w14:paraId="4EEA2D9A" w14:textId="77777777" w:rsidR="004A2CCE" w:rsidRPr="00285D58" w:rsidRDefault="004A2CCE" w:rsidP="008D1FFF">
      <w:pPr>
        <w:spacing w:line="276" w:lineRule="auto"/>
        <w:jc w:val="both"/>
        <w:rPr>
          <w:rFonts w:asciiTheme="minorHAnsi" w:eastAsia="Cambria Math" w:hAnsiTheme="minorHAnsi" w:cstheme="minorHAnsi"/>
        </w:rPr>
      </w:pPr>
      <m:oMathPara>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2</m:t>
              </m:r>
            </m:e>
            <m:sub>
              <m:r>
                <w:rPr>
                  <w:rFonts w:ascii="Cambria Math" w:eastAsia="Cambria Math" w:hAnsi="Cambria Math" w:cstheme="minorHAnsi"/>
                </w:rPr>
                <m:t>j,i</m:t>
              </m:r>
            </m:sub>
          </m:sSub>
          <m:r>
            <w:rPr>
              <w:rFonts w:ascii="Cambria Math" w:eastAsia="Cambria Math" w:hAnsi="Cambria Math" w:cstheme="minorHAnsi"/>
            </w:rPr>
            <m:t>=PP</m:t>
          </m:r>
          <m:sSub>
            <m:sSubPr>
              <m:ctrlPr>
                <w:rPr>
                  <w:rFonts w:ascii="Cambria Math" w:eastAsia="Cambria Math" w:hAnsi="Cambria Math" w:cstheme="minorHAnsi"/>
                </w:rPr>
              </m:ctrlPr>
            </m:sSubPr>
            <m:e>
              <m:r>
                <w:rPr>
                  <w:rFonts w:ascii="Cambria Math" w:eastAsia="Cambria Math" w:hAnsi="Cambria Math" w:cstheme="minorHAnsi"/>
                </w:rPr>
                <m:t>D2</m:t>
              </m:r>
            </m:e>
            <m:sub>
              <m:r>
                <w:rPr>
                  <w:rFonts w:ascii="Cambria Math" w:eastAsia="Cambria Math" w:hAnsi="Cambria Math" w:cstheme="minorHAnsi"/>
                </w:rPr>
                <m:t>Oferta</m:t>
              </m:r>
            </m:sub>
          </m:sSub>
          <m:r>
            <w:rPr>
              <w:rFonts w:ascii="Cambria Math" w:eastAsia="Cambria Math" w:hAnsi="Cambria Math" w:cstheme="minorHAnsi"/>
            </w:rPr>
            <m:t>×Y%×</m:t>
          </m:r>
          <m:f>
            <m:fPr>
              <m:ctrlPr>
                <w:rPr>
                  <w:rFonts w:ascii="Cambria Math" w:eastAsia="Cambria Math" w:hAnsi="Cambria Math" w:cstheme="minorHAnsi"/>
                </w:rPr>
              </m:ctrlPr>
            </m:fPr>
            <m:num>
              <m:r>
                <w:rPr>
                  <w:rFonts w:ascii="Cambria Math" w:eastAsia="Cambria Math" w:hAnsi="Cambria Math" w:cstheme="minorHAnsi"/>
                </w:rPr>
                <m:t>IP</m:t>
              </m:r>
              <m:sSub>
                <m:sSubPr>
                  <m:ctrlPr>
                    <w:rPr>
                      <w:rFonts w:ascii="Cambria Math" w:eastAsia="Cambria Math" w:hAnsi="Cambria Math" w:cstheme="minorHAnsi"/>
                    </w:rPr>
                  </m:ctrlPr>
                </m:sSubPr>
                <m:e>
                  <m:r>
                    <w:rPr>
                      <w:rFonts w:ascii="Cambria Math" w:eastAsia="Cambria Math" w:hAnsi="Cambria Math" w:cstheme="minorHAnsi"/>
                    </w:rPr>
                    <m:t>C</m:t>
                  </m:r>
                </m:e>
                <m:sub>
                  <m:r>
                    <w:rPr>
                      <w:rFonts w:ascii="Cambria Math" w:eastAsia="Cambria Math" w:hAnsi="Cambria Math" w:cstheme="minorHAnsi"/>
                    </w:rPr>
                    <m:t>i</m:t>
                  </m:r>
                </m:sub>
              </m:sSub>
            </m:num>
            <m:den>
              <m:r>
                <w:rPr>
                  <w:rFonts w:ascii="Cambria Math" w:eastAsia="Cambria Math" w:hAnsi="Cambria Math" w:cstheme="minorHAnsi"/>
                </w:rPr>
                <m:t>IP</m:t>
              </m:r>
              <m:sSub>
                <m:sSubPr>
                  <m:ctrlPr>
                    <w:rPr>
                      <w:rFonts w:ascii="Cambria Math" w:eastAsia="Cambria Math" w:hAnsi="Cambria Math" w:cstheme="minorHAnsi"/>
                    </w:rPr>
                  </m:ctrlPr>
                </m:sSubPr>
                <m:e>
                  <m:r>
                    <w:rPr>
                      <w:rFonts w:ascii="Cambria Math" w:eastAsia="Cambria Math" w:hAnsi="Cambria Math" w:cstheme="minorHAnsi"/>
                    </w:rPr>
                    <m:t>C</m:t>
                  </m:r>
                </m:e>
                <m:sub>
                  <m:r>
                    <w:rPr>
                      <w:rFonts w:ascii="Cambria Math" w:eastAsia="Cambria Math" w:hAnsi="Cambria Math" w:cstheme="minorHAnsi"/>
                    </w:rPr>
                    <m:t>0</m:t>
                  </m:r>
                </m:sub>
              </m:sSub>
            </m:den>
          </m:f>
        </m:oMath>
      </m:oMathPara>
    </w:p>
    <w:p w14:paraId="08E43D1F" w14:textId="77777777" w:rsidR="004A2CCE" w:rsidRPr="00285D58" w:rsidRDefault="004A2CCE" w:rsidP="008D1FFF">
      <w:pPr>
        <w:widowControl/>
        <w:spacing w:after="160" w:line="276" w:lineRule="auto"/>
        <w:ind w:left="576"/>
        <w:jc w:val="both"/>
        <w:rPr>
          <w:rFonts w:asciiTheme="minorHAnsi" w:eastAsia="Calibri" w:hAnsiTheme="minorHAnsi" w:cstheme="minorHAnsi"/>
        </w:rPr>
      </w:pPr>
      <w:r w:rsidRPr="00285D58">
        <w:rPr>
          <w:rFonts w:asciiTheme="minorHAnsi" w:eastAsia="Calibri" w:hAnsiTheme="minorHAnsi" w:cstheme="minorHAnsi"/>
        </w:rPr>
        <w:t>Donde:</w:t>
      </w:r>
    </w:p>
    <w:tbl>
      <w:tblPr>
        <w:tblStyle w:val="Tablaconcuadrcula171"/>
        <w:tblW w:w="8504"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78"/>
        <w:gridCol w:w="6926"/>
      </w:tblGrid>
      <w:tr w:rsidR="004A2CCE" w:rsidRPr="00285D58" w14:paraId="74263B5E" w14:textId="77777777" w:rsidTr="004A2CCE">
        <w:trPr>
          <w:trHeight w:val="671"/>
        </w:trPr>
        <w:tc>
          <w:tcPr>
            <w:tcW w:w="1578" w:type="dxa"/>
          </w:tcPr>
          <w:p w14:paraId="37098F60"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 i</w:t>
            </w:r>
            <w:r w:rsidRPr="00285D58">
              <w:rPr>
                <w:rFonts w:asciiTheme="minorHAnsi" w:hAnsiTheme="minorHAnsi" w:cstheme="minorHAnsi"/>
                <w:i/>
                <w:iCs/>
                <w:sz w:val="22"/>
                <w:szCs w:val="22"/>
                <w:lang w:val="es-PE" w:eastAsia="en-US"/>
              </w:rPr>
              <w:t>:</w:t>
            </w:r>
          </w:p>
        </w:tc>
        <w:tc>
          <w:tcPr>
            <w:tcW w:w="6926" w:type="dxa"/>
          </w:tcPr>
          <w:p w14:paraId="04CE29CC" w14:textId="77777777"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Componente del PPD2 correspondiente al Componente j, ajustado por inflación al inicio del Año Calendario i del Contrato.</w:t>
            </w:r>
          </w:p>
        </w:tc>
      </w:tr>
      <w:tr w:rsidR="004A2CCE" w:rsidRPr="00285D58" w14:paraId="709F2DC3" w14:textId="77777777" w:rsidTr="004A2CCE">
        <w:trPr>
          <w:trHeight w:val="657"/>
        </w:trPr>
        <w:tc>
          <w:tcPr>
            <w:tcW w:w="1578" w:type="dxa"/>
          </w:tcPr>
          <w:p w14:paraId="79C07131"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Oferta</w:t>
            </w:r>
            <w:r w:rsidRPr="00285D58">
              <w:rPr>
                <w:rFonts w:asciiTheme="minorHAnsi" w:hAnsiTheme="minorHAnsi" w:cstheme="minorHAnsi"/>
                <w:i/>
                <w:iCs/>
                <w:sz w:val="22"/>
                <w:szCs w:val="22"/>
                <w:lang w:val="es-PE" w:eastAsia="en-US"/>
              </w:rPr>
              <w:t>:</w:t>
            </w:r>
          </w:p>
        </w:tc>
        <w:tc>
          <w:tcPr>
            <w:tcW w:w="6926" w:type="dxa"/>
          </w:tcPr>
          <w:p w14:paraId="66C3624E" w14:textId="77777777"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Valor del componente PPD2 ofertado por el adjudicatario de la Buena Pro. Asciende a S/ [***]</w:t>
            </w:r>
          </w:p>
        </w:tc>
      </w:tr>
      <w:tr w:rsidR="004A2CCE" w:rsidRPr="00285D58" w14:paraId="70D0F22C" w14:textId="77777777" w:rsidTr="004A2CCE">
        <w:trPr>
          <w:trHeight w:val="939"/>
        </w:trPr>
        <w:tc>
          <w:tcPr>
            <w:tcW w:w="1578" w:type="dxa"/>
          </w:tcPr>
          <w:p w14:paraId="25AB9378"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Y%:</w:t>
            </w:r>
          </w:p>
        </w:tc>
        <w:tc>
          <w:tcPr>
            <w:tcW w:w="6926" w:type="dxa"/>
          </w:tcPr>
          <w:p w14:paraId="42451F5C" w14:textId="7F799636" w:rsidR="004A2CCE" w:rsidRPr="00285D58" w:rsidRDefault="004A2CCE" w:rsidP="008D1FFF">
            <w:pPr>
              <w:widowControl/>
              <w:spacing w:before="240" w:after="100" w:afterAutospacing="1"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Proporción del PPD2 correspondiente a cada Componente j. Corresponde al</w:t>
            </w:r>
            <w:r w:rsidR="003B2892" w:rsidRPr="00285D58">
              <w:rPr>
                <w:rFonts w:asciiTheme="minorHAnsi" w:eastAsia="Calibri" w:hAnsiTheme="minorHAnsi" w:cstheme="minorHAnsi"/>
                <w:sz w:val="22"/>
                <w:szCs w:val="22"/>
                <w:lang w:val="es-PE" w:eastAsia="en-US"/>
              </w:rPr>
              <w:t xml:space="preserve"> __%</w:t>
            </w:r>
            <w:r w:rsidRPr="00285D58">
              <w:rPr>
                <w:rFonts w:asciiTheme="minorHAnsi" w:eastAsia="Calibri" w:hAnsiTheme="minorHAnsi" w:cstheme="minorHAnsi"/>
                <w:sz w:val="22"/>
                <w:szCs w:val="22"/>
                <w:lang w:val="es-PE" w:eastAsia="en-US"/>
              </w:rPr>
              <w:t xml:space="preserve"> </w:t>
            </w:r>
            <w:r w:rsidR="001C25CB" w:rsidRPr="00285D58">
              <w:rPr>
                <w:rFonts w:asciiTheme="minorHAnsi" w:hAnsiTheme="minorHAnsi" w:cstheme="minorHAnsi"/>
                <w:sz w:val="22"/>
                <w:szCs w:val="22"/>
                <w:lang w:val="es-PE" w:eastAsia="en-US"/>
              </w:rPr>
              <w:t>(</w:t>
            </w:r>
            <w:r w:rsidR="003B2892" w:rsidRPr="00285D58">
              <w:rPr>
                <w:rFonts w:asciiTheme="minorHAnsi" w:hAnsiTheme="minorHAnsi" w:cstheme="minorHAnsi"/>
                <w:sz w:val="22"/>
                <w:szCs w:val="22"/>
                <w:lang w:val="es-PE" w:eastAsia="en-US"/>
              </w:rPr>
              <w:t>____</w:t>
            </w:r>
            <w:r w:rsidR="001C25CB" w:rsidRPr="00285D58">
              <w:rPr>
                <w:rFonts w:asciiTheme="minorHAnsi" w:hAnsiTheme="minorHAnsi" w:cstheme="minorHAnsi"/>
                <w:sz w:val="22"/>
                <w:szCs w:val="22"/>
                <w:lang w:val="es-PE" w:eastAsia="en-US"/>
              </w:rPr>
              <w:t xml:space="preserve"> por ciento)  </w:t>
            </w:r>
            <w:r w:rsidRPr="00285D58">
              <w:rPr>
                <w:rFonts w:asciiTheme="minorHAnsi" w:eastAsia="Calibri" w:hAnsiTheme="minorHAnsi" w:cstheme="minorHAnsi"/>
                <w:sz w:val="22"/>
                <w:szCs w:val="22"/>
                <w:lang w:val="es-PE" w:eastAsia="en-US"/>
              </w:rPr>
              <w:t xml:space="preserve">para el Componente Norte y al </w:t>
            </w:r>
            <w:r w:rsidR="003B2892" w:rsidRPr="00285D58">
              <w:rPr>
                <w:rFonts w:asciiTheme="minorHAnsi" w:eastAsia="Calibri" w:hAnsiTheme="minorHAnsi" w:cstheme="minorHAnsi"/>
                <w:sz w:val="22"/>
                <w:szCs w:val="22"/>
                <w:lang w:val="es-PE" w:eastAsia="en-US"/>
              </w:rPr>
              <w:t>__</w:t>
            </w:r>
            <w:r w:rsidR="001C25CB"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1C25CB" w:rsidRPr="00285D58">
              <w:rPr>
                <w:rFonts w:asciiTheme="minorHAnsi" w:hAnsiTheme="minorHAnsi" w:cstheme="minorHAnsi"/>
                <w:sz w:val="22"/>
                <w:szCs w:val="22"/>
                <w:lang w:val="es-PE" w:eastAsia="en-US"/>
              </w:rPr>
              <w:t xml:space="preserve"> por ciento)  </w:t>
            </w:r>
            <w:r w:rsidRPr="00285D58">
              <w:rPr>
                <w:rFonts w:asciiTheme="minorHAnsi" w:eastAsia="Calibri" w:hAnsiTheme="minorHAnsi" w:cstheme="minorHAnsi"/>
                <w:sz w:val="22"/>
                <w:szCs w:val="22"/>
                <w:lang w:val="es-PE" w:eastAsia="en-US"/>
              </w:rPr>
              <w:t>para el Componente Sur.</w:t>
            </w:r>
          </w:p>
        </w:tc>
      </w:tr>
      <w:tr w:rsidR="004A2CCE" w:rsidRPr="00285D58" w14:paraId="37C7C305" w14:textId="77777777" w:rsidTr="004A2CCE">
        <w:trPr>
          <w:trHeight w:val="1449"/>
        </w:trPr>
        <w:tc>
          <w:tcPr>
            <w:tcW w:w="1578" w:type="dxa"/>
          </w:tcPr>
          <w:p w14:paraId="1AE77574"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i</w:t>
            </w:r>
            <w:r w:rsidRPr="00285D58">
              <w:rPr>
                <w:rFonts w:asciiTheme="minorHAnsi" w:hAnsiTheme="minorHAnsi" w:cstheme="minorHAnsi"/>
                <w:i/>
                <w:iCs/>
                <w:sz w:val="22"/>
                <w:szCs w:val="22"/>
                <w:lang w:val="es-PE" w:eastAsia="en-US"/>
              </w:rPr>
              <w:t>:</w:t>
            </w:r>
          </w:p>
        </w:tc>
        <w:tc>
          <w:tcPr>
            <w:tcW w:w="6926" w:type="dxa"/>
          </w:tcPr>
          <w:p w14:paraId="3C91932C"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Índice de Precios al Consumidor (IPC) de Lima Metropolitana publicado por el Instituto Nacional de Estadística e Informática (INEI), o el indicador que lo reemplace. Se tomará en cuenta el último IPC mensual disponible a la fecha de ajuste, según corresponda.</w:t>
            </w:r>
          </w:p>
        </w:tc>
      </w:tr>
      <w:tr w:rsidR="004A2CCE" w:rsidRPr="00285D58" w14:paraId="68A324B7" w14:textId="77777777" w:rsidTr="004A2CCE">
        <w:trPr>
          <w:trHeight w:val="1449"/>
        </w:trPr>
        <w:tc>
          <w:tcPr>
            <w:tcW w:w="1578" w:type="dxa"/>
          </w:tcPr>
          <w:p w14:paraId="05916DF6"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926" w:type="dxa"/>
            <w:vAlign w:val="center"/>
          </w:tcPr>
          <w:p w14:paraId="3734335C"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Índice de Precios al Consumidor (IPC) de Lima Metropolitana publicado por el Instituto Nacional de Estadística e Informática (INEI), o el indicador que lo reemplace. Se tomará en cuenta el último IPC mensual disponible a la fecha de la Buena Pro.</w:t>
            </w:r>
          </w:p>
        </w:tc>
      </w:tr>
      <w:tr w:rsidR="004A2CCE" w:rsidRPr="00285D58" w14:paraId="5F8B37E7" w14:textId="77777777" w:rsidTr="004A2CCE">
        <w:trPr>
          <w:trHeight w:val="402"/>
        </w:trPr>
        <w:tc>
          <w:tcPr>
            <w:tcW w:w="1578" w:type="dxa"/>
          </w:tcPr>
          <w:p w14:paraId="55C46795"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j:</w:t>
            </w:r>
          </w:p>
        </w:tc>
        <w:tc>
          <w:tcPr>
            <w:tcW w:w="6926" w:type="dxa"/>
          </w:tcPr>
          <w:p w14:paraId="6AC69691" w14:textId="77777777" w:rsidR="004A2CCE" w:rsidRPr="00285D58" w:rsidRDefault="004A2CCE" w:rsidP="008D1FFF">
            <w:pPr>
              <w:widowControl/>
              <w:spacing w:before="240" w:after="100" w:afterAutospacing="1"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sz w:val="22"/>
                <w:szCs w:val="22"/>
                <w:lang w:val="es-PE" w:eastAsia="en-US"/>
              </w:rPr>
              <w:t>N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Norte) y S (</w:t>
            </w:r>
            <w:r w:rsidRPr="00285D58">
              <w:rPr>
                <w:rFonts w:asciiTheme="minorHAnsi" w:eastAsia="Calibri" w:hAnsiTheme="minorHAnsi" w:cstheme="minorHAnsi"/>
                <w:sz w:val="22"/>
                <w:szCs w:val="22"/>
                <w:lang w:val="es-PE" w:eastAsia="en-US"/>
              </w:rPr>
              <w:t xml:space="preserve">Componente </w:t>
            </w:r>
            <w:r w:rsidRPr="00285D58">
              <w:rPr>
                <w:rFonts w:asciiTheme="minorHAnsi" w:hAnsiTheme="minorHAnsi" w:cstheme="minorHAnsi"/>
                <w:sz w:val="22"/>
                <w:szCs w:val="22"/>
                <w:lang w:val="es-PE" w:eastAsia="en-US"/>
              </w:rPr>
              <w:t xml:space="preserve"> Sur)</w:t>
            </w:r>
          </w:p>
        </w:tc>
      </w:tr>
      <w:tr w:rsidR="004A2CCE" w:rsidRPr="00285D58" w14:paraId="1774E14B" w14:textId="77777777" w:rsidTr="004A2CCE">
        <w:trPr>
          <w:trHeight w:val="402"/>
        </w:trPr>
        <w:tc>
          <w:tcPr>
            <w:tcW w:w="1578" w:type="dxa"/>
            <w:shd w:val="clear" w:color="auto" w:fill="auto"/>
          </w:tcPr>
          <w:p w14:paraId="7AEC833D"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926" w:type="dxa"/>
            <w:shd w:val="clear" w:color="auto" w:fill="auto"/>
          </w:tcPr>
          <w:p w14:paraId="5E73B1B2" w14:textId="77777777" w:rsidR="004A2CCE" w:rsidRPr="00285D58" w:rsidRDefault="004A2CCE" w:rsidP="008D1FFF">
            <w:pPr>
              <w:widowControl/>
              <w:spacing w:before="240" w:after="100" w:afterAutospacing="1"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4EDECA81" w14:textId="77777777" w:rsidTr="004A2CCE">
        <w:trPr>
          <w:trHeight w:val="402"/>
        </w:trPr>
        <w:tc>
          <w:tcPr>
            <w:tcW w:w="1578" w:type="dxa"/>
            <w:shd w:val="clear" w:color="auto" w:fill="auto"/>
          </w:tcPr>
          <w:p w14:paraId="79F3B5BC" w14:textId="77777777" w:rsidR="004A2CCE" w:rsidRPr="00285D58" w:rsidRDefault="004A2CCE" w:rsidP="008D1FFF">
            <w:pPr>
              <w:widowControl/>
              <w:spacing w:before="240" w:after="100" w:afterAutospacing="1"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926" w:type="dxa"/>
            <w:shd w:val="clear" w:color="auto" w:fill="auto"/>
          </w:tcPr>
          <w:p w14:paraId="158FF60B" w14:textId="77777777" w:rsidR="004A2CCE" w:rsidRPr="00285D58" w:rsidRDefault="004A2CCE" w:rsidP="008D1FFF">
            <w:pPr>
              <w:widowControl/>
              <w:spacing w:before="240" w:after="100" w:afterAutospacing="1"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1DA5B889" w14:textId="77777777" w:rsidR="002A6E25" w:rsidRPr="00285D58" w:rsidRDefault="002A6E25" w:rsidP="008D1FFF">
      <w:pPr>
        <w:widowControl/>
        <w:spacing w:line="276" w:lineRule="auto"/>
        <w:ind w:left="360"/>
        <w:jc w:val="both"/>
        <w:rPr>
          <w:rFonts w:asciiTheme="minorHAnsi" w:eastAsia="Calibri" w:hAnsiTheme="minorHAnsi" w:cstheme="minorHAnsi"/>
        </w:rPr>
      </w:pPr>
    </w:p>
    <w:p w14:paraId="372F7735" w14:textId="7FEF6294"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A efectos de ajustar el PPD2 por variación de precios se tomarán en cuenta el siguiente procedimiento:</w:t>
      </w:r>
    </w:p>
    <w:p w14:paraId="32FD0E43" w14:textId="77777777" w:rsidR="004A2CCE" w:rsidRPr="00285D58" w:rsidRDefault="004A2CCE" w:rsidP="008D1FFF">
      <w:pPr>
        <w:widowControl/>
        <w:spacing w:line="276" w:lineRule="auto"/>
        <w:ind w:left="360"/>
        <w:jc w:val="both"/>
        <w:rPr>
          <w:rFonts w:asciiTheme="minorHAnsi" w:eastAsia="Aptos" w:hAnsiTheme="minorHAnsi" w:cstheme="minorHAnsi"/>
          <w:lang w:val="es-PE" w:eastAsia="en-US"/>
        </w:rPr>
      </w:pPr>
    </w:p>
    <w:p w14:paraId="3118EA4C" w14:textId="335020EE"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 xml:space="preserve">Cualquiera de las Partes podrá solicitar la realización del ajuste del PPD2 ofertado. </w:t>
      </w:r>
      <w:r w:rsidRPr="00285D58">
        <w:rPr>
          <w:rFonts w:asciiTheme="minorHAnsi" w:hAnsiTheme="minorHAnsi" w:cstheme="minorHAnsi"/>
        </w:rPr>
        <w:lastRenderedPageBreak/>
        <w:t xml:space="preserve">La Parte solicitante deberá presentar un informe a más tardar los quince (15) Días Calendario después del inicio del Año Calendario i.  </w:t>
      </w:r>
    </w:p>
    <w:p w14:paraId="23E123CD" w14:textId="77777777" w:rsidR="004A2CCE" w:rsidRPr="00285D58" w:rsidRDefault="004A2CCE" w:rsidP="008D1FFF">
      <w:pPr>
        <w:pStyle w:val="Prrafodelista"/>
        <w:spacing w:line="276" w:lineRule="auto"/>
        <w:ind w:left="1428"/>
        <w:jc w:val="both"/>
        <w:rPr>
          <w:rFonts w:asciiTheme="minorHAnsi" w:hAnsiTheme="minorHAnsi" w:cstheme="minorHAnsi"/>
        </w:rPr>
      </w:pPr>
    </w:p>
    <w:p w14:paraId="0F27402C" w14:textId="7CFF7C00"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El informe deberá ser revisado por el Supervisor quién determinará e informará al CONCEDENTE en un plazo de cinco (5) Días Calendario pudiendo prorrogarse por cinco (5) Días Calendario adicionales, el índice de ajuste sobre la base de lo informado, así como de la información adicional presentada por el Concesionario a requerimiento del Supervisor.</w:t>
      </w:r>
    </w:p>
    <w:p w14:paraId="6FD5A382" w14:textId="77777777" w:rsidR="004A2CCE" w:rsidRPr="00285D58" w:rsidRDefault="004A2CCE" w:rsidP="008D1FFF">
      <w:pPr>
        <w:pStyle w:val="Prrafodelista"/>
        <w:spacing w:line="276" w:lineRule="auto"/>
        <w:rPr>
          <w:rFonts w:asciiTheme="minorHAnsi" w:hAnsiTheme="minorHAnsi" w:cstheme="minorHAnsi"/>
        </w:rPr>
      </w:pPr>
    </w:p>
    <w:p w14:paraId="71EEB606" w14:textId="704505D5" w:rsidR="004A2CCE" w:rsidRPr="00285D58" w:rsidRDefault="004A2CCE" w:rsidP="008D1FFF">
      <w:pPr>
        <w:pStyle w:val="Prrafodelista"/>
        <w:spacing w:line="276" w:lineRule="auto"/>
        <w:ind w:left="1428"/>
        <w:jc w:val="both"/>
        <w:rPr>
          <w:rFonts w:asciiTheme="minorHAnsi" w:hAnsiTheme="minorHAnsi" w:cstheme="minorHAnsi"/>
        </w:rPr>
      </w:pPr>
      <w:r w:rsidRPr="00285D58">
        <w:rPr>
          <w:rFonts w:asciiTheme="minorHAnsi" w:hAnsiTheme="minorHAnsi" w:cstheme="minorHAnsi"/>
        </w:rPr>
        <w:t>Excepcionalmente, para el Año Calendario en que se inicia el Periodo Operativo, el Supervisor determinará y comunicará al CONCEDENTE el valor del PPD2 vigente durante ese Año Calendario, a más tardar durante los primeros cinco (5) Días Calendario del mes siguiente a la fecha de suscripción del Acta de Inicio de la Operación de cada Componente j.</w:t>
      </w:r>
    </w:p>
    <w:p w14:paraId="6DC9F17F" w14:textId="77777777" w:rsidR="004A2CCE" w:rsidRPr="00285D58" w:rsidRDefault="004A2CCE" w:rsidP="008D1FFF">
      <w:pPr>
        <w:spacing w:line="276" w:lineRule="auto"/>
        <w:jc w:val="both"/>
        <w:rPr>
          <w:rFonts w:asciiTheme="minorHAnsi" w:hAnsiTheme="minorHAnsi" w:cstheme="minorHAnsi"/>
          <w:sz w:val="21"/>
          <w:szCs w:val="21"/>
        </w:rPr>
      </w:pPr>
    </w:p>
    <w:p w14:paraId="774295EF" w14:textId="77777777" w:rsidR="004A2CCE" w:rsidRPr="00285D58" w:rsidRDefault="004A2CCE" w:rsidP="00A3732C">
      <w:pPr>
        <w:pStyle w:val="Prrafodelista"/>
        <w:numPr>
          <w:ilvl w:val="0"/>
          <w:numId w:val="213"/>
        </w:numPr>
        <w:spacing w:line="276" w:lineRule="auto"/>
        <w:ind w:left="1428"/>
        <w:jc w:val="both"/>
        <w:rPr>
          <w:rFonts w:asciiTheme="minorHAnsi" w:hAnsiTheme="minorHAnsi" w:cstheme="minorHAnsi"/>
        </w:rPr>
      </w:pPr>
      <w:r w:rsidRPr="00285D58">
        <w:rPr>
          <w:rFonts w:asciiTheme="minorHAnsi" w:hAnsiTheme="minorHAnsi" w:cstheme="minorHAnsi"/>
        </w:rPr>
        <w:t>Si alguna de las Partes se encuentra en desacuerdo respecto del índice de ajuste establecido por el Supervisor, deberá someterse la controversia a los procedimientos establecidos en la Sección XVII del Contrato de Concesión.</w:t>
      </w:r>
    </w:p>
    <w:p w14:paraId="507EFB51"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327C3841" w14:textId="4AD0423D"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El Supervisor determinará el valor del PPD2</w:t>
      </w:r>
      <w:r w:rsidRPr="00285D58">
        <w:rPr>
          <w:rFonts w:asciiTheme="minorHAnsi" w:eastAsia="Aptos" w:hAnsiTheme="minorHAnsi" w:cstheme="minorHAnsi"/>
          <w:vertAlign w:val="subscript"/>
          <w:lang w:val="es-PE" w:eastAsia="en-US"/>
        </w:rPr>
        <w:t xml:space="preserve">j, i </w:t>
      </w:r>
      <w:r w:rsidRPr="00285D58">
        <w:rPr>
          <w:rFonts w:asciiTheme="minorHAnsi" w:eastAsia="Aptos" w:hAnsiTheme="minorHAnsi" w:cstheme="minorHAnsi"/>
          <w:lang w:val="es-PE" w:eastAsia="en-US"/>
        </w:rPr>
        <w:t xml:space="preserve">que estará vigente durante el </w:t>
      </w:r>
      <w:r w:rsidRPr="00285D58">
        <w:rPr>
          <w:rFonts w:asciiTheme="minorHAnsi" w:hAnsiTheme="minorHAnsi" w:cstheme="minorHAnsi"/>
        </w:rPr>
        <w:t xml:space="preserve">Año Calendario </w:t>
      </w:r>
      <w:r w:rsidR="00BA6031" w:rsidRPr="00285D58">
        <w:rPr>
          <w:rFonts w:asciiTheme="minorHAnsi" w:hAnsiTheme="minorHAnsi" w:cstheme="minorHAnsi"/>
        </w:rPr>
        <w:t>i</w:t>
      </w:r>
      <w:r w:rsidR="00BA6031" w:rsidRPr="00285D58" w:rsidDel="00201266">
        <w:rPr>
          <w:rFonts w:asciiTheme="minorHAnsi" w:eastAsia="Aptos" w:hAnsiTheme="minorHAnsi" w:cstheme="minorHAnsi"/>
          <w:lang w:val="es-PE" w:eastAsia="en-US"/>
        </w:rPr>
        <w:t xml:space="preserve"> </w:t>
      </w:r>
      <w:r w:rsidR="00BA6031" w:rsidRPr="00285D58">
        <w:rPr>
          <w:rFonts w:asciiTheme="minorHAnsi" w:eastAsia="Aptos" w:hAnsiTheme="minorHAnsi" w:cstheme="minorHAnsi"/>
          <w:lang w:val="es-PE" w:eastAsia="en-US"/>
        </w:rPr>
        <w:t>y</w:t>
      </w:r>
      <w:r w:rsidRPr="00285D58">
        <w:rPr>
          <w:rFonts w:asciiTheme="minorHAnsi" w:eastAsia="Aptos" w:hAnsiTheme="minorHAnsi" w:cstheme="minorHAnsi"/>
          <w:lang w:val="es-PE" w:eastAsia="en-US"/>
        </w:rPr>
        <w:t xml:space="preserve"> lo informará al CONCEDENTE y al CONCESIONARIO, mediante comunicación escrita.</w:t>
      </w:r>
    </w:p>
    <w:p w14:paraId="6286E9AE" w14:textId="3B198787"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80" w:name="_Toc180162678"/>
      <w:bookmarkStart w:id="281" w:name="_Toc182581498"/>
      <w:bookmarkStart w:id="282" w:name="_Toc182582281"/>
      <w:r w:rsidRPr="00285D58">
        <w:rPr>
          <w:rFonts w:asciiTheme="minorHAnsi" w:eastAsia="Times New Roman" w:hAnsiTheme="minorHAnsi" w:cstheme="minorHAnsi"/>
          <w:b/>
          <w:lang w:val="es-PE" w:eastAsia="en-US"/>
        </w:rPr>
        <w:t>Liquidación del PPD</w:t>
      </w:r>
      <w:bookmarkEnd w:id="280"/>
      <w:bookmarkEnd w:id="281"/>
      <w:bookmarkEnd w:id="282"/>
    </w:p>
    <w:p w14:paraId="5D710E0C"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6CBFB0C5"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83" w:name="_heading=h.43ky6rz" w:colFirst="0" w:colLast="0"/>
      <w:bookmarkEnd w:id="283"/>
      <w:r w:rsidRPr="00285D58">
        <w:rPr>
          <w:rFonts w:asciiTheme="minorHAnsi" w:eastAsia="Calibri" w:hAnsiTheme="minorHAnsi" w:cstheme="minorHAnsi"/>
        </w:rPr>
        <w:t>Durante el Periodo de Operación, el CONCESIONARIO tendrá el derecho a cobrar por cada Componente j el PPD1</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xml:space="preserve"> y el PPD2</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de acuerdo con lo siguiente:</w:t>
      </w:r>
    </w:p>
    <w:p w14:paraId="10ED596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C8A6940" w14:textId="77777777" w:rsidR="004A2CCE" w:rsidRPr="00285D58" w:rsidRDefault="004A2CCE" w:rsidP="008D1FFF">
      <w:pPr>
        <w:widowControl/>
        <w:spacing w:after="160" w:line="276" w:lineRule="auto"/>
        <w:rPr>
          <w:rFonts w:asciiTheme="minorHAnsi" w:eastAsia="Aptos"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D1</m:t>
              </m:r>
            </m:e>
            <m:sub>
              <m:r>
                <w:rPr>
                  <w:rFonts w:ascii="Cambria Math" w:eastAsia="Aptos" w:hAnsi="Cambria Math" w:cstheme="minorHAnsi"/>
                  <w:lang w:val="es-PE" w:eastAsia="en-US"/>
                </w:rPr>
                <m:t>j,  t</m:t>
              </m:r>
            </m:sub>
          </m:sSub>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PD1_ND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+PP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D1_DE</m:t>
              </m:r>
            </m:e>
            <m:sub>
              <m:r>
                <w:rPr>
                  <w:rFonts w:ascii="Cambria Math" w:eastAsia="Times New Roman" w:hAnsi="Cambria Math" w:cstheme="minorHAnsi"/>
                  <w:lang w:val="es-PE" w:eastAsia="en-US"/>
                </w:rPr>
                <m:t>j,t</m:t>
              </m:r>
            </m:sub>
          </m:sSub>
        </m:oMath>
      </m:oMathPara>
    </w:p>
    <w:p w14:paraId="64F4B0FD" w14:textId="77777777" w:rsidR="004A2CCE" w:rsidRPr="00285D58" w:rsidRDefault="004A2CCE" w:rsidP="008D1FFF">
      <w:pPr>
        <w:widowControl/>
        <w:spacing w:before="240" w:after="160" w:line="276" w:lineRule="auto"/>
        <w:rPr>
          <w:rFonts w:asciiTheme="minorHAnsi" w:eastAsia="Aptos"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m:t>
              </m:r>
            </m:e>
            <m:sub>
              <m:r>
                <w:rPr>
                  <w:rFonts w:ascii="Cambria Math" w:eastAsia="Aptos" w:hAnsi="Cambria Math" w:cstheme="minorHAnsi"/>
                  <w:lang w:val="es-PE" w:eastAsia="en-US"/>
                </w:rPr>
                <m:t>j,  t</m:t>
              </m:r>
            </m:sub>
          </m:sSub>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PD2_ND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+PP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D2_DE</m:t>
              </m:r>
            </m:e>
            <m:sub>
              <m:r>
                <w:rPr>
                  <w:rFonts w:ascii="Cambria Math" w:eastAsia="Times New Roman" w:hAnsi="Cambria Math" w:cstheme="minorHAnsi"/>
                  <w:lang w:val="es-PE" w:eastAsia="en-US"/>
                </w:rPr>
                <m:t>j,t</m:t>
              </m:r>
            </m:sub>
          </m:sSub>
        </m:oMath>
      </m:oMathPara>
    </w:p>
    <w:p w14:paraId="1A36B3C0"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ab/>
        <w:t>Donde:</w:t>
      </w:r>
    </w:p>
    <w:tbl>
      <w:tblPr>
        <w:tblStyle w:val="Tablaconcuadrcula171"/>
        <w:tblW w:w="0" w:type="auto"/>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51"/>
        <w:gridCol w:w="6371"/>
      </w:tblGrid>
      <w:tr w:rsidR="004A2CCE" w:rsidRPr="00285D58" w14:paraId="3CECBE5A" w14:textId="77777777" w:rsidTr="002A6E25">
        <w:tc>
          <w:tcPr>
            <w:tcW w:w="1551" w:type="dxa"/>
          </w:tcPr>
          <w:p w14:paraId="3F9A9E6C"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9BC6EA0"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bookmarkStart w:id="284" w:name="_Hlk176531783"/>
            <w:r w:rsidRPr="00285D58">
              <w:rPr>
                <w:rFonts w:asciiTheme="minorHAnsi" w:hAnsiTheme="minorHAnsi" w:cstheme="minorHAnsi"/>
                <w:sz w:val="22"/>
                <w:szCs w:val="22"/>
                <w:lang w:val="es-PE" w:eastAsia="en-US"/>
              </w:rPr>
              <w:t xml:space="preserve">Liquidación del Pago por Disponibilidad, PPD1, del trimestre t. Este pago se liquidará durante los primeros 60 trimestres del Periodo de Operación del </w:t>
            </w:r>
            <w:r w:rsidRPr="00285D58">
              <w:rPr>
                <w:rFonts w:asciiTheme="minorHAnsi" w:eastAsia="Calibri" w:hAnsiTheme="minorHAnsi" w:cstheme="minorHAnsi"/>
                <w:sz w:val="22"/>
                <w:szCs w:val="22"/>
                <w:lang w:val="es-PE" w:eastAsia="en-US"/>
              </w:rPr>
              <w:t>Componente</w:t>
            </w:r>
            <w:r w:rsidRPr="00285D58" w:rsidDel="00B5645A">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j, en Dólares sin IGV y sin ajustes.</w:t>
            </w:r>
            <w:bookmarkEnd w:id="284"/>
          </w:p>
        </w:tc>
      </w:tr>
      <w:tr w:rsidR="004A2CCE" w:rsidRPr="00285D58" w14:paraId="0FF69600" w14:textId="77777777" w:rsidTr="002A6E25">
        <w:tc>
          <w:tcPr>
            <w:tcW w:w="1551" w:type="dxa"/>
          </w:tcPr>
          <w:p w14:paraId="614F4E72"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3A815DC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para cubrir la inversión que no está afecto a Deducciones, para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3ECE196E" w14:textId="77777777" w:rsidTr="002A6E25">
        <w:tc>
          <w:tcPr>
            <w:tcW w:w="1551" w:type="dxa"/>
          </w:tcPr>
          <w:p w14:paraId="01E52C2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371" w:type="dxa"/>
          </w:tcPr>
          <w:p w14:paraId="4FDBD02C" w14:textId="632CD19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para cubrir la inversión que está afecto a Deducciones, para cada </w:t>
            </w:r>
            <w:r w:rsidR="00BA6031" w:rsidRPr="00285D58">
              <w:rPr>
                <w:rFonts w:asciiTheme="minorHAnsi" w:eastAsia="Calibri" w:hAnsiTheme="minorHAnsi" w:cstheme="minorHAnsi"/>
                <w:sz w:val="22"/>
                <w:szCs w:val="22"/>
                <w:lang w:val="es-PE" w:eastAsia="en-US"/>
              </w:rPr>
              <w:t>Componente</w:t>
            </w:r>
            <w:r w:rsidR="00BA6031" w:rsidRPr="00285D58" w:rsidDel="00B5645A">
              <w:rPr>
                <w:rFonts w:asciiTheme="minorHAnsi" w:hAnsiTheme="minorHAnsi" w:cstheme="minorHAnsi"/>
                <w:sz w:val="22"/>
                <w:szCs w:val="22"/>
                <w:lang w:val="es-PE" w:eastAsia="en-US"/>
              </w:rPr>
              <w:t xml:space="preserve"> </w:t>
            </w:r>
            <w:r w:rsidR="00BA6031" w:rsidRPr="00285D58">
              <w:rPr>
                <w:rFonts w:asciiTheme="minorHAnsi" w:hAnsiTheme="minorHAnsi" w:cstheme="minorHAnsi"/>
                <w:sz w:val="22"/>
                <w:szCs w:val="22"/>
                <w:lang w:val="es-PE" w:eastAsia="en-US"/>
              </w:rPr>
              <w:t>j</w:t>
            </w:r>
            <w:r w:rsidRPr="00285D58">
              <w:rPr>
                <w:rFonts w:asciiTheme="minorHAnsi" w:hAnsiTheme="minorHAnsi" w:cstheme="minorHAnsi"/>
                <w:sz w:val="22"/>
                <w:szCs w:val="22"/>
                <w:lang w:val="es-PE" w:eastAsia="en-US"/>
              </w:rPr>
              <w:t>, en el trimestre t.</w:t>
            </w:r>
          </w:p>
        </w:tc>
      </w:tr>
      <w:tr w:rsidR="004A2CCE" w:rsidRPr="00285D58" w14:paraId="33E0C907" w14:textId="77777777" w:rsidTr="002A6E25">
        <w:tc>
          <w:tcPr>
            <w:tcW w:w="1551" w:type="dxa"/>
          </w:tcPr>
          <w:p w14:paraId="03B25B98"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PPD2</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6C708665"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Liquidación del Pago por Disponibilidad, PPD2, del trimestre t, </w:t>
            </w:r>
            <w:r w:rsidRPr="00285D58">
              <w:rPr>
                <w:rFonts w:asciiTheme="minorHAnsi" w:eastAsia="Calibri" w:hAnsiTheme="minorHAnsi" w:cstheme="minorHAnsi"/>
                <w:sz w:val="22"/>
                <w:szCs w:val="22"/>
                <w:lang w:val="es-PE" w:eastAsia="en-US"/>
              </w:rPr>
              <w:t xml:space="preserve">sujeto a la disponibilidad del servicio </w:t>
            </w:r>
            <w:r w:rsidRPr="00285D58">
              <w:rPr>
                <w:rFonts w:asciiTheme="minorHAnsi" w:hAnsiTheme="minorHAnsi" w:cstheme="minorHAnsi"/>
                <w:sz w:val="22"/>
                <w:szCs w:val="22"/>
                <w:lang w:val="es-PE" w:eastAsia="en-US"/>
              </w:rPr>
              <w:t xml:space="preserve">del </w:t>
            </w:r>
            <w:r w:rsidRPr="00285D58">
              <w:rPr>
                <w:rFonts w:asciiTheme="minorHAnsi" w:eastAsia="Calibri" w:hAnsiTheme="minorHAnsi" w:cstheme="minorHAnsi"/>
                <w:sz w:val="22"/>
                <w:szCs w:val="22"/>
                <w:lang w:val="es-PE" w:eastAsia="en-US"/>
              </w:rPr>
              <w:t>Componente</w:t>
            </w:r>
            <w:r w:rsidRPr="00285D58" w:rsidDel="00B5645A">
              <w:rPr>
                <w:rFonts w:asciiTheme="minorHAnsi" w:hAnsiTheme="minorHAnsi" w:cstheme="minorHAnsi"/>
                <w:sz w:val="22"/>
                <w:szCs w:val="22"/>
                <w:lang w:val="es-PE" w:eastAsia="en-US"/>
              </w:rPr>
              <w:t xml:space="preserve"> </w:t>
            </w:r>
            <w:r w:rsidRPr="00285D58">
              <w:rPr>
                <w:rFonts w:asciiTheme="minorHAnsi" w:eastAsia="Calibri" w:hAnsiTheme="minorHAnsi" w:cstheme="minorHAnsi"/>
                <w:sz w:val="22"/>
                <w:szCs w:val="22"/>
                <w:lang w:val="es-PE" w:eastAsia="en-US"/>
              </w:rPr>
              <w:t>j, sin IGV y en Soles.</w:t>
            </w:r>
            <w:r w:rsidRPr="00285D58">
              <w:rPr>
                <w:rFonts w:asciiTheme="minorHAnsi" w:hAnsiTheme="minorHAnsi" w:cstheme="minorHAnsi"/>
                <w:sz w:val="22"/>
                <w:szCs w:val="22"/>
                <w:lang w:val="es-PE" w:eastAsia="en-US"/>
              </w:rPr>
              <w:t xml:space="preserve"> Este componente se liquidará durante todo el Periodo de Operación de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w:t>
            </w:r>
          </w:p>
        </w:tc>
      </w:tr>
      <w:tr w:rsidR="004A2CCE" w:rsidRPr="00285D58" w14:paraId="67C32690" w14:textId="77777777" w:rsidTr="002A6E25">
        <w:tc>
          <w:tcPr>
            <w:tcW w:w="1551" w:type="dxa"/>
          </w:tcPr>
          <w:p w14:paraId="518CE097"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490F2E6" w14:textId="1164C46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w:t>
            </w:r>
            <w:bookmarkStart w:id="285" w:name="_Hlk174016740"/>
            <w:r w:rsidRPr="00285D58">
              <w:rPr>
                <w:rFonts w:asciiTheme="minorHAnsi" w:hAnsiTheme="minorHAnsi" w:cstheme="minorHAnsi"/>
                <w:sz w:val="22"/>
                <w:szCs w:val="22"/>
                <w:lang w:val="es-PE" w:eastAsia="en-US"/>
              </w:rPr>
              <w:t xml:space="preserve">para cubrir el pago de Supervisión </w:t>
            </w:r>
            <w:bookmarkEnd w:id="285"/>
            <w:r w:rsidR="007A088C" w:rsidRPr="00285D58">
              <w:rPr>
                <w:rFonts w:asciiTheme="minorHAnsi" w:hAnsiTheme="minorHAnsi" w:cstheme="minorHAnsi"/>
                <w:sz w:val="22"/>
                <w:szCs w:val="22"/>
                <w:lang w:val="es-PE" w:eastAsia="en-US"/>
              </w:rPr>
              <w:t xml:space="preserve">y la </w:t>
            </w:r>
            <w:r w:rsidR="00015D32" w:rsidRPr="00285D58">
              <w:rPr>
                <w:rFonts w:asciiTheme="minorHAnsi" w:hAnsiTheme="minorHAnsi" w:cstheme="minorHAnsi"/>
                <w:sz w:val="22"/>
                <w:szCs w:val="22"/>
                <w:lang w:val="es-PE" w:eastAsia="en-US"/>
              </w:rPr>
              <w:t xml:space="preserve">operación de la </w:t>
            </w:r>
            <w:r w:rsidR="007A088C" w:rsidRPr="00285D58">
              <w:rPr>
                <w:rFonts w:asciiTheme="minorHAnsi" w:hAnsiTheme="minorHAnsi" w:cstheme="minorHAnsi"/>
                <w:sz w:val="22"/>
                <w:szCs w:val="22"/>
                <w:lang w:val="es-PE" w:eastAsia="en-US"/>
              </w:rPr>
              <w:t>J</w:t>
            </w:r>
            <w:r w:rsidR="00A56392" w:rsidRPr="00285D58">
              <w:rPr>
                <w:rFonts w:asciiTheme="minorHAnsi" w:hAnsiTheme="minorHAnsi" w:cstheme="minorHAnsi"/>
                <w:sz w:val="22"/>
                <w:szCs w:val="22"/>
                <w:lang w:val="es-PE" w:eastAsia="en-US"/>
              </w:rPr>
              <w:t xml:space="preserve">unta de </w:t>
            </w:r>
            <w:r w:rsidR="007A088C" w:rsidRPr="00285D58">
              <w:rPr>
                <w:rFonts w:asciiTheme="minorHAnsi" w:hAnsiTheme="minorHAnsi" w:cstheme="minorHAnsi"/>
                <w:sz w:val="22"/>
                <w:szCs w:val="22"/>
                <w:lang w:val="es-PE" w:eastAsia="en-US"/>
              </w:rPr>
              <w:t>R</w:t>
            </w:r>
            <w:r w:rsidR="00A56392" w:rsidRPr="00285D58">
              <w:rPr>
                <w:rFonts w:asciiTheme="minorHAnsi" w:hAnsiTheme="minorHAnsi" w:cstheme="minorHAnsi"/>
                <w:sz w:val="22"/>
                <w:szCs w:val="22"/>
                <w:lang w:val="es-PE" w:eastAsia="en-US"/>
              </w:rPr>
              <w:t xml:space="preserve">esolución de </w:t>
            </w:r>
            <w:r w:rsidR="007A088C" w:rsidRPr="00285D58">
              <w:rPr>
                <w:rFonts w:asciiTheme="minorHAnsi" w:hAnsiTheme="minorHAnsi" w:cstheme="minorHAnsi"/>
                <w:sz w:val="22"/>
                <w:szCs w:val="22"/>
                <w:lang w:val="es-PE" w:eastAsia="en-US"/>
              </w:rPr>
              <w:t>D</w:t>
            </w:r>
            <w:r w:rsidR="00A56392" w:rsidRPr="00285D58">
              <w:rPr>
                <w:rFonts w:asciiTheme="minorHAnsi" w:hAnsiTheme="minorHAnsi" w:cstheme="minorHAnsi"/>
                <w:sz w:val="22"/>
                <w:szCs w:val="22"/>
                <w:lang w:val="es-PE" w:eastAsia="en-US"/>
              </w:rPr>
              <w:t>isputas</w:t>
            </w:r>
            <w:r w:rsidR="007A088C"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 xml:space="preserve">para cada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w:t>
            </w:r>
          </w:p>
        </w:tc>
      </w:tr>
      <w:tr w:rsidR="004A2CCE" w:rsidRPr="00285D58" w14:paraId="7EC43433" w14:textId="77777777" w:rsidTr="002A6E25">
        <w:tc>
          <w:tcPr>
            <w:tcW w:w="1551" w:type="dxa"/>
          </w:tcPr>
          <w:p w14:paraId="44AB4751"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371" w:type="dxa"/>
          </w:tcPr>
          <w:p w14:paraId="79DBC29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Pago por Disponibilidad afecto a Deducciones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w:t>
            </w:r>
          </w:p>
        </w:tc>
      </w:tr>
      <w:tr w:rsidR="004A2CCE" w:rsidRPr="00285D58" w14:paraId="79A5EDD2" w14:textId="77777777" w:rsidTr="002A6E25">
        <w:tc>
          <w:tcPr>
            <w:tcW w:w="1551" w:type="dxa"/>
          </w:tcPr>
          <w:p w14:paraId="48138EB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 xml:space="preserve">t: </w:t>
            </w:r>
          </w:p>
        </w:tc>
        <w:tc>
          <w:tcPr>
            <w:tcW w:w="6371" w:type="dxa"/>
          </w:tcPr>
          <w:p w14:paraId="31573556"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Trimestre del Año Calendario, donde t=1, corresponde a los meses de enero a marzo; t=2, corresponde a los meses de abril a junio; t=3, corresponde a los meses de julio a setiembre; y, t=4, corresponde a los meses de octubre a diciembre.</w:t>
            </w:r>
          </w:p>
        </w:tc>
      </w:tr>
      <w:tr w:rsidR="004A2CCE" w:rsidRPr="00285D58" w14:paraId="008D7DF6" w14:textId="77777777" w:rsidTr="002A6E25">
        <w:tc>
          <w:tcPr>
            <w:tcW w:w="1551" w:type="dxa"/>
          </w:tcPr>
          <w:p w14:paraId="6DA1795D"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j:</w:t>
            </w:r>
          </w:p>
        </w:tc>
        <w:tc>
          <w:tcPr>
            <w:tcW w:w="6371" w:type="dxa"/>
          </w:tcPr>
          <w:p w14:paraId="66B9CA29"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N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Norte) y S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Sur)</w:t>
            </w:r>
          </w:p>
        </w:tc>
      </w:tr>
    </w:tbl>
    <w:p w14:paraId="4F25EB88" w14:textId="77777777" w:rsidR="004A2CCE" w:rsidRPr="00285D58" w:rsidRDefault="004A2CCE" w:rsidP="008D1FFF">
      <w:pPr>
        <w:widowControl/>
        <w:spacing w:line="276" w:lineRule="auto"/>
        <w:jc w:val="both"/>
        <w:rPr>
          <w:rFonts w:asciiTheme="minorHAnsi" w:eastAsia="Calibri" w:hAnsiTheme="minorHAnsi" w:cstheme="minorHAnsi"/>
        </w:rPr>
      </w:pPr>
    </w:p>
    <w:p w14:paraId="7CC99DD7" w14:textId="502620CA" w:rsidR="004A2CCE" w:rsidRPr="00285D58" w:rsidRDefault="004A2CCE" w:rsidP="00A3732C">
      <w:pPr>
        <w:widowControl/>
        <w:numPr>
          <w:ilvl w:val="0"/>
          <w:numId w:val="70"/>
        </w:numPr>
        <w:spacing w:after="160" w:line="276" w:lineRule="auto"/>
        <w:ind w:left="426"/>
        <w:contextualSpacing/>
        <w:jc w:val="both"/>
        <w:rPr>
          <w:rFonts w:asciiTheme="minorHAnsi" w:eastAsia="Aptos" w:hAnsiTheme="minorHAnsi" w:cstheme="minorHAnsi"/>
          <w:lang w:val="es-PE" w:eastAsia="en-US"/>
        </w:rPr>
      </w:pPr>
      <w:bookmarkStart w:id="286" w:name="_heading=h.xvir7l" w:colFirst="0" w:colLast="0"/>
      <w:bookmarkStart w:id="287" w:name="_Ref176519495"/>
      <w:bookmarkEnd w:id="286"/>
      <w:r w:rsidRPr="00285D58">
        <w:rPr>
          <w:rFonts w:asciiTheme="minorHAnsi" w:eastAsia="Aptos" w:hAnsiTheme="minorHAnsi" w:cstheme="minorHAnsi"/>
          <w:lang w:val="es-PE" w:eastAsia="en-US"/>
        </w:rPr>
        <w:t xml:space="preserve">Durante los primeros 60 trimestres del Periodo de Operación del </w:t>
      </w:r>
      <w:r w:rsidRPr="00285D58">
        <w:rPr>
          <w:rFonts w:asciiTheme="minorHAnsi" w:eastAsia="Calibri" w:hAnsiTheme="minorHAnsi" w:cstheme="minorHAnsi"/>
          <w:lang w:val="es-PE" w:eastAsia="en-US"/>
        </w:rPr>
        <w:t>Componente</w:t>
      </w:r>
      <w:r w:rsidRPr="00285D58" w:rsidDel="00B5645A">
        <w:rPr>
          <w:rFonts w:asciiTheme="minorHAnsi" w:eastAsia="Aptos" w:hAnsiTheme="minorHAnsi" w:cstheme="minorHAnsi"/>
          <w:lang w:val="es-PE" w:eastAsia="en-US"/>
        </w:rPr>
        <w:t xml:space="preserve"> </w:t>
      </w:r>
      <w:r w:rsidRPr="00285D58">
        <w:rPr>
          <w:rFonts w:asciiTheme="minorHAnsi" w:eastAsia="Aptos" w:hAnsiTheme="minorHAnsi" w:cstheme="minorHAnsi"/>
          <w:lang w:val="es-PE" w:eastAsia="en-US"/>
        </w:rPr>
        <w:t xml:space="preserve">j, </w:t>
      </w:r>
      <w:r w:rsidR="00BA6031" w:rsidRPr="00285D58">
        <w:rPr>
          <w:rFonts w:asciiTheme="minorHAnsi" w:eastAsia="Aptos" w:hAnsiTheme="minorHAnsi" w:cstheme="minorHAnsi"/>
          <w:lang w:val="es-PE" w:eastAsia="en-US"/>
        </w:rPr>
        <w:t>el PPD</w:t>
      </w:r>
      <w:r w:rsidRPr="00285D58">
        <w:rPr>
          <w:rFonts w:asciiTheme="minorHAnsi" w:eastAsia="Aptos" w:hAnsiTheme="minorHAnsi" w:cstheme="minorHAnsi"/>
          <w:lang w:val="es-PE" w:eastAsia="en-US"/>
        </w:rPr>
        <w:t xml:space="preserve">1 </w:t>
      </w:r>
      <w:r w:rsidR="00E86953" w:rsidRPr="00285D58">
        <w:rPr>
          <w:rFonts w:asciiTheme="minorHAnsi" w:eastAsia="Aptos" w:hAnsiTheme="minorHAnsi" w:cstheme="minorHAnsi"/>
          <w:lang w:val="es-PE" w:eastAsia="en-US"/>
        </w:rPr>
        <w:t>ND</w:t>
      </w:r>
      <w:r w:rsidR="00E86953" w:rsidRPr="00285D58">
        <w:rPr>
          <w:rFonts w:asciiTheme="minorHAnsi" w:eastAsia="Aptos" w:hAnsiTheme="minorHAnsi" w:cstheme="minorHAnsi"/>
          <w:vertAlign w:val="subscript"/>
          <w:lang w:val="es-PE" w:eastAsia="en-US"/>
        </w:rPr>
        <w:t xml:space="preserve">j, </w:t>
      </w:r>
      <w:r w:rsidRPr="00285D58">
        <w:rPr>
          <w:rFonts w:asciiTheme="minorHAnsi" w:eastAsia="Aptos" w:hAnsiTheme="minorHAnsi" w:cstheme="minorHAnsi"/>
          <w:lang w:val="es-PE" w:eastAsia="en-US"/>
        </w:rPr>
        <w:t>, se calculará con la siguiente fórmula:</w:t>
      </w:r>
      <w:bookmarkEnd w:id="287"/>
    </w:p>
    <w:p w14:paraId="5DB939D0"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p>
    <w:p w14:paraId="25EBD261"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m:oMathPara>
        <m:oMath>
          <m:r>
            <w:rPr>
              <w:rFonts w:ascii="Cambria Math" w:eastAsia="Times New Roman" w:hAnsi="Cambria Math" w:cstheme="minorHAnsi"/>
              <w:lang w:val="es-PE" w:eastAsia="en-US"/>
            </w:rPr>
            <m:t>P</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PD1_ND</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1</m:t>
                  </m:r>
                </m:e>
                <m:sub>
                  <m:r>
                    <w:rPr>
                      <w:rFonts w:ascii="Cambria Math" w:eastAsia="Times New Roman" w:hAnsi="Cambria Math" w:cstheme="minorHAnsi"/>
                      <w:lang w:val="es-PE" w:eastAsia="en-US"/>
                    </w:rPr>
                    <m:t>j</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×%NoDed</m:t>
          </m:r>
        </m:oMath>
      </m:oMathPara>
    </w:p>
    <w:p w14:paraId="62F2A9B4"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tbl>
      <w:tblPr>
        <w:tblStyle w:val="Tablaconcuadrcula171"/>
        <w:tblW w:w="0" w:type="auto"/>
        <w:tblInd w:w="27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48"/>
        <w:gridCol w:w="6371"/>
      </w:tblGrid>
      <w:tr w:rsidR="004A2CCE" w:rsidRPr="00285D58" w14:paraId="5F3423DD" w14:textId="77777777" w:rsidTr="002A6E25">
        <w:tc>
          <w:tcPr>
            <w:tcW w:w="1848" w:type="dxa"/>
          </w:tcPr>
          <w:p w14:paraId="12654FC3"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53B1987F"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numeral 11 del presente Apéndice. </w:t>
            </w:r>
          </w:p>
        </w:tc>
      </w:tr>
      <w:tr w:rsidR="004A2CCE" w:rsidRPr="00285D58" w14:paraId="3AE46853" w14:textId="77777777" w:rsidTr="002A6E25">
        <w:tc>
          <w:tcPr>
            <w:tcW w:w="1848" w:type="dxa"/>
          </w:tcPr>
          <w:p w14:paraId="6E50CC6B"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j,i</w:t>
            </w:r>
            <w:r w:rsidRPr="00285D58">
              <w:rPr>
                <w:rFonts w:asciiTheme="minorHAnsi" w:hAnsiTheme="minorHAnsi" w:cstheme="minorHAnsi"/>
                <w:i/>
                <w:iCs/>
                <w:sz w:val="22"/>
                <w:szCs w:val="22"/>
                <w:lang w:val="es-PE" w:eastAsia="en-US"/>
              </w:rPr>
              <w:t>:</w:t>
            </w:r>
          </w:p>
        </w:tc>
        <w:tc>
          <w:tcPr>
            <w:tcW w:w="6371" w:type="dxa"/>
          </w:tcPr>
          <w:p w14:paraId="2CBF1DBB"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5 del presente Apéndice.</w:t>
            </w:r>
          </w:p>
        </w:tc>
      </w:tr>
      <w:tr w:rsidR="004A2CCE" w:rsidRPr="00285D58" w14:paraId="7DE6163F" w14:textId="77777777" w:rsidTr="002A6E25">
        <w:trPr>
          <w:trHeight w:val="64"/>
        </w:trPr>
        <w:tc>
          <w:tcPr>
            <w:tcW w:w="1848" w:type="dxa"/>
          </w:tcPr>
          <w:p w14:paraId="67830660"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%No Ded:</w:t>
            </w:r>
          </w:p>
        </w:tc>
        <w:tc>
          <w:tcPr>
            <w:tcW w:w="6371" w:type="dxa"/>
          </w:tcPr>
          <w:p w14:paraId="289882FE" w14:textId="4983074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Porcentaje del PPD1 que no está afecto a Deducciones, equivalente al </w:t>
            </w:r>
            <w:r w:rsidR="003B2892" w:rsidRPr="00285D58">
              <w:rPr>
                <w:rFonts w:asciiTheme="minorHAnsi" w:hAnsiTheme="minorHAnsi" w:cstheme="minorHAnsi"/>
                <w:sz w:val="22"/>
                <w:szCs w:val="22"/>
                <w:lang w:val="es-PE" w:eastAsia="en-US"/>
              </w:rPr>
              <w:t>__</w:t>
            </w:r>
            <w:r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346F01"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por ciento).</w:t>
            </w:r>
          </w:p>
        </w:tc>
      </w:tr>
    </w:tbl>
    <w:p w14:paraId="7EF07621" w14:textId="77777777" w:rsidR="004A2CCE" w:rsidRPr="00285D58" w:rsidRDefault="004A2CCE" w:rsidP="008D1FFF">
      <w:pPr>
        <w:widowControl/>
        <w:spacing w:line="276" w:lineRule="auto"/>
        <w:ind w:left="360"/>
        <w:jc w:val="both"/>
        <w:rPr>
          <w:rFonts w:asciiTheme="minorHAnsi" w:eastAsia="Calibri" w:hAnsiTheme="minorHAnsi" w:cstheme="minorHAnsi"/>
        </w:rPr>
      </w:pPr>
      <w:bookmarkStart w:id="288" w:name="_heading=h.3hv69ve" w:colFirst="0" w:colLast="0"/>
      <w:bookmarkStart w:id="289" w:name="_heading=h.1x0gk37" w:colFirst="0" w:colLast="0"/>
      <w:bookmarkEnd w:id="288"/>
      <w:bookmarkEnd w:id="289"/>
    </w:p>
    <w:p w14:paraId="2F337AF5" w14:textId="371F54DA" w:rsidR="00BA6031" w:rsidRPr="00285D58" w:rsidRDefault="00BA6031" w:rsidP="00A3732C">
      <w:pPr>
        <w:pStyle w:val="Prrafodelista"/>
        <w:numPr>
          <w:ilvl w:val="0"/>
          <w:numId w:val="70"/>
        </w:numPr>
        <w:spacing w:line="276" w:lineRule="auto"/>
        <w:rPr>
          <w:rFonts w:asciiTheme="minorHAnsi" w:eastAsia="Aptos" w:hAnsiTheme="minorHAnsi" w:cstheme="minorHAnsi"/>
          <w:lang w:val="es-PE" w:eastAsia="en-US"/>
        </w:rPr>
      </w:pPr>
      <w:r w:rsidRPr="00285D58">
        <w:rPr>
          <w:rFonts w:asciiTheme="minorHAnsi" w:eastAsia="Aptos" w:hAnsiTheme="minorHAnsi" w:cstheme="minorHAnsi"/>
          <w:lang w:val="es-PE" w:eastAsia="en-US"/>
        </w:rPr>
        <w:t>Durante los primeros 60 trimestres del Periodo de Operación del Componente j, el componente sujeto a Deducciones del PPD1 para el Componente j, en el trimestre t, se calculará en función a la Deducción referencial (DedRef) y a los saldos por liquidar acumulados (Saldo_Liq) de las liquidaciones de los trimestres anteriores.</w:t>
      </w:r>
    </w:p>
    <w:p w14:paraId="55A68299"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FED1BDE" w14:textId="77777777" w:rsidR="004A2CCE" w:rsidRPr="00285D58" w:rsidRDefault="004A2CCE" w:rsidP="008D1FFF">
      <w:pPr>
        <w:widowControl/>
        <w:spacing w:after="160" w:line="276" w:lineRule="auto"/>
        <w:ind w:left="708"/>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PD1_DE</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r>
            <w:rPr>
              <w:rFonts w:ascii="Cambria Math" w:eastAsia="Times New Roman" w:hAnsi="Cambria Math" w:cstheme="minorHAnsi"/>
              <w:lang w:val="es-PE" w:eastAsia="en-US"/>
            </w:rPr>
            <m:t>PPD1_DEMa</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Saldo_Liq_PPD1</m:t>
              </m:r>
            </m:e>
            <m:sub>
              <m:r>
                <w:rPr>
                  <w:rFonts w:ascii="Cambria Math" w:eastAsia="Times New Roman" w:hAnsi="Cambria Math" w:cstheme="minorHAnsi"/>
                  <w:lang w:val="es-PE" w:eastAsia="en-US"/>
                </w:rPr>
                <m:t>j,t-1</m:t>
              </m:r>
            </m:sub>
          </m:sSub>
        </m:oMath>
      </m:oMathPara>
    </w:p>
    <w:p w14:paraId="7653104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BA36A26"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772C1A3B"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tbl>
      <w:tblPr>
        <w:tblStyle w:val="Tablaconcuadrcula171"/>
        <w:tblW w:w="0" w:type="auto"/>
        <w:tblInd w:w="3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87"/>
        <w:gridCol w:w="5941"/>
      </w:tblGrid>
      <w:tr w:rsidR="004A2CCE" w:rsidRPr="00285D58" w14:paraId="280F53BA" w14:textId="77777777" w:rsidTr="002A6E25">
        <w:trPr>
          <w:trHeight w:val="75"/>
        </w:trPr>
        <w:tc>
          <w:tcPr>
            <w:tcW w:w="2187" w:type="dxa"/>
          </w:tcPr>
          <w:p w14:paraId="71F72EF5"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 xml:space="preserve">, </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41" w:type="dxa"/>
          </w:tcPr>
          <w:p w14:paraId="32D1720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11 del presente Apéndice.</w:t>
            </w:r>
          </w:p>
        </w:tc>
      </w:tr>
      <w:tr w:rsidR="004A2CCE" w:rsidRPr="00285D58" w14:paraId="44E0F1DC" w14:textId="77777777" w:rsidTr="002A6E25">
        <w:tc>
          <w:tcPr>
            <w:tcW w:w="2187" w:type="dxa"/>
          </w:tcPr>
          <w:p w14:paraId="6F0BC55C" w14:textId="77777777" w:rsidR="004A2CCE" w:rsidRPr="00285D58" w:rsidRDefault="004A2CCE" w:rsidP="008D1FFF">
            <w:pPr>
              <w:widowControl/>
              <w:spacing w:before="100" w:beforeAutospacing="1" w:after="240" w:line="276" w:lineRule="auto"/>
              <w:rPr>
                <w:rFonts w:asciiTheme="minorHAnsi" w:eastAsia="Times New Roman" w:hAnsiTheme="minorHAnsi" w:cstheme="minorHAnsi"/>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319F3C81"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PPD1 máximo sujeto a Deducciones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7F9DC930" w14:textId="77777777" w:rsidTr="002A6E25">
        <w:tc>
          <w:tcPr>
            <w:tcW w:w="2187" w:type="dxa"/>
          </w:tcPr>
          <w:p w14:paraId="04AB6C54"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3F67791B"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Referencial al PPD1_DE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25741178" w14:textId="77777777" w:rsidTr="002A6E25">
        <w:tc>
          <w:tcPr>
            <w:tcW w:w="2187" w:type="dxa"/>
          </w:tcPr>
          <w:p w14:paraId="633C221C" w14:textId="77777777" w:rsidR="004A2CCE" w:rsidRPr="00285D58" w:rsidRDefault="004A2CCE" w:rsidP="008D1FFF">
            <w:pPr>
              <w:widowControl/>
              <w:spacing w:before="100" w:beforeAutospacing="1" w:after="240" w:line="276" w:lineRule="auto"/>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5941" w:type="dxa"/>
          </w:tcPr>
          <w:p w14:paraId="14F566C3" w14:textId="1E070F05" w:rsidR="004A2CCE" w:rsidRPr="00285D58" w:rsidRDefault="00A61649"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Saldo por liquidar del PPD1 correspondiente a la liquidación del trimestre anterior, neto de la compensación de los ajustes.  El primer trimestre en que opere el Componente j, el saldo por liquidar del trimestre anterior tiene un valor de cero. Cuando t es igual a 1, t-1 se refiere al trimestre 4 del Año Calendario anterior.</w:t>
            </w:r>
          </w:p>
        </w:tc>
      </w:tr>
    </w:tbl>
    <w:p w14:paraId="70CEFF22"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eastAsia="en-US"/>
        </w:rPr>
      </w:pPr>
    </w:p>
    <w:p w14:paraId="501EB3B0" w14:textId="77777777" w:rsidR="004A2CCE" w:rsidRPr="00285D58" w:rsidRDefault="004A2CCE" w:rsidP="00A3732C">
      <w:pPr>
        <w:widowControl/>
        <w:numPr>
          <w:ilvl w:val="0"/>
          <w:numId w:val="70"/>
        </w:numPr>
        <w:spacing w:after="160" w:line="276" w:lineRule="auto"/>
        <w:ind w:left="284"/>
        <w:contextualSpacing/>
        <w:jc w:val="both"/>
        <w:rPr>
          <w:rFonts w:asciiTheme="minorHAnsi" w:eastAsia="Times New Roman" w:hAnsiTheme="minorHAnsi" w:cstheme="minorHAnsi"/>
          <w:lang w:val="es-PE" w:eastAsia="en-US"/>
        </w:rPr>
      </w:pPr>
      <w:bookmarkStart w:id="290" w:name="_Ref176503120"/>
      <w:r w:rsidRPr="00285D58">
        <w:rPr>
          <w:rFonts w:asciiTheme="minorHAnsi" w:eastAsia="Times New Roman" w:hAnsiTheme="minorHAnsi" w:cstheme="minorHAnsi"/>
          <w:lang w:val="es-PE" w:eastAsia="en-US"/>
        </w:rPr>
        <w:t xml:space="preserve">Durante los primeros 60 trimestres del Periodo de Operación del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r w:rsidRPr="00285D58">
        <w:rPr>
          <w:rFonts w:asciiTheme="minorHAnsi" w:eastAsia="Times New Roman" w:hAnsiTheme="minorHAnsi" w:cstheme="minorHAnsi"/>
          <w:vertAlign w:val="subscript"/>
          <w:lang w:val="es-PE" w:eastAsia="en-US"/>
        </w:rPr>
        <w:t xml:space="preserve">, </w:t>
      </w:r>
      <w:r w:rsidRPr="00285D58">
        <w:rPr>
          <w:rFonts w:asciiTheme="minorHAnsi" w:eastAsia="Times New Roman" w:hAnsiTheme="minorHAnsi" w:cstheme="minorHAnsi"/>
          <w:lang w:val="es-PE" w:eastAsia="en-US"/>
        </w:rPr>
        <w:t>el</w:t>
      </w:r>
      <w:r w:rsidRPr="00285D58">
        <w:rPr>
          <w:rFonts w:asciiTheme="minorHAnsi" w:eastAsia="Times New Roman" w:hAnsiTheme="minorHAnsi" w:cstheme="minorHAnsi"/>
          <w:vertAlign w:val="subscript"/>
          <w:lang w:val="es-PE" w:eastAsia="en-US"/>
        </w:rPr>
        <w:t xml:space="preserve"> </w:t>
      </w:r>
      <w:r w:rsidRPr="00285D58">
        <w:rPr>
          <w:rFonts w:asciiTheme="minorHAnsi" w:eastAsia="Aptos" w:hAnsiTheme="minorHAnsi" w:cstheme="minorHAnsi"/>
          <w:lang w:val="es-PE" w:eastAsia="en-US"/>
        </w:rPr>
        <w:t xml:space="preserve">PPD1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en el trimestre t, se calcula con la siguiente fórmula:</w:t>
      </w:r>
      <w:bookmarkEnd w:id="290"/>
      <w:r w:rsidRPr="00285D58">
        <w:rPr>
          <w:rFonts w:asciiTheme="minorHAnsi" w:eastAsia="Aptos" w:hAnsiTheme="minorHAnsi" w:cstheme="minorHAnsi"/>
          <w:lang w:val="es-PE" w:eastAsia="en-US"/>
        </w:rPr>
        <w:t xml:space="preserve"> </w:t>
      </w:r>
    </w:p>
    <w:p w14:paraId="44E035FD" w14:textId="77777777" w:rsidR="004A2CCE" w:rsidRPr="00285D58" w:rsidRDefault="004A2CCE" w:rsidP="008D1FFF">
      <w:pPr>
        <w:pStyle w:val="Prrafodelista"/>
        <w:widowControl/>
        <w:spacing w:after="160" w:line="276" w:lineRule="auto"/>
        <w:jc w:val="center"/>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PD1_DEMax</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1</m:t>
                  </m:r>
                </m:e>
                <m:sub>
                  <m:r>
                    <w:rPr>
                      <w:rFonts w:ascii="Cambria Math" w:eastAsia="Times New Roman" w:hAnsi="Cambria Math" w:cstheme="minorHAnsi"/>
                      <w:lang w:val="es-PE" w:eastAsia="en-US"/>
                    </w:rPr>
                    <m:t>j</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×(1-%NoDed)</m:t>
          </m:r>
        </m:oMath>
      </m:oMathPara>
    </w:p>
    <w:p w14:paraId="6883F696" w14:textId="77777777" w:rsidR="004A2CCE" w:rsidRPr="00285D58" w:rsidRDefault="004A2CCE" w:rsidP="008D1FFF">
      <w:pPr>
        <w:widowControl/>
        <w:spacing w:after="160" w:line="276" w:lineRule="auto"/>
        <w:ind w:left="284"/>
        <w:contextualSpacing/>
        <w:jc w:val="both"/>
        <w:rPr>
          <w:rFonts w:asciiTheme="minorHAnsi" w:eastAsia="Times New Roman" w:hAnsiTheme="minorHAnsi" w:cstheme="minorHAnsi"/>
          <w:lang w:val="es-PE" w:eastAsia="en-US"/>
        </w:rPr>
      </w:pPr>
    </w:p>
    <w:p w14:paraId="2997C3DE" w14:textId="77777777" w:rsidR="004A2CCE" w:rsidRPr="00285D58" w:rsidRDefault="004A2CCE" w:rsidP="008D1FFF">
      <w:pPr>
        <w:widowControl/>
        <w:spacing w:after="24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3E41DA4A" w14:textId="77777777" w:rsidR="004A2CCE" w:rsidRPr="00285D58" w:rsidRDefault="004A2CCE" w:rsidP="008D1FFF">
      <w:pPr>
        <w:widowControl/>
        <w:spacing w:after="240" w:line="276" w:lineRule="auto"/>
        <w:ind w:left="360"/>
        <w:contextualSpacing/>
        <w:jc w:val="both"/>
        <w:rPr>
          <w:rFonts w:asciiTheme="minorHAnsi" w:eastAsia="Times New Roman" w:hAnsiTheme="minorHAnsi" w:cstheme="minorHAnsi"/>
          <w:lang w:val="es-PE" w:eastAsia="en-US"/>
        </w:rPr>
      </w:pPr>
    </w:p>
    <w:tbl>
      <w:tblPr>
        <w:tblStyle w:val="Tablaconcuadrcula171"/>
        <w:tblW w:w="8031"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34"/>
        <w:gridCol w:w="6197"/>
      </w:tblGrid>
      <w:tr w:rsidR="004A2CCE" w:rsidRPr="00285D58" w14:paraId="1A11F597" w14:textId="77777777" w:rsidTr="002A6E25">
        <w:tc>
          <w:tcPr>
            <w:tcW w:w="1834" w:type="dxa"/>
          </w:tcPr>
          <w:p w14:paraId="7F601D06"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97" w:type="dxa"/>
          </w:tcPr>
          <w:p w14:paraId="25466EB6" w14:textId="36C14F8F"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r w:rsidR="004A2CCE" w:rsidRPr="00285D58" w14:paraId="7DD6B9C9" w14:textId="77777777" w:rsidTr="002A6E25">
        <w:trPr>
          <w:trHeight w:val="64"/>
        </w:trPr>
        <w:tc>
          <w:tcPr>
            <w:tcW w:w="1834" w:type="dxa"/>
          </w:tcPr>
          <w:p w14:paraId="3E07618C"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w:t>
            </w:r>
          </w:p>
        </w:tc>
        <w:tc>
          <w:tcPr>
            <w:tcW w:w="6197" w:type="dxa"/>
          </w:tcPr>
          <w:p w14:paraId="3C35FA79"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5 del presente Apéndice.</w:t>
            </w:r>
          </w:p>
        </w:tc>
      </w:tr>
      <w:tr w:rsidR="004A2CCE" w:rsidRPr="00285D58" w14:paraId="5AB5DA51" w14:textId="77777777" w:rsidTr="002A6E25">
        <w:trPr>
          <w:trHeight w:val="558"/>
        </w:trPr>
        <w:tc>
          <w:tcPr>
            <w:tcW w:w="1834" w:type="dxa"/>
          </w:tcPr>
          <w:p w14:paraId="31A25F50"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%NoDed:</w:t>
            </w:r>
          </w:p>
        </w:tc>
        <w:tc>
          <w:tcPr>
            <w:tcW w:w="6197" w:type="dxa"/>
          </w:tcPr>
          <w:p w14:paraId="3D2F4D50"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12 del presente Apéndice.</w:t>
            </w:r>
          </w:p>
        </w:tc>
      </w:tr>
    </w:tbl>
    <w:p w14:paraId="0D85309E"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49A6D30C"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91" w:name="_heading=h.4h042r0" w:colFirst="0" w:colLast="0"/>
      <w:bookmarkStart w:id="292" w:name="_Ref176503459"/>
      <w:bookmarkEnd w:id="291"/>
      <w:r w:rsidRPr="00285D58">
        <w:rPr>
          <w:rFonts w:asciiTheme="minorHAnsi" w:eastAsia="Times New Roman" w:hAnsiTheme="minorHAnsi" w:cstheme="minorHAnsi"/>
          <w:lang w:val="es-PE" w:eastAsia="en-US"/>
        </w:rPr>
        <w:t xml:space="preserve">En función a la calificación de los Niveles de Servicio de cada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para el trimestre t, se calculará la Deducción al PPD1 que corresponda en dicho trimestre. La Deducción (</w:t>
      </w:r>
      <w:r w:rsidRPr="00285D58">
        <w:rPr>
          <w:rFonts w:asciiTheme="minorHAnsi" w:eastAsia="Aptos" w:hAnsiTheme="minorHAnsi" w:cstheme="minorHAnsi"/>
          <w:i/>
          <w:iCs/>
          <w:lang w:val="es-PE" w:eastAsia="en-US"/>
        </w:rPr>
        <w:t>Ded_PPD1</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y la Deducción Referencial (</w:t>
      </w:r>
      <w:r w:rsidRPr="00285D58">
        <w:rPr>
          <w:rFonts w:asciiTheme="minorHAnsi" w:eastAsia="Aptos" w:hAnsiTheme="minorHAnsi" w:cstheme="minorHAnsi"/>
          <w:i/>
          <w:iCs/>
          <w:lang w:val="es-PE" w:eastAsia="en-US"/>
        </w:rPr>
        <w:t>DedRef_PPD1</w:t>
      </w:r>
      <w:r w:rsidRPr="00285D58">
        <w:rPr>
          <w:rFonts w:asciiTheme="minorHAnsi" w:eastAsia="Aptos" w:hAnsiTheme="minorHAnsi" w:cstheme="minorHAnsi"/>
          <w:i/>
          <w:iCs/>
          <w:vertAlign w:val="subscript"/>
          <w:lang w:val="es-PE" w:eastAsia="en-US"/>
        </w:rPr>
        <w:t xml:space="preserve">j,t </w:t>
      </w:r>
      <w:r w:rsidRPr="00285D58">
        <w:rPr>
          <w:rFonts w:asciiTheme="minorHAnsi" w:eastAsia="Times New Roman" w:hAnsiTheme="minorHAnsi" w:cstheme="minorHAnsi"/>
          <w:lang w:val="es-PE" w:eastAsia="en-US"/>
        </w:rPr>
        <w:t>) se determinarán en cada periodo de liquidación trimestral según lo siguiente:</w:t>
      </w:r>
      <w:bookmarkEnd w:id="292"/>
      <w:r w:rsidRPr="00285D58">
        <w:rPr>
          <w:rFonts w:asciiTheme="minorHAnsi" w:eastAsia="Times New Roman" w:hAnsiTheme="minorHAnsi" w:cstheme="minorHAnsi"/>
          <w:lang w:val="es-PE" w:eastAsia="en-US"/>
        </w:rPr>
        <w:t xml:space="preserve"> </w:t>
      </w:r>
    </w:p>
    <w:p w14:paraId="1FFB4F4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071DEB95"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PPD1_DEMax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100-IdxSer</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v</m:t>
                      </m:r>
                    </m:e>
                    <m:sub>
                      <m:r>
                        <w:rPr>
                          <w:rFonts w:ascii="Cambria Math" w:eastAsia="Times New Roman" w:hAnsi="Cambria Math" w:cstheme="minorHAnsi"/>
                          <w:lang w:val="es-PE" w:eastAsia="en-US"/>
                        </w:rPr>
                        <m:t>j,t</m:t>
                      </m:r>
                    </m:sub>
                  </m:sSub>
                </m:e>
              </m:d>
            </m:num>
            <m:den>
              <m:r>
                <w:rPr>
                  <w:rFonts w:ascii="Cambria Math" w:eastAsia="Times New Roman" w:hAnsi="Cambria Math" w:cstheme="minorHAnsi"/>
                  <w:lang w:val="es-PE" w:eastAsia="en-US"/>
                </w:rPr>
                <m:t>100</m:t>
              </m:r>
            </m:den>
          </m:f>
        </m:oMath>
      </m:oMathPara>
    </w:p>
    <w:p w14:paraId="21E365D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2BC75B46"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PPD1_DEMax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(100-IdxMi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n</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num>
            <m:den>
              <m:r>
                <w:rPr>
                  <w:rFonts w:ascii="Cambria Math" w:eastAsia="Times New Roman" w:hAnsi="Cambria Math" w:cstheme="minorHAnsi"/>
                  <w:lang w:val="es-PE" w:eastAsia="en-US"/>
                </w:rPr>
                <m:t>100</m:t>
              </m:r>
            </m:den>
          </m:f>
        </m:oMath>
      </m:oMathPara>
    </w:p>
    <w:p w14:paraId="1A0568AB"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lastRenderedPageBreak/>
        <w:t xml:space="preserve">            Donde:</w:t>
      </w:r>
    </w:p>
    <w:tbl>
      <w:tblPr>
        <w:tblStyle w:val="Tablaconcuadrcula171"/>
        <w:tblW w:w="7962"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3"/>
        <w:gridCol w:w="6139"/>
      </w:tblGrid>
      <w:tr w:rsidR="004A2CCE" w:rsidRPr="00285D58" w14:paraId="00972971" w14:textId="77777777" w:rsidTr="002A6E25">
        <w:trPr>
          <w:trHeight w:val="49"/>
        </w:trPr>
        <w:tc>
          <w:tcPr>
            <w:tcW w:w="1823" w:type="dxa"/>
          </w:tcPr>
          <w:p w14:paraId="5C8D3299"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2FDB068D"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al PPD1_DE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19E32565" w14:textId="77777777" w:rsidTr="002A6E25">
        <w:trPr>
          <w:trHeight w:val="49"/>
        </w:trPr>
        <w:tc>
          <w:tcPr>
            <w:tcW w:w="1823" w:type="dxa"/>
          </w:tcPr>
          <w:p w14:paraId="421D7BD7"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6139" w:type="dxa"/>
          </w:tcPr>
          <w:p w14:paraId="0024ABE5" w14:textId="3026ACE1"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r w:rsidR="004A2CCE" w:rsidRPr="00285D58" w14:paraId="036DE9D4" w14:textId="77777777" w:rsidTr="002A6E25">
        <w:trPr>
          <w:trHeight w:val="49"/>
        </w:trPr>
        <w:tc>
          <w:tcPr>
            <w:tcW w:w="1823" w:type="dxa"/>
          </w:tcPr>
          <w:p w14:paraId="3A1E45D2"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39" w:type="dxa"/>
          </w:tcPr>
          <w:p w14:paraId="36695EFD" w14:textId="56C303C3"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14 del presente Apéndice.</w:t>
            </w:r>
          </w:p>
        </w:tc>
      </w:tr>
      <w:tr w:rsidR="004A2CCE" w:rsidRPr="00285D58" w14:paraId="727D1C8D" w14:textId="77777777" w:rsidTr="002A6E25">
        <w:trPr>
          <w:trHeight w:val="49"/>
        </w:trPr>
        <w:tc>
          <w:tcPr>
            <w:tcW w:w="1823" w:type="dxa"/>
          </w:tcPr>
          <w:p w14:paraId="2AB01C4B"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413A3E84" w14:textId="56A9A77A" w:rsidR="004A2CCE" w:rsidRPr="00285D58" w:rsidRDefault="00A61649" w:rsidP="008D1FFF">
            <w:pPr>
              <w:widowControl/>
              <w:spacing w:before="100" w:beforeAutospacing="1" w:after="24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de Servicio para el Componente j, en el trimestre t, conforme al cálculo establecido en el Apéndice 3 del presente Anexo.  </w:t>
            </w:r>
          </w:p>
        </w:tc>
      </w:tr>
      <w:tr w:rsidR="004A2CCE" w:rsidRPr="00285D58" w14:paraId="3B4F9C27" w14:textId="77777777" w:rsidTr="002A6E25">
        <w:trPr>
          <w:trHeight w:val="49"/>
        </w:trPr>
        <w:tc>
          <w:tcPr>
            <w:tcW w:w="1823" w:type="dxa"/>
          </w:tcPr>
          <w:p w14:paraId="44BD3BD1" w14:textId="77777777" w:rsidR="004A2CCE" w:rsidRPr="00285D58" w:rsidRDefault="004A2CCE" w:rsidP="008D1FFF">
            <w:pPr>
              <w:widowControl/>
              <w:spacing w:before="100" w:beforeAutospacing="1" w:after="24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IdxMin</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2AAC9EAA" w14:textId="77777777" w:rsidR="004A2CCE" w:rsidRPr="00285D58" w:rsidRDefault="004A2CCE" w:rsidP="008D1FFF">
            <w:pPr>
              <w:widowControl/>
              <w:spacing w:before="100" w:beforeAutospacing="1" w:after="240" w:line="276" w:lineRule="auto"/>
              <w:jc w:val="both"/>
              <w:rPr>
                <w:rFonts w:asciiTheme="minorHAnsi" w:hAnsiTheme="minorHAnsi" w:cstheme="minorHAnsi"/>
                <w:sz w:val="22"/>
                <w:szCs w:val="22"/>
                <w:lang w:eastAsia="en-US"/>
              </w:rPr>
            </w:pPr>
            <w:r w:rsidRPr="00285D58">
              <w:rPr>
                <w:rFonts w:asciiTheme="minorHAnsi" w:hAnsiTheme="minorHAnsi" w:cstheme="minorHAnsi"/>
                <w:sz w:val="22"/>
                <w:szCs w:val="22"/>
                <w:lang w:val="es-PE" w:eastAsia="en-US"/>
              </w:rPr>
              <w:t xml:space="preserve">Índice Mínimo para la Deducción referencial, equivalente a ___ (______). </w:t>
            </w:r>
          </w:p>
        </w:tc>
      </w:tr>
    </w:tbl>
    <w:p w14:paraId="78264713" w14:textId="77777777" w:rsidR="004A2CCE" w:rsidRPr="00285D58" w:rsidRDefault="004A2CCE" w:rsidP="008D1FFF">
      <w:pPr>
        <w:widowControl/>
        <w:spacing w:line="276" w:lineRule="auto"/>
        <w:jc w:val="both"/>
        <w:rPr>
          <w:rFonts w:asciiTheme="minorHAnsi" w:eastAsia="Calibri" w:hAnsiTheme="minorHAnsi" w:cstheme="minorHAnsi"/>
        </w:rPr>
      </w:pPr>
    </w:p>
    <w:p w14:paraId="6F81ABF8"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293" w:name="_heading=h.2w5ecyt" w:colFirst="0" w:colLast="0"/>
      <w:bookmarkEnd w:id="293"/>
      <w:r w:rsidRPr="00285D58">
        <w:rPr>
          <w:rFonts w:asciiTheme="minorHAnsi" w:eastAsia="Times New Roman" w:hAnsiTheme="minorHAnsi" w:cstheme="minorHAnsi"/>
          <w:lang w:val="es-PE" w:eastAsia="en-US"/>
        </w:rPr>
        <w:t xml:space="preserve">Para el cálculo del saldo a liquidar del PPD1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aplicarán las siguientes consideraciones:</w:t>
      </w:r>
    </w:p>
    <w:p w14:paraId="5CAF43E6"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val="es-PE" w:eastAsia="en-US"/>
        </w:rPr>
      </w:pPr>
    </w:p>
    <w:p w14:paraId="4ACCC3AB" w14:textId="77777777"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Se determina la diferencia entre la Deducción referencial y la Deducción correspondiente a los Niveles de Servicio para el trimestre t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p>
    <w:p w14:paraId="2C7B4D4A"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1150E561" w14:textId="06ECA8EC"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=DedRe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f_PPD1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d_PPD1</m:t>
              </m:r>
            </m:e>
            <m:sub>
              <m:r>
                <w:rPr>
                  <w:rFonts w:ascii="Cambria Math" w:eastAsia="Times New Roman" w:hAnsi="Cambria Math" w:cstheme="minorHAnsi"/>
                  <w:lang w:val="es-PE" w:eastAsia="en-US"/>
                </w:rPr>
                <m:t>j,t</m:t>
              </m:r>
            </m:sub>
          </m:sSub>
        </m:oMath>
      </m:oMathPara>
    </w:p>
    <w:p w14:paraId="677C776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2CFCA679"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tbl>
      <w:tblPr>
        <w:tblStyle w:val="Tablaconcuadrcula171"/>
        <w:tblW w:w="0" w:type="auto"/>
        <w:tblInd w:w="12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61"/>
        <w:gridCol w:w="5991"/>
      </w:tblGrid>
      <w:tr w:rsidR="00A61649" w:rsidRPr="00285D58" w14:paraId="3E7B08C7" w14:textId="77777777" w:rsidTr="00A61649">
        <w:tc>
          <w:tcPr>
            <w:tcW w:w="1561" w:type="dxa"/>
          </w:tcPr>
          <w:p w14:paraId="738B2873" w14:textId="4FE92367" w:rsidR="00A61649" w:rsidRPr="00285D58" w:rsidRDefault="00A61649" w:rsidP="00A61649">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eastAsia="Times New Roman" w:hAnsiTheme="minorHAnsi" w:cstheme="minorHAnsi"/>
                <w:i/>
                <w:iCs/>
                <w:sz w:val="22"/>
                <w:szCs w:val="22"/>
                <w:lang w:val="es-PE" w:eastAsia="en-US"/>
              </w:rPr>
              <w:t>Saldo_PPD1</w:t>
            </w:r>
            <w:r w:rsidRPr="00285D58">
              <w:rPr>
                <w:rFonts w:asciiTheme="minorHAnsi" w:eastAsia="Times New Roman" w:hAnsiTheme="minorHAnsi" w:cstheme="minorHAnsi"/>
                <w:i/>
                <w:iCs/>
                <w:sz w:val="22"/>
                <w:szCs w:val="22"/>
                <w:vertAlign w:val="subscript"/>
                <w:lang w:val="es-PE" w:eastAsia="en-US"/>
              </w:rPr>
              <w:t>j,t</w:t>
            </w:r>
            <w:r w:rsidRPr="00285D58">
              <w:rPr>
                <w:rFonts w:asciiTheme="minorHAnsi" w:eastAsia="Times New Roman" w:hAnsiTheme="minorHAnsi" w:cstheme="minorHAnsi"/>
                <w:i/>
                <w:iCs/>
                <w:sz w:val="22"/>
                <w:szCs w:val="22"/>
                <w:lang w:val="es-PE" w:eastAsia="en-US"/>
              </w:rPr>
              <w:t>:</w:t>
            </w:r>
          </w:p>
        </w:tc>
        <w:tc>
          <w:tcPr>
            <w:tcW w:w="5991" w:type="dxa"/>
          </w:tcPr>
          <w:p w14:paraId="3C9BC255" w14:textId="24BCA816" w:rsidR="00A61649" w:rsidRPr="00285D58" w:rsidRDefault="00A61649" w:rsidP="00A61649">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del PPD1 correspondiente a la liquidación del trimestre t para el Componente j.  </w:t>
            </w:r>
          </w:p>
        </w:tc>
      </w:tr>
      <w:tr w:rsidR="004A2CCE" w:rsidRPr="00285D58" w14:paraId="3DB319B3" w14:textId="77777777" w:rsidTr="00A61649">
        <w:tc>
          <w:tcPr>
            <w:tcW w:w="1561" w:type="dxa"/>
          </w:tcPr>
          <w:p w14:paraId="110C823A"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5991" w:type="dxa"/>
          </w:tcPr>
          <w:p w14:paraId="27ECACEF" w14:textId="12742962"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15 del presente Apéndice.</w:t>
            </w:r>
          </w:p>
        </w:tc>
      </w:tr>
      <w:tr w:rsidR="004A2CCE" w:rsidRPr="00285D58" w14:paraId="1C6D99D8" w14:textId="77777777" w:rsidTr="00A61649">
        <w:trPr>
          <w:trHeight w:val="70"/>
        </w:trPr>
        <w:tc>
          <w:tcPr>
            <w:tcW w:w="1561" w:type="dxa"/>
          </w:tcPr>
          <w:p w14:paraId="1AEDCFCE"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5991" w:type="dxa"/>
          </w:tcPr>
          <w:p w14:paraId="3049DB44" w14:textId="5B8714ED"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13 del presente Apéndice.</w:t>
            </w:r>
          </w:p>
        </w:tc>
      </w:tr>
    </w:tbl>
    <w:p w14:paraId="33B3BAA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110C6194" w14:textId="683ABB2F"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Se determinará el Ajuste_PPD1</w:t>
      </w:r>
      <w:r w:rsidRPr="00285D58">
        <w:rPr>
          <w:rFonts w:asciiTheme="minorHAnsi" w:eastAsia="Times New Roman" w:hAnsiTheme="minorHAnsi" w:cstheme="minorHAnsi"/>
          <w:vertAlign w:val="subscript"/>
          <w:lang w:val="es-PE" w:eastAsia="en-US"/>
        </w:rPr>
        <w:t>j,t</w:t>
      </w:r>
      <w:r w:rsidRPr="00285D58">
        <w:rPr>
          <w:rFonts w:asciiTheme="minorHAnsi" w:eastAsia="Times New Roman" w:hAnsiTheme="minorHAnsi" w:cstheme="minorHAnsi"/>
          <w:lang w:val="es-PE" w:eastAsia="en-US"/>
        </w:rPr>
        <w:t xml:space="preserve"> que resulta de la acumulación con los saldos negativos previos, si es que hubiera, para su aplicación en los trimestres posteriores.</w:t>
      </w:r>
    </w:p>
    <w:p w14:paraId="2308142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07F8F3A8"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=Min(Sald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4A83A5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74D1F76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32"/>
        <w:gridCol w:w="6108"/>
      </w:tblGrid>
      <w:tr w:rsidR="004A2CCE" w:rsidRPr="00285D58" w14:paraId="54BE5135" w14:textId="77777777" w:rsidTr="002A6E25">
        <w:trPr>
          <w:trHeight w:val="70"/>
        </w:trPr>
        <w:tc>
          <w:tcPr>
            <w:tcW w:w="1256" w:type="dxa"/>
          </w:tcPr>
          <w:p w14:paraId="360E5E9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08" w:type="dxa"/>
          </w:tcPr>
          <w:p w14:paraId="604F13FA"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Saldos negativos acumulados no compensados para el </w:t>
            </w:r>
            <w:r w:rsidRPr="00285D58">
              <w:rPr>
                <w:rFonts w:asciiTheme="minorHAnsi" w:eastAsia="Calibri" w:hAnsiTheme="minorHAnsi" w:cstheme="minorHAnsi"/>
                <w:sz w:val="22"/>
                <w:szCs w:val="22"/>
                <w:lang w:val="es-PE" w:eastAsia="en-US"/>
              </w:rPr>
              <w:t xml:space="preserve">Componente </w:t>
            </w:r>
            <w:r w:rsidRPr="00285D58">
              <w:rPr>
                <w:rFonts w:asciiTheme="minorHAnsi" w:hAnsiTheme="minorHAnsi" w:cstheme="minorHAnsi"/>
                <w:sz w:val="22"/>
                <w:szCs w:val="22"/>
                <w:lang w:val="es-PE" w:eastAsia="en-US"/>
              </w:rPr>
              <w:t>j, en el trimestre t. En caso no haya saldos negativos previos acumulados, el valor del Ajuste_PPD1</w:t>
            </w:r>
            <w:r w:rsidRPr="00285D58">
              <w:rPr>
                <w:rFonts w:asciiTheme="minorHAnsi" w:hAnsiTheme="minorHAnsi" w:cstheme="minorHAnsi"/>
                <w:sz w:val="22"/>
                <w:szCs w:val="22"/>
                <w:vertAlign w:val="subscript"/>
                <w:lang w:val="es-PE" w:eastAsia="en-US"/>
              </w:rPr>
              <w:t>j,t-1</w:t>
            </w:r>
            <w:r w:rsidRPr="00285D58">
              <w:rPr>
                <w:rFonts w:asciiTheme="minorHAnsi" w:hAnsiTheme="minorHAnsi" w:cstheme="minorHAnsi"/>
                <w:sz w:val="22"/>
                <w:szCs w:val="22"/>
                <w:lang w:val="es-PE" w:eastAsia="en-US"/>
              </w:rPr>
              <w:t xml:space="preserve"> es cero. </w:t>
            </w:r>
          </w:p>
        </w:tc>
      </w:tr>
      <w:tr w:rsidR="004A2CCE" w:rsidRPr="00285D58" w14:paraId="4A522F0B" w14:textId="77777777" w:rsidTr="002A6E25">
        <w:trPr>
          <w:trHeight w:val="70"/>
        </w:trPr>
        <w:tc>
          <w:tcPr>
            <w:tcW w:w="1256" w:type="dxa"/>
          </w:tcPr>
          <w:p w14:paraId="243E53F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Min(A;B):</w:t>
            </w:r>
          </w:p>
        </w:tc>
        <w:tc>
          <w:tcPr>
            <w:tcW w:w="6108" w:type="dxa"/>
          </w:tcPr>
          <w:p w14:paraId="06281249"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4DE39F7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306AB78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Asimismo, el saldo a liquidar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correspondiente al trimestre t será igual a la siguiente expresión:</w:t>
      </w:r>
    </w:p>
    <w:p w14:paraId="0910BC6C"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2193C0C"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Saldo_Li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q_PPD1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 Max(Sald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o_PPD1</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e_PPD1</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D2176C4"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07D6385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7694" w:type="dxa"/>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9"/>
        <w:gridCol w:w="5865"/>
      </w:tblGrid>
      <w:tr w:rsidR="004A2CCE" w:rsidRPr="00285D58" w14:paraId="680ECABB" w14:textId="77777777" w:rsidTr="002A6E25">
        <w:trPr>
          <w:trHeight w:val="374"/>
        </w:trPr>
        <w:tc>
          <w:tcPr>
            <w:tcW w:w="1796" w:type="dxa"/>
          </w:tcPr>
          <w:p w14:paraId="403B1953" w14:textId="707C9B83" w:rsidR="004A2CCE" w:rsidRPr="00285D58" w:rsidRDefault="004A2CCE" w:rsidP="008D1FFF">
            <w:pPr>
              <w:widowControl/>
              <w:spacing w:before="120" w:after="160" w:line="276" w:lineRule="auto"/>
              <w:jc w:val="both"/>
              <w:rPr>
                <w:rFonts w:asciiTheme="minorHAnsi" w:eastAsia="Times New Roman" w:hAnsiTheme="minorHAnsi" w:cstheme="minorHAnsi"/>
                <w:sz w:val="22"/>
                <w:szCs w:val="22"/>
                <w:lang w:val="es-PE" w:eastAsia="en-US"/>
              </w:rPr>
            </w:pPr>
            <w:r w:rsidRPr="00285D58">
              <w:rPr>
                <w:rFonts w:asciiTheme="minorHAnsi" w:eastAsia="Times New Roman" w:hAnsiTheme="minorHAnsi" w:cstheme="minorHAnsi"/>
                <w:i/>
                <w:iCs/>
                <w:sz w:val="22"/>
                <w:szCs w:val="22"/>
                <w:lang w:val="es-PE" w:eastAsia="en-US"/>
              </w:rPr>
              <w:t>Saldo</w:t>
            </w:r>
            <w:r w:rsidR="00467979" w:rsidRPr="00285D58">
              <w:rPr>
                <w:rFonts w:asciiTheme="minorHAnsi" w:eastAsia="Times New Roman" w:hAnsiTheme="minorHAnsi" w:cstheme="minorHAnsi"/>
                <w:i/>
                <w:iCs/>
                <w:sz w:val="22"/>
                <w:szCs w:val="22"/>
                <w:lang w:val="es-PE" w:eastAsia="en-US"/>
              </w:rPr>
              <w:t>_</w:t>
            </w:r>
            <w:r w:rsidRPr="00285D58">
              <w:rPr>
                <w:rFonts w:asciiTheme="minorHAnsi" w:eastAsia="Times New Roman" w:hAnsiTheme="minorHAnsi" w:cstheme="minorHAnsi"/>
                <w:i/>
                <w:iCs/>
                <w:sz w:val="22"/>
                <w:szCs w:val="22"/>
                <w:lang w:val="es-PE" w:eastAsia="en-US"/>
              </w:rPr>
              <w:t>Liq_P</w:t>
            </w:r>
            <w:r w:rsidR="00467979" w:rsidRPr="00285D58">
              <w:rPr>
                <w:rFonts w:asciiTheme="minorHAnsi" w:eastAsia="Times New Roman" w:hAnsiTheme="minorHAnsi" w:cstheme="minorHAnsi"/>
                <w:i/>
                <w:iCs/>
                <w:sz w:val="22"/>
                <w:szCs w:val="22"/>
                <w:lang w:val="es-PE" w:eastAsia="en-US"/>
              </w:rPr>
              <w:t>P</w:t>
            </w:r>
            <w:r w:rsidRPr="00285D58">
              <w:rPr>
                <w:rFonts w:asciiTheme="minorHAnsi" w:eastAsia="Times New Roman" w:hAnsiTheme="minorHAnsi" w:cstheme="minorHAnsi"/>
                <w:i/>
                <w:iCs/>
                <w:sz w:val="22"/>
                <w:szCs w:val="22"/>
                <w:lang w:val="es-PE" w:eastAsia="en-US"/>
              </w:rPr>
              <w:t>D1</w:t>
            </w:r>
            <w:r w:rsidRPr="00285D58">
              <w:rPr>
                <w:rFonts w:asciiTheme="minorHAnsi" w:eastAsia="Times New Roman" w:hAnsiTheme="minorHAnsi" w:cstheme="minorHAnsi"/>
                <w:i/>
                <w:iCs/>
                <w:sz w:val="22"/>
                <w:szCs w:val="22"/>
                <w:vertAlign w:val="subscript"/>
                <w:lang w:val="es-PE" w:eastAsia="en-US"/>
              </w:rPr>
              <w:t>j,t</w:t>
            </w:r>
            <w:r w:rsidRPr="00285D58">
              <w:rPr>
                <w:rFonts w:asciiTheme="minorHAnsi" w:eastAsia="Times New Roman" w:hAnsiTheme="minorHAnsi" w:cstheme="minorHAnsi"/>
                <w:i/>
                <w:iCs/>
                <w:sz w:val="22"/>
                <w:szCs w:val="22"/>
                <w:lang w:val="es-PE" w:eastAsia="en-US"/>
              </w:rPr>
              <w:t>:</w:t>
            </w:r>
          </w:p>
        </w:tc>
        <w:tc>
          <w:tcPr>
            <w:tcW w:w="5898" w:type="dxa"/>
          </w:tcPr>
          <w:p w14:paraId="36474AD6" w14:textId="0CCF69E8" w:rsidR="004A2CCE" w:rsidRPr="00285D58" w:rsidRDefault="00467979"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eastAsia="Times New Roman" w:hAnsiTheme="minorHAnsi" w:cstheme="minorHAnsi"/>
                <w:sz w:val="22"/>
                <w:szCs w:val="22"/>
                <w:lang w:val="es-PE" w:eastAsia="en-US"/>
              </w:rPr>
              <w:t xml:space="preserve">Definido en el numeral 13. </w:t>
            </w:r>
            <w:r w:rsidR="004A2CCE" w:rsidRPr="00285D58">
              <w:rPr>
                <w:rFonts w:asciiTheme="minorHAnsi" w:eastAsia="Times New Roman" w:hAnsiTheme="minorHAnsi" w:cstheme="minorHAnsi"/>
                <w:sz w:val="22"/>
                <w:szCs w:val="22"/>
                <w:lang w:val="es-PE" w:eastAsia="en-US"/>
              </w:rPr>
              <w:t xml:space="preserve">Saldo </w:t>
            </w:r>
            <w:r w:rsidRPr="00285D58">
              <w:rPr>
                <w:rFonts w:asciiTheme="minorHAnsi" w:eastAsia="Times New Roman" w:hAnsiTheme="minorHAnsi" w:cstheme="minorHAnsi"/>
                <w:sz w:val="22"/>
                <w:szCs w:val="22"/>
                <w:lang w:val="es-PE" w:eastAsia="en-US"/>
              </w:rPr>
              <w:t>por</w:t>
            </w:r>
            <w:r w:rsidR="004A2CCE" w:rsidRPr="00285D58">
              <w:rPr>
                <w:rFonts w:asciiTheme="minorHAnsi" w:eastAsia="Times New Roman" w:hAnsiTheme="minorHAnsi" w:cstheme="minorHAnsi"/>
                <w:sz w:val="22"/>
                <w:szCs w:val="22"/>
                <w:lang w:val="es-PE" w:eastAsia="en-US"/>
              </w:rPr>
              <w:t xml:space="preserve"> liquidar del PPD</w:t>
            </w:r>
            <w:r w:rsidRPr="00285D58">
              <w:rPr>
                <w:rFonts w:asciiTheme="minorHAnsi" w:eastAsia="Times New Roman" w:hAnsiTheme="minorHAnsi" w:cstheme="minorHAnsi"/>
                <w:sz w:val="22"/>
                <w:szCs w:val="22"/>
                <w:lang w:val="es-PE" w:eastAsia="en-US"/>
              </w:rPr>
              <w:t>1</w:t>
            </w:r>
            <w:r w:rsidR="004A2CCE" w:rsidRPr="00285D58">
              <w:rPr>
                <w:rFonts w:asciiTheme="minorHAnsi" w:eastAsia="Times New Roman"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correspondiente a la liquidación del trimestre t para el Componente j, neto de la compensación de los ajustes.</w:t>
            </w:r>
            <w:r w:rsidR="004A2CCE" w:rsidRPr="00285D58">
              <w:rPr>
                <w:rFonts w:asciiTheme="minorHAnsi" w:eastAsia="Times New Roman" w:hAnsiTheme="minorHAnsi" w:cstheme="minorHAnsi"/>
                <w:sz w:val="22"/>
                <w:szCs w:val="22"/>
                <w:lang w:val="es-PE" w:eastAsia="en-US"/>
              </w:rPr>
              <w:t>.</w:t>
            </w:r>
          </w:p>
        </w:tc>
      </w:tr>
      <w:tr w:rsidR="004A2CCE" w:rsidRPr="00285D58" w14:paraId="5F8EBFCE" w14:textId="77777777" w:rsidTr="002A6E25">
        <w:trPr>
          <w:trHeight w:val="70"/>
        </w:trPr>
        <w:tc>
          <w:tcPr>
            <w:tcW w:w="1796" w:type="dxa"/>
          </w:tcPr>
          <w:p w14:paraId="1A8463B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Max(A;B):</w:t>
            </w:r>
          </w:p>
        </w:tc>
        <w:tc>
          <w:tcPr>
            <w:tcW w:w="5898" w:type="dxa"/>
          </w:tcPr>
          <w:p w14:paraId="63F24004"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02612053" w14:textId="77777777" w:rsidR="004A2CCE" w:rsidRPr="00285D58" w:rsidRDefault="004A2CCE" w:rsidP="008D1FFF">
      <w:pPr>
        <w:widowControl/>
        <w:spacing w:before="240" w:line="276" w:lineRule="auto"/>
        <w:ind w:left="425"/>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Supervisor deberá contabilizar los saldos por liquidar, que hubiera como resultado de la acumulación y descuento de los ajustes que correspondan, de acuerdo con las consideraciones previamente señaladas. </w:t>
      </w:r>
    </w:p>
    <w:p w14:paraId="6321C580"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13F697E3" w14:textId="5B64CCA1" w:rsidR="006C38C0" w:rsidRPr="00285D58" w:rsidRDefault="006C38C0" w:rsidP="00A3732C">
      <w:pPr>
        <w:widowControl/>
        <w:numPr>
          <w:ilvl w:val="0"/>
          <w:numId w:val="70"/>
        </w:numPr>
        <w:spacing w:line="276" w:lineRule="auto"/>
        <w:ind w:left="360"/>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Durante el Periodo de Operación del Componente j, el </w:t>
      </w:r>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D2_ND</m:t>
            </m:r>
          </m:e>
          <m:sub>
            <m:r>
              <w:rPr>
                <w:rFonts w:ascii="Cambria Math" w:eastAsia="Aptos" w:hAnsi="Cambria Math" w:cstheme="minorHAnsi"/>
                <w:lang w:val="es-PE" w:eastAsia="en-US"/>
              </w:rPr>
              <m:t>j,t</m:t>
            </m:r>
          </m:sub>
        </m:sSub>
      </m:oMath>
      <w:r w:rsidRPr="00285D58">
        <w:rPr>
          <w:rFonts w:asciiTheme="minorHAnsi" w:eastAsia="Times New Roman" w:hAnsiTheme="minorHAnsi" w:cstheme="minorHAnsi"/>
          <w:lang w:val="es-PE" w:eastAsia="en-US"/>
        </w:rPr>
        <w:t>, se calculará con la siguiente fórmula:</w:t>
      </w:r>
    </w:p>
    <w:p w14:paraId="4645231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D2_ND</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oMath>
      </m:oMathPara>
    </w:p>
    <w:p w14:paraId="6560D0C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ab/>
        <w:t>Donde:</w:t>
      </w:r>
    </w:p>
    <w:tbl>
      <w:tblPr>
        <w:tblStyle w:val="Tablaconcuadrcula171"/>
        <w:tblW w:w="0" w:type="auto"/>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51"/>
        <w:gridCol w:w="6371"/>
      </w:tblGrid>
      <w:tr w:rsidR="004A2CCE" w:rsidRPr="00285D58" w14:paraId="27BE07F8" w14:textId="77777777" w:rsidTr="002A6E25">
        <w:tc>
          <w:tcPr>
            <w:tcW w:w="1551" w:type="dxa"/>
          </w:tcPr>
          <w:p w14:paraId="4E3703F7"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6371" w:type="dxa"/>
          </w:tcPr>
          <w:p w14:paraId="2F9FFD1D"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numeral 11 del presente Apéndice. </w:t>
            </w:r>
          </w:p>
        </w:tc>
      </w:tr>
      <w:tr w:rsidR="004A2CCE" w:rsidRPr="00285D58" w14:paraId="5C319FF5" w14:textId="77777777" w:rsidTr="002A6E25">
        <w:tc>
          <w:tcPr>
            <w:tcW w:w="1551" w:type="dxa"/>
          </w:tcPr>
          <w:p w14:paraId="4044850B"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j,i</w:t>
            </w:r>
            <w:r w:rsidRPr="00285D58">
              <w:rPr>
                <w:rFonts w:asciiTheme="minorHAnsi" w:hAnsiTheme="minorHAnsi" w:cstheme="minorHAnsi"/>
                <w:i/>
                <w:iCs/>
                <w:sz w:val="22"/>
                <w:szCs w:val="22"/>
                <w:lang w:val="es-PE" w:eastAsia="en-US"/>
              </w:rPr>
              <w:t>:</w:t>
            </w:r>
          </w:p>
        </w:tc>
        <w:tc>
          <w:tcPr>
            <w:tcW w:w="6371" w:type="dxa"/>
          </w:tcPr>
          <w:p w14:paraId="1FB0C992"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9 del presente Apéndice.</w:t>
            </w:r>
          </w:p>
        </w:tc>
      </w:tr>
      <w:tr w:rsidR="004A2CCE" w:rsidRPr="00285D58" w14:paraId="36834CB1" w14:textId="77777777" w:rsidTr="002A6E25">
        <w:trPr>
          <w:trHeight w:val="64"/>
        </w:trPr>
        <w:tc>
          <w:tcPr>
            <w:tcW w:w="1551" w:type="dxa"/>
          </w:tcPr>
          <w:p w14:paraId="76D26380"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bookmarkStart w:id="294" w:name="_Hlk51648790"/>
            <w:r w:rsidRPr="00285D58">
              <w:rPr>
                <w:rFonts w:asciiTheme="minorHAnsi" w:hAnsiTheme="minorHAnsi" w:cstheme="minorHAnsi"/>
                <w:i/>
                <w:iCs/>
                <w:sz w:val="22"/>
                <w:szCs w:val="22"/>
                <w:lang w:val="es-PE" w:eastAsia="en-US"/>
              </w:rPr>
              <w:t>%Sup_Op</w:t>
            </w:r>
            <w:bookmarkEnd w:id="294"/>
          </w:p>
        </w:tc>
        <w:tc>
          <w:tcPr>
            <w:tcW w:w="6371" w:type="dxa"/>
          </w:tcPr>
          <w:p w14:paraId="00401C1E" w14:textId="2D6AB5AB"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Es el porcentaje por aplicarse al PPD2 para el pago al Supervisor</w:t>
            </w:r>
            <w:r w:rsidR="007A088C" w:rsidRPr="00285D58">
              <w:rPr>
                <w:rFonts w:asciiTheme="minorHAnsi" w:hAnsiTheme="minorHAnsi" w:cstheme="minorHAnsi"/>
                <w:sz w:val="22"/>
                <w:szCs w:val="22"/>
                <w:lang w:val="es-PE" w:eastAsia="en-US"/>
              </w:rPr>
              <w:t xml:space="preserve"> y la operación de la J</w:t>
            </w:r>
            <w:r w:rsidR="0031569F" w:rsidRPr="00285D58">
              <w:rPr>
                <w:rFonts w:asciiTheme="minorHAnsi" w:hAnsiTheme="minorHAnsi" w:cstheme="minorHAnsi"/>
                <w:sz w:val="22"/>
                <w:szCs w:val="22"/>
                <w:lang w:val="es-PE" w:eastAsia="en-US"/>
              </w:rPr>
              <w:t xml:space="preserve">unta de </w:t>
            </w:r>
            <w:r w:rsidR="007A088C" w:rsidRPr="00285D58">
              <w:rPr>
                <w:rFonts w:asciiTheme="minorHAnsi" w:hAnsiTheme="minorHAnsi" w:cstheme="minorHAnsi"/>
                <w:sz w:val="22"/>
                <w:szCs w:val="22"/>
                <w:lang w:val="es-PE" w:eastAsia="en-US"/>
              </w:rPr>
              <w:t>R</w:t>
            </w:r>
            <w:r w:rsidR="0031569F" w:rsidRPr="00285D58">
              <w:rPr>
                <w:rFonts w:asciiTheme="minorHAnsi" w:hAnsiTheme="minorHAnsi" w:cstheme="minorHAnsi"/>
                <w:sz w:val="22"/>
                <w:szCs w:val="22"/>
                <w:lang w:val="es-PE" w:eastAsia="en-US"/>
              </w:rPr>
              <w:t xml:space="preserve">esolución de </w:t>
            </w:r>
            <w:r w:rsidR="007A088C" w:rsidRPr="00285D58">
              <w:rPr>
                <w:rFonts w:asciiTheme="minorHAnsi" w:hAnsiTheme="minorHAnsi" w:cstheme="minorHAnsi"/>
                <w:sz w:val="22"/>
                <w:szCs w:val="22"/>
                <w:lang w:val="es-PE" w:eastAsia="en-US"/>
              </w:rPr>
              <w:t>D</w:t>
            </w:r>
            <w:r w:rsidR="0031569F" w:rsidRPr="00285D58">
              <w:rPr>
                <w:rFonts w:asciiTheme="minorHAnsi" w:hAnsiTheme="minorHAnsi" w:cstheme="minorHAnsi"/>
                <w:sz w:val="22"/>
                <w:szCs w:val="22"/>
                <w:lang w:val="es-PE" w:eastAsia="en-US"/>
              </w:rPr>
              <w:t>isputas</w:t>
            </w:r>
            <w:r w:rsidRPr="00285D58">
              <w:rPr>
                <w:rFonts w:asciiTheme="minorHAnsi" w:hAnsiTheme="minorHAnsi" w:cstheme="minorHAnsi"/>
                <w:sz w:val="22"/>
                <w:szCs w:val="22"/>
                <w:lang w:val="es-PE" w:eastAsia="en-US"/>
              </w:rPr>
              <w:t xml:space="preserve">, equivalente al </w:t>
            </w:r>
            <w:r w:rsidR="003B2892" w:rsidRPr="00285D58">
              <w:rPr>
                <w:rFonts w:asciiTheme="minorHAnsi" w:hAnsiTheme="minorHAnsi" w:cstheme="minorHAnsi"/>
                <w:sz w:val="22"/>
                <w:szCs w:val="22"/>
                <w:lang w:val="es-PE" w:eastAsia="en-US"/>
              </w:rPr>
              <w:t>__</w:t>
            </w:r>
            <w:r w:rsidRPr="00285D58">
              <w:rPr>
                <w:rFonts w:asciiTheme="minorHAnsi" w:hAnsiTheme="minorHAnsi" w:cstheme="minorHAnsi"/>
                <w:sz w:val="22"/>
                <w:szCs w:val="22"/>
                <w:lang w:val="es-PE" w:eastAsia="en-US"/>
              </w:rPr>
              <w:t>% (</w:t>
            </w:r>
            <w:r w:rsidR="003B2892" w:rsidRPr="00285D58">
              <w:rPr>
                <w:rFonts w:asciiTheme="minorHAnsi" w:hAnsiTheme="minorHAnsi" w:cstheme="minorHAnsi"/>
                <w:sz w:val="22"/>
                <w:szCs w:val="22"/>
                <w:lang w:val="es-PE" w:eastAsia="en-US"/>
              </w:rPr>
              <w:t>____</w:t>
            </w:r>
            <w:r w:rsidR="00346F01" w:rsidRPr="00285D58">
              <w:rPr>
                <w:rFonts w:asciiTheme="minorHAnsi" w:hAnsiTheme="minorHAnsi" w:cstheme="minorHAnsi"/>
                <w:sz w:val="22"/>
                <w:szCs w:val="22"/>
                <w:lang w:val="es-PE" w:eastAsia="en-US"/>
              </w:rPr>
              <w:t xml:space="preserve"> </w:t>
            </w:r>
            <w:r w:rsidRPr="00285D58">
              <w:rPr>
                <w:rFonts w:asciiTheme="minorHAnsi" w:hAnsiTheme="minorHAnsi" w:cstheme="minorHAnsi"/>
                <w:sz w:val="22"/>
                <w:szCs w:val="22"/>
                <w:lang w:val="es-PE" w:eastAsia="en-US"/>
              </w:rPr>
              <w:t>por ciento).</w:t>
            </w:r>
          </w:p>
        </w:tc>
      </w:tr>
    </w:tbl>
    <w:p w14:paraId="6621F911" w14:textId="777E1CCF" w:rsidR="004A2CCE" w:rsidRPr="00285D58" w:rsidRDefault="004A2CCE" w:rsidP="008D1FFF">
      <w:pPr>
        <w:widowControl/>
        <w:spacing w:before="240" w:after="160" w:line="276" w:lineRule="auto"/>
        <w:ind w:left="426"/>
        <w:jc w:val="both"/>
        <w:rPr>
          <w:rFonts w:asciiTheme="minorHAnsi" w:eastAsia="Aptos" w:hAnsiTheme="minorHAnsi" w:cstheme="minorHAnsi"/>
          <w:lang w:val="es-PE" w:eastAsia="en-US"/>
        </w:rPr>
      </w:pPr>
      <w:bookmarkStart w:id="295" w:name="_Ref174018252"/>
      <w:r w:rsidRPr="00285D58">
        <w:rPr>
          <w:rFonts w:asciiTheme="minorHAnsi" w:eastAsia="Aptos" w:hAnsiTheme="minorHAnsi" w:cstheme="minorHAnsi"/>
          <w:lang w:val="es-PE" w:eastAsia="en-US"/>
        </w:rPr>
        <w:t xml:space="preserve">Excepcionalmente, en el primer trimestre, posterior al inicio de Operación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el PPD2</w:t>
      </w:r>
      <w:r w:rsidRPr="00285D58">
        <w:rPr>
          <w:rFonts w:asciiTheme="minorHAnsi" w:eastAsia="Aptos" w:hAnsiTheme="minorHAnsi" w:cstheme="minorHAnsi"/>
          <w:vertAlign w:val="subscript"/>
          <w:lang w:val="es-PE" w:eastAsia="en-US"/>
        </w:rPr>
        <w:t xml:space="preserve">j,i </w:t>
      </w:r>
      <w:r w:rsidRPr="00285D58">
        <w:rPr>
          <w:rFonts w:asciiTheme="minorHAnsi" w:eastAsia="Aptos" w:hAnsiTheme="minorHAnsi" w:cstheme="minorHAnsi"/>
          <w:lang w:val="es-PE" w:eastAsia="en-US"/>
        </w:rPr>
        <w:t xml:space="preserve">para el cálculo del </w:t>
      </w:r>
      <w:r w:rsidR="006C38C0" w:rsidRPr="00285D58">
        <w:rPr>
          <w:rFonts w:asciiTheme="minorHAnsi" w:eastAsia="Aptos" w:hAnsiTheme="minorHAnsi" w:cstheme="minorHAnsi"/>
          <w:lang w:val="es-PE" w:eastAsia="en-US"/>
        </w:rPr>
        <w:t>PPD2_ND</w:t>
      </w:r>
      <w:r w:rsidR="006C38C0" w:rsidRPr="00285D58">
        <w:rPr>
          <w:rFonts w:asciiTheme="minorHAnsi" w:eastAsia="Aptos" w:hAnsiTheme="minorHAnsi" w:cstheme="minorHAnsi"/>
          <w:vertAlign w:val="subscript"/>
          <w:lang w:val="es-PE" w:eastAsia="en-US"/>
        </w:rPr>
        <w:t xml:space="preserve">j,t </w:t>
      </w:r>
      <w:r w:rsidRPr="00285D58">
        <w:rPr>
          <w:rFonts w:asciiTheme="minorHAnsi" w:eastAsia="Aptos" w:hAnsiTheme="minorHAnsi" w:cstheme="minorHAnsi"/>
          <w:lang w:val="es-PE" w:eastAsia="en-US"/>
        </w:rPr>
        <w:t xml:space="preserve">se ajustará en proporción a los Días </w:t>
      </w:r>
      <w:r w:rsidR="001422DF" w:rsidRPr="00285D58">
        <w:rPr>
          <w:rFonts w:asciiTheme="minorHAnsi" w:eastAsia="Aptos" w:hAnsiTheme="minorHAnsi" w:cstheme="minorHAnsi"/>
          <w:lang w:val="es-PE" w:eastAsia="en-US"/>
        </w:rPr>
        <w:t xml:space="preserve">Calendario efectivos </w:t>
      </w:r>
      <w:r w:rsidRPr="00285D58">
        <w:rPr>
          <w:rFonts w:asciiTheme="minorHAnsi" w:eastAsia="Aptos" w:hAnsiTheme="minorHAnsi" w:cstheme="minorHAnsi"/>
          <w:lang w:val="es-PE" w:eastAsia="en-US"/>
        </w:rPr>
        <w:t xml:space="preserve">de </w:t>
      </w:r>
      <w:r w:rsidR="001422DF" w:rsidRPr="00285D58">
        <w:rPr>
          <w:rFonts w:asciiTheme="minorHAnsi" w:eastAsia="Aptos" w:hAnsiTheme="minorHAnsi" w:cstheme="minorHAnsi"/>
          <w:lang w:val="es-PE" w:eastAsia="en-US"/>
        </w:rPr>
        <w:t>o</w:t>
      </w:r>
      <w:r w:rsidRPr="00285D58">
        <w:rPr>
          <w:rFonts w:asciiTheme="minorHAnsi" w:eastAsia="Aptos" w:hAnsiTheme="minorHAnsi" w:cstheme="minorHAnsi"/>
          <w:lang w:val="es-PE" w:eastAsia="en-US"/>
        </w:rPr>
        <w:t xml:space="preserve">peración del trimestre. Del mismo modo, se procederá en el último trimestre de Operación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Para dicho efecto, el factor </w:t>
      </w:r>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e>
        </m:d>
      </m:oMath>
      <w:r w:rsidRPr="00285D58">
        <w:rPr>
          <w:rFonts w:asciiTheme="minorHAnsi" w:eastAsia="Aptos" w:hAnsiTheme="minorHAnsi" w:cstheme="minorHAnsi"/>
          <w:lang w:val="es-PE" w:eastAsia="en-US"/>
        </w:rPr>
        <w:t xml:space="preserve"> de la fórmula precedente, se reemplazará por el siguiente factor de ajuste:</w:t>
      </w:r>
    </w:p>
    <w:p w14:paraId="405CF670" w14:textId="77777777" w:rsidR="004A2CCE" w:rsidRPr="00285D58" w:rsidRDefault="00000000" w:rsidP="008D1FFF">
      <w:pPr>
        <w:widowControl/>
        <w:spacing w:after="160" w:line="276" w:lineRule="auto"/>
        <w:ind w:left="360"/>
        <w:jc w:val="both"/>
        <w:rPr>
          <w:rFonts w:asciiTheme="minorHAnsi" w:eastAsia="Times New Roman" w:hAnsiTheme="minorHAnsi" w:cstheme="minorHAnsi"/>
          <w:lang w:val="es-PE" w:eastAsia="en-US"/>
        </w:rPr>
      </w:pPr>
      <m:oMathPara>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×%Sup_Op</m:t>
              </m:r>
            </m:e>
          </m:d>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DíasEfectivos</m:t>
              </m:r>
            </m:num>
            <m:den>
              <m:r>
                <w:rPr>
                  <w:rFonts w:ascii="Cambria Math" w:eastAsia="Times New Roman" w:hAnsi="Cambria Math" w:cstheme="minorHAnsi"/>
                  <w:lang w:val="es-PE" w:eastAsia="en-US"/>
                </w:rPr>
                <m:t>90</m:t>
              </m:r>
            </m:den>
          </m:f>
        </m:oMath>
      </m:oMathPara>
    </w:p>
    <w:p w14:paraId="49670ACB" w14:textId="77777777"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031"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6784"/>
      </w:tblGrid>
      <w:tr w:rsidR="004A2CCE" w:rsidRPr="00285D58" w14:paraId="44B5A204" w14:textId="77777777" w:rsidTr="00242093">
        <w:tc>
          <w:tcPr>
            <w:tcW w:w="1247" w:type="dxa"/>
          </w:tcPr>
          <w:p w14:paraId="1115DB00" w14:textId="060086DF"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lang w:val="es-PE" w:eastAsia="en-US"/>
              </w:rPr>
              <w:t>Días</w:t>
            </w:r>
            <w:r w:rsidR="001422DF" w:rsidRPr="00285D58">
              <w:rPr>
                <w:rFonts w:asciiTheme="minorHAnsi" w:hAnsiTheme="minorHAnsi" w:cstheme="minorHAnsi"/>
                <w:i/>
                <w:iCs/>
                <w:lang w:val="es-PE" w:eastAsia="en-US"/>
              </w:rPr>
              <w:t xml:space="preserve"> </w:t>
            </w:r>
            <w:r w:rsidRPr="00285D58">
              <w:rPr>
                <w:rFonts w:asciiTheme="minorHAnsi" w:hAnsiTheme="minorHAnsi" w:cstheme="minorHAnsi"/>
                <w:i/>
                <w:iCs/>
                <w:lang w:val="es-PE" w:eastAsia="en-US"/>
              </w:rPr>
              <w:t>Efectivos:</w:t>
            </w:r>
            <w:r w:rsidRPr="00285D58">
              <w:rPr>
                <w:rFonts w:asciiTheme="minorHAnsi" w:hAnsiTheme="minorHAnsi" w:cstheme="minorHAnsi"/>
                <w:i/>
                <w:iCs/>
                <w:vertAlign w:val="subscript"/>
                <w:lang w:val="es-PE" w:eastAsia="en-US"/>
              </w:rPr>
              <w:t xml:space="preserve"> </w:t>
            </w:r>
          </w:p>
        </w:tc>
        <w:tc>
          <w:tcPr>
            <w:tcW w:w="6784" w:type="dxa"/>
          </w:tcPr>
          <w:p w14:paraId="0E7F4CE5" w14:textId="3C242B08"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lang w:val="es-PE" w:eastAsia="en-US"/>
              </w:rPr>
              <w:t xml:space="preserve">Días </w:t>
            </w:r>
            <w:r w:rsidR="001422DF" w:rsidRPr="00285D58">
              <w:rPr>
                <w:rFonts w:asciiTheme="minorHAnsi" w:hAnsiTheme="minorHAnsi" w:cstheme="minorHAnsi"/>
                <w:lang w:val="es-PE" w:eastAsia="en-US"/>
              </w:rPr>
              <w:t xml:space="preserve">Calendario efectivos </w:t>
            </w:r>
            <w:r w:rsidRPr="00285D58">
              <w:rPr>
                <w:rFonts w:asciiTheme="minorHAnsi" w:hAnsiTheme="minorHAnsi" w:cstheme="minorHAnsi"/>
                <w:lang w:val="es-PE" w:eastAsia="en-US"/>
              </w:rPr>
              <w:t>de operación</w:t>
            </w:r>
            <w:r w:rsidR="001422DF" w:rsidRPr="00285D58">
              <w:rPr>
                <w:rFonts w:asciiTheme="minorHAnsi" w:hAnsiTheme="minorHAnsi" w:cstheme="minorHAnsi"/>
                <w:lang w:val="es-PE" w:eastAsia="en-US"/>
              </w:rPr>
              <w:t xml:space="preserve"> </w:t>
            </w:r>
            <w:r w:rsidRPr="00285D58">
              <w:rPr>
                <w:rFonts w:asciiTheme="minorHAnsi" w:hAnsiTheme="minorHAnsi" w:cstheme="minorHAnsi"/>
                <w:lang w:val="es-PE" w:eastAsia="en-US"/>
              </w:rPr>
              <w:t xml:space="preserve">del trimestre t de la </w:t>
            </w:r>
            <w:r w:rsidRPr="00285D58">
              <w:rPr>
                <w:rFonts w:asciiTheme="minorHAnsi" w:eastAsia="Calibri" w:hAnsiTheme="minorHAnsi" w:cstheme="minorHAnsi"/>
                <w:lang w:val="es-PE" w:eastAsia="en-US"/>
              </w:rPr>
              <w:t>Componente</w:t>
            </w:r>
            <w:r w:rsidRPr="00285D58">
              <w:rPr>
                <w:rFonts w:asciiTheme="minorHAnsi" w:hAnsiTheme="minorHAnsi" w:cstheme="minorHAnsi"/>
                <w:lang w:val="es-PE" w:eastAsia="en-US"/>
              </w:rPr>
              <w:t xml:space="preserve"> j.</w:t>
            </w:r>
          </w:p>
        </w:tc>
      </w:tr>
    </w:tbl>
    <w:p w14:paraId="07154F78"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5796642B"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bookmarkStart w:id="296" w:name="_Ref176519697"/>
      <w:r w:rsidRPr="00285D58">
        <w:rPr>
          <w:rFonts w:asciiTheme="minorHAnsi" w:eastAsia="Times New Roman" w:hAnsiTheme="minorHAnsi" w:cstheme="minorHAnsi"/>
          <w:lang w:val="es-PE" w:eastAsia="en-US"/>
        </w:rPr>
        <w:t xml:space="preserve">Durante el Periodo de Operación de la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el componente sujeto a Deducciones del PPD2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calculará en función a la Deducción referencial (DedRef) y a los saldos por liquidar acumulados (Saldo_Liq) de las liquidaciones de los trimestres anteriores, de acuerdo con lo siguiente:</w:t>
      </w:r>
      <w:bookmarkEnd w:id="295"/>
      <w:bookmarkEnd w:id="296"/>
      <w:r w:rsidRPr="00285D58">
        <w:rPr>
          <w:rFonts w:asciiTheme="minorHAnsi" w:eastAsia="Times New Roman" w:hAnsiTheme="minorHAnsi" w:cstheme="minorHAnsi"/>
          <w:lang w:val="es-PE" w:eastAsia="en-US"/>
        </w:rPr>
        <w:t xml:space="preserve"> </w:t>
      </w:r>
    </w:p>
    <w:p w14:paraId="3F8D9A97"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36706BF2" w14:textId="77777777" w:rsidR="004A2CCE" w:rsidRPr="00285D58" w:rsidRDefault="004A2CCE" w:rsidP="008D1FFF">
      <w:pPr>
        <w:widowControl/>
        <w:spacing w:after="160" w:line="276" w:lineRule="auto"/>
        <w:ind w:left="708"/>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PD2_DE</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r>
            <w:rPr>
              <w:rFonts w:ascii="Cambria Math" w:eastAsia="Times New Roman" w:hAnsi="Cambria Math" w:cstheme="minorHAnsi"/>
              <w:lang w:val="es-PE" w:eastAsia="en-US"/>
            </w:rPr>
            <m:t>PPD2_DEMa</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Saldo_Liq_PPD2</m:t>
              </m:r>
            </m:e>
            <m:sub>
              <m:r>
                <w:rPr>
                  <w:rFonts w:ascii="Cambria Math" w:eastAsia="Times New Roman" w:hAnsi="Cambria Math" w:cstheme="minorHAnsi"/>
                  <w:lang w:val="es-PE" w:eastAsia="en-US"/>
                </w:rPr>
                <m:t>j,t-1</m:t>
              </m:r>
            </m:sub>
          </m:sSub>
        </m:oMath>
      </m:oMathPara>
    </w:p>
    <w:p w14:paraId="11E9FBA2"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58672BB9"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p w14:paraId="0905490D"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tbl>
      <w:tblPr>
        <w:tblStyle w:val="Tablaconcuadrcula171"/>
        <w:tblW w:w="0" w:type="auto"/>
        <w:tblInd w:w="3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87"/>
        <w:gridCol w:w="5941"/>
      </w:tblGrid>
      <w:tr w:rsidR="004A2CCE" w:rsidRPr="00285D58" w14:paraId="56C8C415" w14:textId="77777777" w:rsidTr="002A6E25">
        <w:trPr>
          <w:trHeight w:val="75"/>
        </w:trPr>
        <w:tc>
          <w:tcPr>
            <w:tcW w:w="2187" w:type="dxa"/>
          </w:tcPr>
          <w:p w14:paraId="2AD0405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 xml:space="preserve">, </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41" w:type="dxa"/>
          </w:tcPr>
          <w:p w14:paraId="1240B0BB"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11 del presente Apéndice.</w:t>
            </w:r>
          </w:p>
        </w:tc>
      </w:tr>
      <w:tr w:rsidR="004A2CCE" w:rsidRPr="00285D58" w14:paraId="701D1AE8" w14:textId="77777777" w:rsidTr="002A6E25">
        <w:tc>
          <w:tcPr>
            <w:tcW w:w="2187" w:type="dxa"/>
          </w:tcPr>
          <w:p w14:paraId="6F1744C6" w14:textId="77777777" w:rsidR="004A2CCE" w:rsidRPr="00285D58" w:rsidRDefault="004A2CCE" w:rsidP="008D1FFF">
            <w:pPr>
              <w:widowControl/>
              <w:spacing w:before="120" w:after="160" w:line="276" w:lineRule="auto"/>
              <w:jc w:val="both"/>
              <w:rPr>
                <w:rFonts w:asciiTheme="minorHAnsi" w:eastAsia="Times New Roman" w:hAnsiTheme="minorHAnsi" w:cstheme="minorHAnsi"/>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6AB65664"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PPD2 máximo sujeto a Deducciones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0AC56AB1" w14:textId="77777777" w:rsidTr="002A6E25">
        <w:tc>
          <w:tcPr>
            <w:tcW w:w="2187" w:type="dxa"/>
          </w:tcPr>
          <w:p w14:paraId="279E3BA8"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i/>
                <w:iCs/>
                <w:sz w:val="22"/>
                <w:szCs w:val="22"/>
                <w:lang w:val="es-PE" w:eastAsia="en-US"/>
              </w:rPr>
              <w:t>:</w:t>
            </w:r>
          </w:p>
        </w:tc>
        <w:tc>
          <w:tcPr>
            <w:tcW w:w="5941" w:type="dxa"/>
          </w:tcPr>
          <w:p w14:paraId="7C635BCB"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Referencial al PPD2_DE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1F3C5221" w14:textId="77777777" w:rsidTr="002A6E25">
        <w:tc>
          <w:tcPr>
            <w:tcW w:w="2187" w:type="dxa"/>
          </w:tcPr>
          <w:p w14:paraId="529ACA29"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5941" w:type="dxa"/>
          </w:tcPr>
          <w:p w14:paraId="174A7A23"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por liquidar del PPD2 correspondiente a la liquidación del trimestre anterior, neto de la compensación de los ajustes.  El primer trimestre en que opere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el saldo por liquidar tiene un valor de cero. Cuando t es igual a 1, t-1 se refiere al trimestre 4 del Año Calendario anterior.</w:t>
            </w:r>
          </w:p>
        </w:tc>
      </w:tr>
    </w:tbl>
    <w:p w14:paraId="6827856A"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p>
    <w:p w14:paraId="4F363402"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Durante el Periodo de Operación del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r w:rsidRPr="00285D58">
        <w:rPr>
          <w:rFonts w:asciiTheme="minorHAnsi" w:eastAsia="Times New Roman" w:hAnsiTheme="minorHAnsi" w:cstheme="minorHAnsi"/>
          <w:vertAlign w:val="subscript"/>
          <w:lang w:val="es-PE" w:eastAsia="en-US"/>
        </w:rPr>
        <w:t xml:space="preserve">, </w:t>
      </w:r>
      <w:r w:rsidRPr="00285D58">
        <w:rPr>
          <w:rFonts w:asciiTheme="minorHAnsi" w:eastAsia="Times New Roman" w:hAnsiTheme="minorHAnsi" w:cstheme="minorHAnsi"/>
          <w:lang w:val="es-PE" w:eastAsia="en-US"/>
        </w:rPr>
        <w:t>el</w:t>
      </w:r>
      <w:r w:rsidRPr="00285D58">
        <w:rPr>
          <w:rFonts w:asciiTheme="minorHAnsi" w:eastAsia="Times New Roman" w:hAnsiTheme="minorHAnsi" w:cstheme="minorHAnsi"/>
          <w:vertAlign w:val="subscript"/>
          <w:lang w:val="es-PE" w:eastAsia="en-US"/>
        </w:rPr>
        <w:t xml:space="preserve"> </w:t>
      </w:r>
      <w:r w:rsidRPr="00285D58">
        <w:rPr>
          <w:rFonts w:asciiTheme="minorHAnsi" w:eastAsia="Aptos" w:hAnsiTheme="minorHAnsi" w:cstheme="minorHAnsi"/>
          <w:lang w:val="es-PE" w:eastAsia="en-US"/>
        </w:rPr>
        <w:t xml:space="preserve">PPD2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en el trimestre t, se calcula con la siguiente fórmula: </w:t>
      </w:r>
    </w:p>
    <w:tbl>
      <w:tblPr>
        <w:tblW w:w="16256" w:type="dxa"/>
        <w:tblCellMar>
          <w:left w:w="70" w:type="dxa"/>
          <w:right w:w="70" w:type="dxa"/>
        </w:tblCellMar>
        <w:tblLook w:val="04A0" w:firstRow="1" w:lastRow="0" w:firstColumn="1" w:lastColumn="0" w:noHBand="0" w:noVBand="1"/>
      </w:tblPr>
      <w:tblGrid>
        <w:gridCol w:w="1316"/>
        <w:gridCol w:w="996"/>
        <w:gridCol w:w="996"/>
        <w:gridCol w:w="996"/>
        <w:gridCol w:w="996"/>
        <w:gridCol w:w="996"/>
        <w:gridCol w:w="996"/>
        <w:gridCol w:w="996"/>
        <w:gridCol w:w="996"/>
        <w:gridCol w:w="996"/>
        <w:gridCol w:w="996"/>
        <w:gridCol w:w="996"/>
        <w:gridCol w:w="996"/>
        <w:gridCol w:w="996"/>
        <w:gridCol w:w="996"/>
        <w:gridCol w:w="996"/>
      </w:tblGrid>
      <w:tr w:rsidR="004A2CCE" w:rsidRPr="00285D58" w14:paraId="42FD861A" w14:textId="77777777" w:rsidTr="00242093">
        <w:trPr>
          <w:trHeight w:val="260"/>
        </w:trPr>
        <w:tc>
          <w:tcPr>
            <w:tcW w:w="1316" w:type="dxa"/>
            <w:tcBorders>
              <w:top w:val="nil"/>
              <w:left w:val="nil"/>
              <w:bottom w:val="nil"/>
              <w:right w:val="nil"/>
            </w:tcBorders>
            <w:shd w:val="clear" w:color="auto" w:fill="auto"/>
            <w:noWrap/>
            <w:vAlign w:val="bottom"/>
            <w:hideMark/>
          </w:tcPr>
          <w:p w14:paraId="6D761E4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7742C5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ED5AF0A"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16A8FDA2"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C16F203"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474F45D7"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4737208C"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8E873BA"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tcPr>
          <w:p w14:paraId="78AC6A61"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tcPr>
          <w:p w14:paraId="0979F3D8"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68C4876"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6EC4AA09"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09BC0CF0"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0E491BCC"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25BC14F6"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c>
          <w:tcPr>
            <w:tcW w:w="996" w:type="dxa"/>
            <w:tcBorders>
              <w:top w:val="nil"/>
              <w:left w:val="nil"/>
              <w:bottom w:val="nil"/>
              <w:right w:val="nil"/>
            </w:tcBorders>
            <w:shd w:val="clear" w:color="auto" w:fill="auto"/>
            <w:noWrap/>
            <w:vAlign w:val="bottom"/>
            <w:hideMark/>
          </w:tcPr>
          <w:p w14:paraId="3B7CEF85" w14:textId="77777777" w:rsidR="004A2CCE" w:rsidRPr="00285D58" w:rsidRDefault="004A2CCE" w:rsidP="008D1FFF">
            <w:pPr>
              <w:widowControl/>
              <w:spacing w:after="160" w:line="276" w:lineRule="auto"/>
              <w:jc w:val="both"/>
              <w:rPr>
                <w:rFonts w:asciiTheme="minorHAnsi" w:eastAsia="Aptos" w:hAnsiTheme="minorHAnsi" w:cstheme="minorHAnsi"/>
                <w:lang w:val="es-PE" w:eastAsia="en-US"/>
              </w:rPr>
            </w:pPr>
          </w:p>
        </w:tc>
      </w:tr>
    </w:tbl>
    <w:p w14:paraId="130E638C" w14:textId="5F8AB5F2"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m:oMathPara>
        <m:oMath>
          <m:r>
            <w:rPr>
              <w:rFonts w:ascii="Cambria Math" w:eastAsia="Aptos" w:hAnsi="Cambria Math" w:cstheme="minorHAnsi"/>
              <w:lang w:val="es-PE" w:eastAsia="en-US"/>
            </w:rPr>
            <m:t>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PD2_DEMax</m:t>
              </m:r>
            </m:e>
            <m:sub>
              <m:r>
                <w:rPr>
                  <w:rFonts w:ascii="Cambria Math" w:eastAsia="Aptos" w:hAnsi="Cambria Math" w:cstheme="minorHAnsi"/>
                  <w:lang w:val="es-PE" w:eastAsia="en-US"/>
                </w:rPr>
                <m:t>j,t</m:t>
              </m:r>
            </m:sub>
          </m:sSub>
          <m:r>
            <w:rPr>
              <w:rFonts w:ascii="Cambria Math" w:eastAsia="Aptos"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 xml:space="preserve">1-%Sup_Op </m:t>
              </m:r>
            </m:e>
          </m:d>
        </m:oMath>
      </m:oMathPara>
    </w:p>
    <w:p w14:paraId="2A0DAC01" w14:textId="77777777" w:rsidR="004A2CCE" w:rsidRPr="00285D58" w:rsidRDefault="004A2CCE" w:rsidP="008D1FFF">
      <w:pPr>
        <w:widowControl/>
        <w:spacing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Donde:</w:t>
      </w:r>
    </w:p>
    <w:tbl>
      <w:tblPr>
        <w:tblStyle w:val="Tablaconcuadrcula171"/>
        <w:tblW w:w="8473"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18"/>
        <w:gridCol w:w="6355"/>
      </w:tblGrid>
      <w:tr w:rsidR="004A2CCE" w:rsidRPr="00285D58" w14:paraId="45068853" w14:textId="77777777" w:rsidTr="002A6E25">
        <w:tc>
          <w:tcPr>
            <w:tcW w:w="2118" w:type="dxa"/>
          </w:tcPr>
          <w:p w14:paraId="698C7A67"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355" w:type="dxa"/>
          </w:tcPr>
          <w:p w14:paraId="4D40ABAA"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1562DB65" w14:textId="77777777" w:rsidTr="002A6E25">
        <w:trPr>
          <w:trHeight w:val="64"/>
        </w:trPr>
        <w:tc>
          <w:tcPr>
            <w:tcW w:w="2118" w:type="dxa"/>
          </w:tcPr>
          <w:p w14:paraId="26A8C3C0"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PPD2</w:t>
            </w:r>
            <w:r w:rsidRPr="00285D58">
              <w:rPr>
                <w:rFonts w:asciiTheme="minorHAnsi" w:hAnsiTheme="minorHAnsi" w:cstheme="minorHAnsi"/>
                <w:i/>
                <w:iCs/>
                <w:sz w:val="22"/>
                <w:szCs w:val="22"/>
                <w:vertAlign w:val="subscript"/>
                <w:lang w:val="es-PE" w:eastAsia="en-US"/>
              </w:rPr>
              <w:t>j, i</w:t>
            </w:r>
            <w:r w:rsidRPr="00285D58">
              <w:rPr>
                <w:rFonts w:asciiTheme="minorHAnsi" w:hAnsiTheme="minorHAnsi" w:cstheme="minorHAnsi"/>
                <w:i/>
                <w:iCs/>
                <w:sz w:val="22"/>
                <w:szCs w:val="22"/>
                <w:lang w:val="es-PE" w:eastAsia="en-US"/>
              </w:rPr>
              <w:t>:</w:t>
            </w:r>
          </w:p>
        </w:tc>
        <w:tc>
          <w:tcPr>
            <w:tcW w:w="6355" w:type="dxa"/>
          </w:tcPr>
          <w:p w14:paraId="336A704C" w14:textId="6772E51F"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9 del presente Apéndice.</w:t>
            </w:r>
          </w:p>
        </w:tc>
      </w:tr>
      <w:tr w:rsidR="004A2CCE" w:rsidRPr="00285D58" w14:paraId="098F35FC" w14:textId="77777777" w:rsidTr="002A6E25">
        <w:trPr>
          <w:trHeight w:val="558"/>
        </w:trPr>
        <w:tc>
          <w:tcPr>
            <w:tcW w:w="2118" w:type="dxa"/>
          </w:tcPr>
          <w:p w14:paraId="0C87659F"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%Sup_Op:</w:t>
            </w:r>
          </w:p>
        </w:tc>
        <w:tc>
          <w:tcPr>
            <w:tcW w:w="6355" w:type="dxa"/>
          </w:tcPr>
          <w:p w14:paraId="41523384" w14:textId="38732891"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Definido en el </w:t>
            </w:r>
            <w:r w:rsidR="006C38C0" w:rsidRPr="00285D58">
              <w:rPr>
                <w:rFonts w:asciiTheme="minorHAnsi" w:hAnsiTheme="minorHAnsi" w:cstheme="minorHAnsi"/>
                <w:sz w:val="22"/>
                <w:szCs w:val="22"/>
                <w:lang w:val="es-PE" w:eastAsia="en-US"/>
              </w:rPr>
              <w:t>numeral 12</w:t>
            </w:r>
            <w:r w:rsidRPr="00285D58">
              <w:rPr>
                <w:rFonts w:asciiTheme="minorHAnsi" w:hAnsiTheme="minorHAnsi" w:cstheme="minorHAnsi"/>
                <w:sz w:val="22"/>
                <w:szCs w:val="22"/>
                <w:lang w:val="es-PE" w:eastAsia="en-US"/>
              </w:rPr>
              <w:t xml:space="preserve"> del presente Apéndice.</w:t>
            </w:r>
          </w:p>
        </w:tc>
      </w:tr>
    </w:tbl>
    <w:p w14:paraId="5616AEA8" w14:textId="09E61898" w:rsidR="004A2CCE" w:rsidRPr="00285D58" w:rsidRDefault="004A2CCE" w:rsidP="008D1FFF">
      <w:pPr>
        <w:widowControl/>
        <w:spacing w:before="240" w:after="160" w:line="276" w:lineRule="auto"/>
        <w:ind w:left="42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Excepcionalmente, en el primer trimestre del Periodo Operativo de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 el PPD2</w:t>
      </w:r>
      <w:r w:rsidRPr="00285D58">
        <w:rPr>
          <w:rFonts w:asciiTheme="minorHAnsi" w:eastAsia="Aptos" w:hAnsiTheme="minorHAnsi" w:cstheme="minorHAnsi"/>
          <w:vertAlign w:val="subscript"/>
          <w:lang w:val="es-PE" w:eastAsia="en-US"/>
        </w:rPr>
        <w:t xml:space="preserve">j, i </w:t>
      </w:r>
      <w:r w:rsidRPr="00285D58">
        <w:rPr>
          <w:rFonts w:asciiTheme="minorHAnsi" w:eastAsia="Aptos" w:hAnsiTheme="minorHAnsi" w:cstheme="minorHAnsi"/>
          <w:lang w:val="es-PE" w:eastAsia="en-US"/>
        </w:rPr>
        <w:t xml:space="preserve">para el cálculo del PPD2_DEMax se ajustará en proporción a los Días </w:t>
      </w:r>
      <w:r w:rsidR="001422DF" w:rsidRPr="00285D58">
        <w:rPr>
          <w:rFonts w:asciiTheme="minorHAnsi" w:eastAsia="Aptos" w:hAnsiTheme="minorHAnsi" w:cstheme="minorHAnsi"/>
          <w:lang w:val="es-PE" w:eastAsia="en-US"/>
        </w:rPr>
        <w:t xml:space="preserve">Calendario efectivos </w:t>
      </w:r>
      <w:r w:rsidRPr="00285D58">
        <w:rPr>
          <w:rFonts w:asciiTheme="minorHAnsi" w:eastAsia="Aptos" w:hAnsiTheme="minorHAnsi" w:cstheme="minorHAnsi"/>
          <w:lang w:val="es-PE" w:eastAsia="en-US"/>
        </w:rPr>
        <w:t xml:space="preserve">de </w:t>
      </w:r>
      <w:r w:rsidR="001422DF" w:rsidRPr="00285D58">
        <w:rPr>
          <w:rFonts w:asciiTheme="minorHAnsi" w:eastAsia="Aptos" w:hAnsiTheme="minorHAnsi" w:cstheme="minorHAnsi"/>
          <w:lang w:val="es-PE" w:eastAsia="en-US"/>
        </w:rPr>
        <w:t xml:space="preserve">operación </w:t>
      </w:r>
      <w:r w:rsidRPr="00285D58">
        <w:rPr>
          <w:rFonts w:asciiTheme="minorHAnsi" w:eastAsia="Aptos" w:hAnsiTheme="minorHAnsi" w:cstheme="minorHAnsi"/>
          <w:lang w:val="es-PE" w:eastAsia="en-US"/>
        </w:rPr>
        <w:t xml:space="preserve">del trimestre. Del mismo modo, se procederá en el último trimestre de Operación de cada </w:t>
      </w:r>
      <w:r w:rsidR="006C38C0" w:rsidRPr="00285D58">
        <w:rPr>
          <w:rFonts w:asciiTheme="minorHAnsi" w:eastAsia="Calibri" w:hAnsiTheme="minorHAnsi" w:cstheme="minorHAnsi"/>
          <w:lang w:val="es-PE" w:eastAsia="en-US"/>
        </w:rPr>
        <w:t>Componente</w:t>
      </w:r>
      <w:r w:rsidR="006C38C0" w:rsidRPr="00285D58" w:rsidDel="00B5645A">
        <w:rPr>
          <w:rFonts w:asciiTheme="minorHAnsi" w:eastAsia="Aptos" w:hAnsiTheme="minorHAnsi" w:cstheme="minorHAnsi"/>
          <w:lang w:val="es-PE" w:eastAsia="en-US"/>
        </w:rPr>
        <w:t xml:space="preserve"> </w:t>
      </w:r>
      <w:r w:rsidR="006C38C0" w:rsidRPr="00285D58">
        <w:rPr>
          <w:rFonts w:asciiTheme="minorHAnsi" w:eastAsia="Aptos" w:hAnsiTheme="minorHAnsi" w:cstheme="minorHAnsi"/>
          <w:lang w:val="es-PE" w:eastAsia="en-US"/>
        </w:rPr>
        <w:t>j.</w:t>
      </w:r>
      <w:r w:rsidRPr="00285D58">
        <w:rPr>
          <w:rFonts w:asciiTheme="minorHAnsi" w:eastAsia="Aptos" w:hAnsiTheme="minorHAnsi" w:cstheme="minorHAnsi"/>
          <w:lang w:val="es-PE" w:eastAsia="en-US"/>
        </w:rPr>
        <w:t xml:space="preserve"> Para dicho efecto, el factor </w:t>
      </w:r>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1-%Sup_Op</m:t>
                </m:r>
              </m:e>
            </m:d>
          </m:e>
        </m:d>
      </m:oMath>
      <w:r w:rsidRPr="00285D58">
        <w:rPr>
          <w:rFonts w:asciiTheme="minorHAnsi" w:eastAsia="Aptos" w:hAnsiTheme="minorHAnsi" w:cstheme="minorHAnsi"/>
          <w:lang w:val="es-PE" w:eastAsia="en-US"/>
        </w:rPr>
        <w:t xml:space="preserve"> de la fórmula precedente, se reemplazará por el siguiente factor de ajuste:</w:t>
      </w:r>
    </w:p>
    <w:p w14:paraId="3F374005" w14:textId="6D76D01C" w:rsidR="004A2CCE" w:rsidRPr="00285D58" w:rsidRDefault="00000000" w:rsidP="008D1FFF">
      <w:pPr>
        <w:widowControl/>
        <w:spacing w:after="160" w:line="276" w:lineRule="auto"/>
        <w:ind w:left="360"/>
        <w:jc w:val="both"/>
        <w:rPr>
          <w:rFonts w:asciiTheme="minorHAnsi" w:eastAsia="Times New Roman" w:hAnsiTheme="minorHAnsi" w:cstheme="minorHAnsi"/>
          <w:lang w:val="es-PE" w:eastAsia="en-US"/>
        </w:rPr>
      </w:pPr>
      <m:oMathPara>
        <m:oMath>
          <m:d>
            <m:dPr>
              <m:begChr m:val="["/>
              <m:endChr m:val="]"/>
              <m:ctrlPr>
                <w:rPr>
                  <w:rFonts w:ascii="Cambria Math" w:eastAsia="Times New Roman" w:hAnsi="Cambria Math" w:cstheme="minorHAnsi"/>
                  <w:i/>
                  <w:lang w:val="es-PE" w:eastAsia="en-US"/>
                </w:rPr>
              </m:ctrlPr>
            </m:dPr>
            <m:e>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PPD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2</m:t>
                      </m:r>
                    </m:e>
                    <m:sub>
                      <m:r>
                        <w:rPr>
                          <w:rFonts w:ascii="Cambria Math" w:eastAsia="Times New Roman" w:hAnsi="Cambria Math" w:cstheme="minorHAnsi"/>
                          <w:lang w:val="es-PE" w:eastAsia="en-US"/>
                        </w:rPr>
                        <m:t>j,i</m:t>
                      </m:r>
                    </m:sub>
                  </m:sSub>
                </m:num>
                <m:den>
                  <m:r>
                    <w:rPr>
                      <w:rFonts w:ascii="Cambria Math" w:eastAsia="Times New Roman" w:hAnsi="Cambria Math" w:cstheme="minorHAnsi"/>
                      <w:lang w:val="es-PE" w:eastAsia="en-US"/>
                    </w:rPr>
                    <m:t>4</m:t>
                  </m:r>
                </m:den>
              </m:f>
              <m:r>
                <w:rPr>
                  <w:rFonts w:ascii="Cambria Math" w:eastAsia="Times New Roman" w:hAnsi="Cambria Math" w:cstheme="minorHAnsi"/>
                  <w:lang w:val="es-PE" w:eastAsia="en-US"/>
                </w:rPr>
                <m:t>×</m:t>
              </m:r>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1-%Sup_Op</m:t>
                  </m:r>
                </m:e>
              </m:d>
            </m:e>
          </m:d>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DíasEfectivos</m:t>
              </m:r>
            </m:num>
            <m:den>
              <m:r>
                <w:rPr>
                  <w:rFonts w:ascii="Cambria Math" w:eastAsia="Times New Roman" w:hAnsi="Cambria Math" w:cstheme="minorHAnsi"/>
                  <w:lang w:val="es-PE" w:eastAsia="en-US"/>
                </w:rPr>
                <m:t>90</m:t>
              </m:r>
            </m:den>
          </m:f>
        </m:oMath>
      </m:oMathPara>
    </w:p>
    <w:p w14:paraId="459FC340" w14:textId="77777777" w:rsidR="004A2CCE" w:rsidRPr="00285D58" w:rsidRDefault="004A2CCE" w:rsidP="008D1FFF">
      <w:pPr>
        <w:widowControl/>
        <w:spacing w:after="160" w:line="276" w:lineRule="auto"/>
        <w:ind w:left="360"/>
        <w:jc w:val="both"/>
        <w:rPr>
          <w:rFonts w:asciiTheme="minorHAnsi" w:eastAsia="Times New Roman"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031"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7"/>
        <w:gridCol w:w="6784"/>
      </w:tblGrid>
      <w:tr w:rsidR="004A2CCE" w:rsidRPr="00285D58" w14:paraId="7FAE0F40" w14:textId="77777777" w:rsidTr="00242093">
        <w:tc>
          <w:tcPr>
            <w:tcW w:w="1247" w:type="dxa"/>
          </w:tcPr>
          <w:p w14:paraId="1D125A60" w14:textId="27701784"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lang w:val="es-PE" w:eastAsia="en-US"/>
              </w:rPr>
              <w:t>Días</w:t>
            </w:r>
            <w:r w:rsidR="001422DF" w:rsidRPr="00285D58">
              <w:rPr>
                <w:rFonts w:asciiTheme="minorHAnsi" w:hAnsiTheme="minorHAnsi" w:cstheme="minorHAnsi"/>
                <w:i/>
                <w:iCs/>
                <w:lang w:val="es-PE" w:eastAsia="en-US"/>
              </w:rPr>
              <w:t xml:space="preserve"> </w:t>
            </w:r>
            <w:r w:rsidRPr="00285D58">
              <w:rPr>
                <w:rFonts w:asciiTheme="minorHAnsi" w:hAnsiTheme="minorHAnsi" w:cstheme="minorHAnsi"/>
                <w:i/>
                <w:iCs/>
                <w:lang w:val="es-PE" w:eastAsia="en-US"/>
              </w:rPr>
              <w:t>Efectivos:</w:t>
            </w:r>
            <w:r w:rsidRPr="00285D58">
              <w:rPr>
                <w:rFonts w:asciiTheme="minorHAnsi" w:hAnsiTheme="minorHAnsi" w:cstheme="minorHAnsi"/>
                <w:i/>
                <w:iCs/>
                <w:vertAlign w:val="subscript"/>
                <w:lang w:val="es-PE" w:eastAsia="en-US"/>
              </w:rPr>
              <w:t xml:space="preserve"> </w:t>
            </w:r>
          </w:p>
        </w:tc>
        <w:tc>
          <w:tcPr>
            <w:tcW w:w="6784" w:type="dxa"/>
          </w:tcPr>
          <w:p w14:paraId="6421CC78" w14:textId="5B4A32D8"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lang w:val="es-PE" w:eastAsia="en-US"/>
              </w:rPr>
              <w:t xml:space="preserve">Días </w:t>
            </w:r>
            <w:r w:rsidR="001422DF" w:rsidRPr="00285D58">
              <w:rPr>
                <w:rFonts w:asciiTheme="minorHAnsi" w:hAnsiTheme="minorHAnsi" w:cstheme="minorHAnsi"/>
                <w:lang w:val="es-PE" w:eastAsia="en-US"/>
              </w:rPr>
              <w:t xml:space="preserve">calendario efectivos </w:t>
            </w:r>
            <w:r w:rsidRPr="00285D58">
              <w:rPr>
                <w:rFonts w:asciiTheme="minorHAnsi" w:hAnsiTheme="minorHAnsi" w:cstheme="minorHAnsi"/>
                <w:lang w:val="es-PE" w:eastAsia="en-US"/>
              </w:rPr>
              <w:t xml:space="preserve">de operación del trimestre t del </w:t>
            </w:r>
            <w:r w:rsidRPr="00285D58">
              <w:rPr>
                <w:rFonts w:asciiTheme="minorHAnsi" w:eastAsia="Calibri" w:hAnsiTheme="minorHAnsi" w:cstheme="minorHAnsi"/>
                <w:lang w:val="es-PE" w:eastAsia="en-US"/>
              </w:rPr>
              <w:t>Componente</w:t>
            </w:r>
            <w:r w:rsidRPr="00285D58">
              <w:rPr>
                <w:rFonts w:asciiTheme="minorHAnsi" w:hAnsiTheme="minorHAnsi" w:cstheme="minorHAnsi"/>
                <w:lang w:val="es-PE" w:eastAsia="en-US"/>
              </w:rPr>
              <w:t xml:space="preserve"> j.</w:t>
            </w:r>
          </w:p>
        </w:tc>
      </w:tr>
    </w:tbl>
    <w:p w14:paraId="538C0D86" w14:textId="77777777" w:rsidR="004A2CCE" w:rsidRPr="00285D58" w:rsidRDefault="004A2CCE" w:rsidP="008D1FFF">
      <w:pPr>
        <w:widowControl/>
        <w:spacing w:line="276" w:lineRule="auto"/>
        <w:ind w:left="425"/>
        <w:jc w:val="both"/>
        <w:rPr>
          <w:rFonts w:asciiTheme="minorHAnsi" w:eastAsia="Aptos" w:hAnsiTheme="minorHAnsi" w:cstheme="minorHAnsi"/>
          <w:lang w:val="es-PE" w:eastAsia="en-US"/>
        </w:rPr>
      </w:pPr>
    </w:p>
    <w:p w14:paraId="3EEFB083" w14:textId="77777777"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bookmarkStart w:id="297" w:name="_Ref174019318"/>
      <w:r w:rsidRPr="00285D58">
        <w:rPr>
          <w:rFonts w:asciiTheme="minorHAnsi" w:eastAsia="Times New Roman" w:hAnsiTheme="minorHAnsi" w:cstheme="minorHAnsi"/>
          <w:lang w:val="es-PE" w:eastAsia="en-US"/>
        </w:rPr>
        <w:t xml:space="preserve">En función a la calificación de los Niveles de Servicio de cada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para el trimestre t, se calculará la Deducción al PPD2 que corresponda en dicho trimestre. La Deducción (</w:t>
      </w:r>
      <w:r w:rsidRPr="00285D58">
        <w:rPr>
          <w:rFonts w:asciiTheme="minorHAnsi" w:eastAsia="Aptos" w:hAnsiTheme="minorHAnsi" w:cstheme="minorHAnsi"/>
          <w:i/>
          <w:iCs/>
          <w:lang w:val="es-PE" w:eastAsia="en-US"/>
        </w:rPr>
        <w:t>Ded_PPD2</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y la Deducción Referencial (</w:t>
      </w:r>
      <w:r w:rsidRPr="00285D58">
        <w:rPr>
          <w:rFonts w:asciiTheme="minorHAnsi" w:eastAsia="Aptos" w:hAnsiTheme="minorHAnsi" w:cstheme="minorHAnsi"/>
          <w:i/>
          <w:iCs/>
          <w:lang w:val="es-PE" w:eastAsia="en-US"/>
        </w:rPr>
        <w:t>DedRef_PPD2</w:t>
      </w:r>
      <w:r w:rsidRPr="00285D58">
        <w:rPr>
          <w:rFonts w:asciiTheme="minorHAnsi" w:eastAsia="Aptos" w:hAnsiTheme="minorHAnsi" w:cstheme="minorHAnsi"/>
          <w:i/>
          <w:iCs/>
          <w:vertAlign w:val="subscript"/>
          <w:lang w:val="es-PE" w:eastAsia="en-US"/>
        </w:rPr>
        <w:t>j,t</w:t>
      </w:r>
      <w:r w:rsidRPr="00285D58">
        <w:rPr>
          <w:rFonts w:asciiTheme="minorHAnsi" w:eastAsia="Times New Roman" w:hAnsiTheme="minorHAnsi" w:cstheme="minorHAnsi"/>
          <w:lang w:val="es-PE" w:eastAsia="en-US"/>
        </w:rPr>
        <w:t>) se determinarán en cada periodo de liquidación trimestral según lo siguiente:</w:t>
      </w:r>
      <w:bookmarkEnd w:id="297"/>
      <w:r w:rsidRPr="00285D58">
        <w:rPr>
          <w:rFonts w:asciiTheme="minorHAnsi" w:eastAsia="Times New Roman" w:hAnsiTheme="minorHAnsi" w:cstheme="minorHAnsi"/>
          <w:lang w:val="es-PE" w:eastAsia="en-US"/>
        </w:rPr>
        <w:t xml:space="preserve"> </w:t>
      </w:r>
    </w:p>
    <w:p w14:paraId="0C535B79"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74E8E82D"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PPD2_DEMax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d>
                <m:dPr>
                  <m:ctrlPr>
                    <w:rPr>
                      <w:rFonts w:ascii="Cambria Math" w:eastAsia="Times New Roman" w:hAnsi="Cambria Math" w:cstheme="minorHAnsi"/>
                      <w:i/>
                      <w:lang w:val="es-PE" w:eastAsia="en-US"/>
                    </w:rPr>
                  </m:ctrlPr>
                </m:dPr>
                <m:e>
                  <m:r>
                    <w:rPr>
                      <w:rFonts w:ascii="Cambria Math" w:eastAsia="Times New Roman" w:hAnsi="Cambria Math" w:cstheme="minorHAnsi"/>
                      <w:lang w:val="es-PE" w:eastAsia="en-US"/>
                    </w:rPr>
                    <m:t>100-IdxSer</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v</m:t>
                      </m:r>
                    </m:e>
                    <m:sub>
                      <m:r>
                        <w:rPr>
                          <w:rFonts w:ascii="Cambria Math" w:eastAsia="Times New Roman" w:hAnsi="Cambria Math" w:cstheme="minorHAnsi"/>
                          <w:lang w:val="es-PE" w:eastAsia="en-US"/>
                        </w:rPr>
                        <m:t>j,t</m:t>
                      </m:r>
                    </m:sub>
                  </m:sSub>
                </m:e>
              </m:d>
            </m:num>
            <m:den>
              <m:r>
                <w:rPr>
                  <w:rFonts w:ascii="Cambria Math" w:eastAsia="Times New Roman" w:hAnsi="Cambria Math" w:cstheme="minorHAnsi"/>
                  <w:lang w:val="es-PE" w:eastAsia="en-US"/>
                </w:rPr>
                <m:t>100</m:t>
              </m:r>
            </m:den>
          </m:f>
        </m:oMath>
      </m:oMathPara>
    </w:p>
    <w:p w14:paraId="26200188"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p>
    <w:p w14:paraId="34E7898F"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dRef_PPD2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PPD2_DEMax</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f>
            <m:fPr>
              <m:ctrlPr>
                <w:rPr>
                  <w:rFonts w:ascii="Cambria Math" w:eastAsia="Times New Roman" w:hAnsi="Cambria Math" w:cstheme="minorHAnsi"/>
                  <w:i/>
                  <w:lang w:val="es-PE" w:eastAsia="en-US"/>
                </w:rPr>
              </m:ctrlPr>
            </m:fPr>
            <m:num>
              <m:r>
                <w:rPr>
                  <w:rFonts w:ascii="Cambria Math" w:eastAsia="Times New Roman" w:hAnsi="Cambria Math" w:cstheme="minorHAnsi"/>
                  <w:lang w:val="es-PE" w:eastAsia="en-US"/>
                </w:rPr>
                <m:t>(100-IdxMi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n</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t>
              </m:r>
            </m:num>
            <m:den>
              <m:r>
                <w:rPr>
                  <w:rFonts w:ascii="Cambria Math" w:eastAsia="Times New Roman" w:hAnsi="Cambria Math" w:cstheme="minorHAnsi"/>
                  <w:lang w:val="es-PE" w:eastAsia="en-US"/>
                </w:rPr>
                <m:t>100</m:t>
              </m:r>
            </m:den>
          </m:f>
        </m:oMath>
      </m:oMathPara>
    </w:p>
    <w:p w14:paraId="319513E8"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            Donde:</w:t>
      </w:r>
    </w:p>
    <w:tbl>
      <w:tblPr>
        <w:tblStyle w:val="Tablaconcuadrcula171"/>
        <w:tblW w:w="7962" w:type="dxa"/>
        <w:tblInd w:w="5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23"/>
        <w:gridCol w:w="6139"/>
      </w:tblGrid>
      <w:tr w:rsidR="004A2CCE" w:rsidRPr="00285D58" w14:paraId="7BE40ECE" w14:textId="77777777" w:rsidTr="002A6E25">
        <w:trPr>
          <w:trHeight w:val="49"/>
        </w:trPr>
        <w:tc>
          <w:tcPr>
            <w:tcW w:w="1823" w:type="dxa"/>
          </w:tcPr>
          <w:p w14:paraId="3F2986C5"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37240517"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Deducción al PPD2_DE del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w:t>
            </w:r>
          </w:p>
        </w:tc>
      </w:tr>
      <w:tr w:rsidR="004A2CCE" w:rsidRPr="00285D58" w14:paraId="67707676" w14:textId="77777777" w:rsidTr="002A6E25">
        <w:trPr>
          <w:trHeight w:val="49"/>
        </w:trPr>
        <w:tc>
          <w:tcPr>
            <w:tcW w:w="1823" w:type="dxa"/>
          </w:tcPr>
          <w:p w14:paraId="7718F1AA"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6139" w:type="dxa"/>
          </w:tcPr>
          <w:p w14:paraId="12FBF847" w14:textId="365B292E"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60CA6369" w14:textId="77777777" w:rsidTr="002A6E25">
        <w:trPr>
          <w:trHeight w:val="49"/>
        </w:trPr>
        <w:tc>
          <w:tcPr>
            <w:tcW w:w="1823" w:type="dxa"/>
          </w:tcPr>
          <w:p w14:paraId="607D6F5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 t</w:t>
            </w:r>
            <w:r w:rsidRPr="00285D58">
              <w:rPr>
                <w:rFonts w:asciiTheme="minorHAnsi" w:hAnsiTheme="minorHAnsi" w:cstheme="minorHAnsi"/>
                <w:sz w:val="22"/>
                <w:szCs w:val="22"/>
                <w:lang w:val="es-PE" w:eastAsia="en-US"/>
              </w:rPr>
              <w:t>:</w:t>
            </w:r>
            <w:r w:rsidRPr="00285D58">
              <w:rPr>
                <w:rFonts w:asciiTheme="minorHAnsi" w:hAnsiTheme="minorHAnsi" w:cstheme="minorHAnsi"/>
                <w:i/>
                <w:iCs/>
                <w:sz w:val="22"/>
                <w:szCs w:val="22"/>
                <w:lang w:val="es-PE" w:eastAsia="en-US"/>
              </w:rPr>
              <w:t xml:space="preserve"> </w:t>
            </w:r>
          </w:p>
        </w:tc>
        <w:tc>
          <w:tcPr>
            <w:tcW w:w="6139" w:type="dxa"/>
          </w:tcPr>
          <w:p w14:paraId="4724908E" w14:textId="62479E3A"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r w:rsidR="004A2CCE" w:rsidRPr="00285D58" w14:paraId="12D704D1" w14:textId="77777777" w:rsidTr="002A6E25">
        <w:trPr>
          <w:trHeight w:val="49"/>
        </w:trPr>
        <w:tc>
          <w:tcPr>
            <w:tcW w:w="1823" w:type="dxa"/>
          </w:tcPr>
          <w:p w14:paraId="4F54AC74"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7E68BAE6" w14:textId="506F0614" w:rsidR="004A2CCE" w:rsidRPr="00285D58" w:rsidRDefault="006C38C0"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de Servicio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vertAlign w:val="subscript"/>
                <w:lang w:val="es-PE" w:eastAsia="en-US"/>
              </w:rPr>
              <w:t xml:space="preserve"> j,</w:t>
            </w:r>
            <w:r w:rsidRPr="00285D58">
              <w:rPr>
                <w:rFonts w:asciiTheme="minorHAnsi" w:hAnsiTheme="minorHAnsi" w:cstheme="minorHAnsi"/>
                <w:sz w:val="22"/>
                <w:szCs w:val="22"/>
                <w:lang w:val="es-PE" w:eastAsia="en-US"/>
              </w:rPr>
              <w:t xml:space="preserve"> en el trimestre t, conforme al cálculo establecido en el Apéndice 3 del presente Anexo.</w:t>
            </w:r>
          </w:p>
        </w:tc>
      </w:tr>
      <w:tr w:rsidR="004A2CCE" w:rsidRPr="00285D58" w14:paraId="6B7FB8E5" w14:textId="77777777" w:rsidTr="002A6E25">
        <w:trPr>
          <w:trHeight w:val="49"/>
        </w:trPr>
        <w:tc>
          <w:tcPr>
            <w:tcW w:w="1823" w:type="dxa"/>
          </w:tcPr>
          <w:p w14:paraId="5DE071C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IdxMin</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39" w:type="dxa"/>
          </w:tcPr>
          <w:p w14:paraId="06790349" w14:textId="77777777"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Índice Mínimo para la Deducción referencial, equivalente a ___% (______por ciento). </w:t>
            </w:r>
          </w:p>
        </w:tc>
      </w:tr>
    </w:tbl>
    <w:p w14:paraId="0796C86D" w14:textId="77777777" w:rsidR="006C38C0" w:rsidRPr="00285D58" w:rsidRDefault="006C38C0" w:rsidP="006C38C0">
      <w:pPr>
        <w:rPr>
          <w:rFonts w:asciiTheme="minorHAnsi" w:hAnsiTheme="minorHAnsi" w:cstheme="minorHAnsi"/>
        </w:rPr>
      </w:pPr>
      <w:bookmarkStart w:id="298" w:name="_Ref174021105"/>
    </w:p>
    <w:p w14:paraId="1DE51DEF" w14:textId="475AF5DC" w:rsidR="004A2CCE" w:rsidRPr="00285D58" w:rsidRDefault="004A2CCE" w:rsidP="00A3732C">
      <w:pPr>
        <w:widowControl/>
        <w:numPr>
          <w:ilvl w:val="0"/>
          <w:numId w:val="70"/>
        </w:numPr>
        <w:spacing w:after="160" w:line="276" w:lineRule="auto"/>
        <w:ind w:left="36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Para el cálculo del saldo a liquidar del PPD2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en el trimestre t, se aplicarán las siguientes consideraciones:</w:t>
      </w:r>
      <w:bookmarkEnd w:id="298"/>
    </w:p>
    <w:p w14:paraId="79BA0D4C" w14:textId="77777777" w:rsidR="004A2CCE" w:rsidRPr="00285D58" w:rsidRDefault="004A2CCE" w:rsidP="008D1FFF">
      <w:pPr>
        <w:widowControl/>
        <w:spacing w:after="160" w:line="276" w:lineRule="auto"/>
        <w:ind w:left="360"/>
        <w:contextualSpacing/>
        <w:jc w:val="both"/>
        <w:rPr>
          <w:rFonts w:asciiTheme="minorHAnsi" w:eastAsia="Times New Roman" w:hAnsiTheme="minorHAnsi" w:cstheme="minorHAnsi"/>
          <w:lang w:val="es-PE" w:eastAsia="en-US"/>
        </w:rPr>
      </w:pPr>
    </w:p>
    <w:p w14:paraId="719D14A4" w14:textId="77777777"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Se determina la diferencia entre la Deducción referencial y la Deducción correspondiente a los Niveles de Servicio para el trimestre t para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w:t>
      </w:r>
    </w:p>
    <w:p w14:paraId="322DD77B"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23B065EC" w14:textId="77777777" w:rsidR="004A2CCE" w:rsidRPr="00285D58" w:rsidRDefault="004A2CCE" w:rsidP="008D1FFF">
      <w:pPr>
        <w:widowControl/>
        <w:spacing w:after="160" w:line="276" w:lineRule="auto"/>
        <w:jc w:val="both"/>
        <w:rPr>
          <w:rFonts w:asciiTheme="minorHAnsi" w:eastAsia="Times New Roman" w:hAnsiTheme="minorHAnsi" w:cstheme="minorHAnsi"/>
          <w:lang w:val="es-PE" w:eastAsia="en-US"/>
        </w:rPr>
      </w:pPr>
      <m:oMathPara>
        <m:oMathParaPr>
          <m:jc m:val="center"/>
        </m:oMathParaPr>
        <m:oMath>
          <m:r>
            <w:rPr>
              <w:rFonts w:ascii="Cambria Math" w:eastAsia="Times New Roman" w:hAnsi="Cambria Math" w:cstheme="minorHAnsi"/>
              <w:lang w:val="es-PE" w:eastAsia="en-US"/>
            </w:rPr>
            <m:t>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=DedRe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f_PPD2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-De</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d_PPD2</m:t>
              </m:r>
            </m:e>
            <m:sub>
              <m:r>
                <w:rPr>
                  <w:rFonts w:ascii="Cambria Math" w:eastAsia="Times New Roman" w:hAnsi="Cambria Math" w:cstheme="minorHAnsi"/>
                  <w:lang w:val="es-PE" w:eastAsia="en-US"/>
                </w:rPr>
                <m:t>j,t</m:t>
              </m:r>
            </m:sub>
          </m:sSub>
        </m:oMath>
      </m:oMathPara>
    </w:p>
    <w:p w14:paraId="4142D93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tbl>
      <w:tblPr>
        <w:tblStyle w:val="Tablaconcuadrcula171"/>
        <w:tblW w:w="0" w:type="auto"/>
        <w:tblInd w:w="127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61"/>
        <w:gridCol w:w="5991"/>
      </w:tblGrid>
      <w:tr w:rsidR="004A2CCE" w:rsidRPr="00285D58" w14:paraId="289ADD11" w14:textId="77777777" w:rsidTr="002A6E25">
        <w:tc>
          <w:tcPr>
            <w:tcW w:w="1561" w:type="dxa"/>
          </w:tcPr>
          <w:p w14:paraId="0F5BE3B6"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w:t>
            </w:r>
            <w:r w:rsidRPr="00285D58">
              <w:rPr>
                <w:rFonts w:asciiTheme="minorHAnsi" w:hAnsiTheme="minorHAnsi" w:cstheme="minorHAnsi"/>
                <w:i/>
                <w:iCs/>
                <w:sz w:val="22"/>
                <w:szCs w:val="22"/>
                <w:lang w:val="es-PE" w:eastAsia="en-US"/>
              </w:rPr>
              <w:t>,</w:t>
            </w:r>
            <w:r w:rsidRPr="00285D58">
              <w:rPr>
                <w:rFonts w:asciiTheme="minorHAnsi" w:hAnsiTheme="minorHAnsi" w:cstheme="minorHAnsi"/>
                <w:i/>
                <w:iCs/>
                <w:sz w:val="22"/>
                <w:szCs w:val="22"/>
                <w:vertAlign w:val="subscript"/>
                <w:lang w:val="es-PE" w:eastAsia="en-US"/>
              </w:rPr>
              <w:t>t</w:t>
            </w:r>
            <w:r w:rsidRPr="00285D58">
              <w:rPr>
                <w:rFonts w:asciiTheme="minorHAnsi" w:hAnsiTheme="minorHAnsi" w:cstheme="minorHAnsi"/>
                <w:i/>
                <w:iCs/>
                <w:sz w:val="22"/>
                <w:szCs w:val="22"/>
                <w:lang w:val="es-PE" w:eastAsia="en-US"/>
              </w:rPr>
              <w:t>:</w:t>
            </w:r>
          </w:p>
        </w:tc>
        <w:tc>
          <w:tcPr>
            <w:tcW w:w="5991" w:type="dxa"/>
          </w:tcPr>
          <w:p w14:paraId="533B64E7" w14:textId="56D0B7EF"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 del </w:t>
            </w:r>
            <w:r w:rsidR="001C36F3" w:rsidRPr="00285D58">
              <w:rPr>
                <w:rFonts w:asciiTheme="minorHAnsi" w:hAnsiTheme="minorHAnsi" w:cstheme="minorHAnsi"/>
                <w:sz w:val="22"/>
                <w:szCs w:val="22"/>
                <w:lang w:val="es-PE" w:eastAsia="en-US"/>
              </w:rPr>
              <w:t xml:space="preserve">PPD2 correspondiente a la liquidación del trimestre t para el Componente j. </w:t>
            </w:r>
          </w:p>
        </w:tc>
      </w:tr>
      <w:tr w:rsidR="004A2CCE" w:rsidRPr="00285D58" w14:paraId="1325253B" w14:textId="77777777" w:rsidTr="002A6E25">
        <w:tc>
          <w:tcPr>
            <w:tcW w:w="1561" w:type="dxa"/>
          </w:tcPr>
          <w:p w14:paraId="581FA546"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5991" w:type="dxa"/>
          </w:tcPr>
          <w:p w14:paraId="51144EF0" w14:textId="708E1313"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20 del presente Apéndice.</w:t>
            </w:r>
          </w:p>
        </w:tc>
      </w:tr>
      <w:tr w:rsidR="004A2CCE" w:rsidRPr="00285D58" w14:paraId="6C01F1DE" w14:textId="77777777" w:rsidTr="002A6E25">
        <w:trPr>
          <w:trHeight w:val="70"/>
        </w:trPr>
        <w:tc>
          <w:tcPr>
            <w:tcW w:w="1561" w:type="dxa"/>
          </w:tcPr>
          <w:p w14:paraId="13120C52" w14:textId="77777777" w:rsidR="004A2CCE" w:rsidRPr="00285D58" w:rsidRDefault="004A2CCE" w:rsidP="008D1FFF">
            <w:pPr>
              <w:widowControl/>
              <w:spacing w:before="120"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5991" w:type="dxa"/>
          </w:tcPr>
          <w:p w14:paraId="366F6EFF" w14:textId="157EB159" w:rsidR="004A2CCE" w:rsidRPr="00285D58" w:rsidRDefault="004A2CCE" w:rsidP="008D1FFF">
            <w:pPr>
              <w:widowControl/>
              <w:spacing w:before="120"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Definido en el numeral 18 del presente Apéndice.</w:t>
            </w:r>
          </w:p>
        </w:tc>
      </w:tr>
    </w:tbl>
    <w:p w14:paraId="21A8CB8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395F4CE" w14:textId="6E06CB55" w:rsidR="004A2CCE" w:rsidRPr="00285D58" w:rsidRDefault="004A2CCE" w:rsidP="00A3732C">
      <w:pPr>
        <w:widowControl/>
        <w:numPr>
          <w:ilvl w:val="0"/>
          <w:numId w:val="214"/>
        </w:numPr>
        <w:spacing w:after="160" w:line="276" w:lineRule="auto"/>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Se determinará el Ajuste_PPD2</w:t>
      </w:r>
      <w:r w:rsidRPr="00285D58">
        <w:rPr>
          <w:rFonts w:asciiTheme="minorHAnsi" w:eastAsia="Times New Roman" w:hAnsiTheme="minorHAnsi" w:cstheme="minorHAnsi"/>
          <w:vertAlign w:val="subscript"/>
          <w:lang w:val="es-PE" w:eastAsia="en-US"/>
        </w:rPr>
        <w:t>j,t</w:t>
      </w:r>
      <w:r w:rsidRPr="00285D58">
        <w:rPr>
          <w:rFonts w:asciiTheme="minorHAnsi" w:eastAsia="Times New Roman" w:hAnsiTheme="minorHAnsi" w:cstheme="minorHAnsi"/>
          <w:lang w:val="es-PE" w:eastAsia="en-US"/>
        </w:rPr>
        <w:t xml:space="preserve"> que resulta de la acumulación con los saldos negativos previos, si es que </w:t>
      </w:r>
      <w:r w:rsidR="002A6E25" w:rsidRPr="00285D58">
        <w:rPr>
          <w:rFonts w:asciiTheme="minorHAnsi" w:eastAsia="Times New Roman" w:hAnsiTheme="minorHAnsi" w:cstheme="minorHAnsi"/>
          <w:lang w:val="es-PE" w:eastAsia="en-US"/>
        </w:rPr>
        <w:t>hubiera</w:t>
      </w:r>
      <w:r w:rsidRPr="00285D58">
        <w:rPr>
          <w:rFonts w:asciiTheme="minorHAnsi" w:eastAsia="Times New Roman" w:hAnsiTheme="minorHAnsi" w:cstheme="minorHAnsi"/>
          <w:lang w:val="es-PE" w:eastAsia="en-US"/>
        </w:rPr>
        <w:t>, para su aplicación en los trimestres posteriores.</w:t>
      </w:r>
    </w:p>
    <w:p w14:paraId="0ADD6419"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6A55BDB7"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=Min(Sald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765BFCE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4201370E"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532"/>
        <w:gridCol w:w="6108"/>
      </w:tblGrid>
      <w:tr w:rsidR="004A2CCE" w:rsidRPr="00285D58" w14:paraId="1FEB5E53" w14:textId="77777777" w:rsidTr="002A6E25">
        <w:trPr>
          <w:trHeight w:val="70"/>
        </w:trPr>
        <w:tc>
          <w:tcPr>
            <w:tcW w:w="1256" w:type="dxa"/>
          </w:tcPr>
          <w:p w14:paraId="43A9DC8B"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w:t>
            </w:r>
            <w:r w:rsidRPr="00285D58">
              <w:rPr>
                <w:rFonts w:asciiTheme="minorHAnsi" w:hAnsiTheme="minorHAnsi" w:cstheme="minorHAnsi"/>
                <w:i/>
                <w:iCs/>
                <w:sz w:val="22"/>
                <w:szCs w:val="22"/>
                <w:lang w:val="es-PE" w:eastAsia="en-US"/>
              </w:rPr>
              <w:t>:</w:t>
            </w:r>
          </w:p>
        </w:tc>
        <w:tc>
          <w:tcPr>
            <w:tcW w:w="6108" w:type="dxa"/>
          </w:tcPr>
          <w:p w14:paraId="667E8CC5" w14:textId="493DE94B"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 xml:space="preserve">Saldos negativos acumulados no compensados para el </w:t>
            </w:r>
            <w:r w:rsidRPr="00285D58">
              <w:rPr>
                <w:rFonts w:asciiTheme="minorHAnsi" w:eastAsia="Calibri" w:hAnsiTheme="minorHAnsi" w:cstheme="minorHAnsi"/>
                <w:sz w:val="22"/>
                <w:szCs w:val="22"/>
                <w:lang w:val="es-PE" w:eastAsia="en-US"/>
              </w:rPr>
              <w:t>Componente</w:t>
            </w:r>
            <w:r w:rsidRPr="00285D58">
              <w:rPr>
                <w:rFonts w:asciiTheme="minorHAnsi" w:hAnsiTheme="minorHAnsi" w:cstheme="minorHAnsi"/>
                <w:sz w:val="22"/>
                <w:szCs w:val="22"/>
                <w:lang w:val="es-PE" w:eastAsia="en-US"/>
              </w:rPr>
              <w:t xml:space="preserve"> j, en el trimestre t. En caso no haya saldos negativos previos acumulados, el valor del Ajuste</w:t>
            </w:r>
            <w:r w:rsidR="006C38C0" w:rsidRPr="00285D58">
              <w:rPr>
                <w:rFonts w:asciiTheme="minorHAnsi" w:hAnsiTheme="minorHAnsi" w:cstheme="minorHAnsi"/>
                <w:sz w:val="22"/>
                <w:szCs w:val="22"/>
                <w:lang w:val="es-PE" w:eastAsia="en-US"/>
              </w:rPr>
              <w:t>_PPD2</w:t>
            </w:r>
            <w:r w:rsidRPr="00285D58">
              <w:rPr>
                <w:rFonts w:asciiTheme="minorHAnsi" w:hAnsiTheme="minorHAnsi" w:cstheme="minorHAnsi"/>
                <w:sz w:val="22"/>
                <w:szCs w:val="22"/>
                <w:vertAlign w:val="subscript"/>
                <w:lang w:val="es-PE" w:eastAsia="en-US"/>
              </w:rPr>
              <w:t>j,t-1</w:t>
            </w:r>
            <w:r w:rsidRPr="00285D58">
              <w:rPr>
                <w:rFonts w:asciiTheme="minorHAnsi" w:hAnsiTheme="minorHAnsi" w:cstheme="minorHAnsi"/>
                <w:sz w:val="22"/>
                <w:szCs w:val="22"/>
                <w:lang w:val="es-PE" w:eastAsia="en-US"/>
              </w:rPr>
              <w:t xml:space="preserve"> es cero. </w:t>
            </w:r>
          </w:p>
        </w:tc>
      </w:tr>
      <w:tr w:rsidR="004A2CCE" w:rsidRPr="00285D58" w14:paraId="13D0A320" w14:textId="77777777" w:rsidTr="002A6E25">
        <w:trPr>
          <w:trHeight w:val="70"/>
        </w:trPr>
        <w:tc>
          <w:tcPr>
            <w:tcW w:w="1256" w:type="dxa"/>
          </w:tcPr>
          <w:p w14:paraId="238E5A30"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Min(A;B)</w:t>
            </w:r>
          </w:p>
        </w:tc>
        <w:tc>
          <w:tcPr>
            <w:tcW w:w="6108" w:type="dxa"/>
          </w:tcPr>
          <w:p w14:paraId="2726BA95"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460EB08E"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3C981EB0"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 xml:space="preserve">Asimismo, el saldo a liquidar el </w:t>
      </w:r>
      <w:r w:rsidRPr="00285D58">
        <w:rPr>
          <w:rFonts w:asciiTheme="minorHAnsi" w:eastAsia="Calibri" w:hAnsiTheme="minorHAnsi" w:cstheme="minorHAnsi"/>
          <w:lang w:val="es-PE" w:eastAsia="en-US"/>
        </w:rPr>
        <w:t>Componente</w:t>
      </w:r>
      <w:r w:rsidRPr="00285D58">
        <w:rPr>
          <w:rFonts w:asciiTheme="minorHAnsi" w:eastAsia="Times New Roman" w:hAnsiTheme="minorHAnsi" w:cstheme="minorHAnsi"/>
          <w:lang w:val="es-PE" w:eastAsia="en-US"/>
        </w:rPr>
        <w:t xml:space="preserve"> j correspondiente al trimestre t será igual a la siguiente expresión:</w:t>
      </w:r>
    </w:p>
    <w:p w14:paraId="32DE1D61"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p w14:paraId="0E19EB1B"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m:oMathPara>
        <m:oMath>
          <m:r>
            <w:rPr>
              <w:rFonts w:ascii="Cambria Math" w:eastAsia="Times New Roman" w:hAnsi="Cambria Math" w:cstheme="minorHAnsi"/>
              <w:lang w:val="es-PE" w:eastAsia="en-US"/>
            </w:rPr>
            <m:t>Saldo_Li</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q_PPD2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 Max(Sald</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o_PPD2</m:t>
              </m:r>
            </m:e>
            <m:sub>
              <m:r>
                <w:rPr>
                  <w:rFonts w:ascii="Cambria Math" w:eastAsia="Times New Roman" w:hAnsi="Cambria Math" w:cstheme="minorHAnsi"/>
                  <w:lang w:val="es-PE" w:eastAsia="en-US"/>
                </w:rPr>
                <m:t>j,t</m:t>
              </m:r>
            </m:sub>
          </m:sSub>
          <m:r>
            <w:rPr>
              <w:rFonts w:ascii="Cambria Math" w:eastAsia="Times New Roman" w:hAnsi="Cambria Math" w:cstheme="minorHAnsi"/>
              <w:lang w:val="es-PE" w:eastAsia="en-US"/>
            </w:rPr>
            <m:t>+Ajust</m:t>
          </m:r>
          <m:sSub>
            <m:sSubPr>
              <m:ctrlPr>
                <w:rPr>
                  <w:rFonts w:ascii="Cambria Math" w:eastAsia="Times New Roman" w:hAnsi="Cambria Math" w:cstheme="minorHAnsi"/>
                  <w:i/>
                  <w:lang w:val="es-PE" w:eastAsia="en-US"/>
                </w:rPr>
              </m:ctrlPr>
            </m:sSubPr>
            <m:e>
              <m:r>
                <w:rPr>
                  <w:rFonts w:ascii="Cambria Math" w:eastAsia="Times New Roman" w:hAnsi="Cambria Math" w:cstheme="minorHAnsi"/>
                  <w:lang w:val="es-PE" w:eastAsia="en-US"/>
                </w:rPr>
                <m:t>e_PPD2</m:t>
              </m:r>
            </m:e>
            <m:sub>
              <m:r>
                <w:rPr>
                  <w:rFonts w:ascii="Cambria Math" w:eastAsia="Times New Roman" w:hAnsi="Cambria Math" w:cstheme="minorHAnsi"/>
                  <w:lang w:val="es-PE" w:eastAsia="en-US"/>
                </w:rPr>
                <m:t>j,t-1</m:t>
              </m:r>
            </m:sub>
          </m:sSub>
          <m:r>
            <w:rPr>
              <w:rFonts w:ascii="Cambria Math" w:eastAsia="Times New Roman" w:hAnsi="Cambria Math" w:cstheme="minorHAnsi"/>
              <w:lang w:val="es-PE" w:eastAsia="en-US"/>
            </w:rPr>
            <m:t>;0)</m:t>
          </m:r>
        </m:oMath>
      </m:oMathPara>
    </w:p>
    <w:p w14:paraId="135D2E9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r w:rsidRPr="00285D58">
        <w:rPr>
          <w:rFonts w:asciiTheme="minorHAnsi" w:eastAsia="Times New Roman" w:hAnsiTheme="minorHAnsi" w:cstheme="minorHAnsi"/>
          <w:lang w:val="es-PE" w:eastAsia="en-US"/>
        </w:rPr>
        <w:t>Dónde:</w:t>
      </w:r>
    </w:p>
    <w:p w14:paraId="78D24BFF" w14:textId="77777777" w:rsidR="004A2CCE" w:rsidRPr="00285D58" w:rsidRDefault="004A2CCE" w:rsidP="008D1FFF">
      <w:pPr>
        <w:widowControl/>
        <w:spacing w:after="160" w:line="276" w:lineRule="auto"/>
        <w:ind w:left="1080"/>
        <w:contextualSpacing/>
        <w:jc w:val="both"/>
        <w:rPr>
          <w:rFonts w:asciiTheme="minorHAnsi" w:eastAsia="Times New Roman" w:hAnsiTheme="minorHAnsi" w:cstheme="minorHAnsi"/>
          <w:lang w:val="es-PE" w:eastAsia="en-US"/>
        </w:rPr>
      </w:pPr>
    </w:p>
    <w:tbl>
      <w:tblPr>
        <w:tblStyle w:val="Tablaconcuadrcula171"/>
        <w:tblW w:w="0" w:type="auto"/>
        <w:tblInd w:w="11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70"/>
        <w:gridCol w:w="5924"/>
      </w:tblGrid>
      <w:tr w:rsidR="004A2CCE" w:rsidRPr="00285D58" w14:paraId="5123AD9B" w14:textId="77777777" w:rsidTr="002A6E25">
        <w:trPr>
          <w:trHeight w:val="70"/>
        </w:trPr>
        <w:tc>
          <w:tcPr>
            <w:tcW w:w="1256" w:type="dxa"/>
          </w:tcPr>
          <w:p w14:paraId="36BA655B"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eastAsia="Times New Roman" w:hAnsiTheme="minorHAnsi" w:cstheme="minorHAnsi"/>
                <w:i/>
                <w:iCs/>
                <w:sz w:val="22"/>
                <w:szCs w:val="22"/>
                <w:lang w:val="es-PE" w:eastAsia="en-US"/>
              </w:rPr>
              <w:lastRenderedPageBreak/>
              <w:t>Saldo_Liq_PPD2</w:t>
            </w:r>
            <w:r w:rsidRPr="00285D58">
              <w:rPr>
                <w:rFonts w:asciiTheme="minorHAnsi" w:eastAsia="Times New Roman" w:hAnsiTheme="minorHAnsi" w:cstheme="minorHAnsi"/>
                <w:i/>
                <w:iCs/>
                <w:sz w:val="22"/>
                <w:szCs w:val="22"/>
                <w:vertAlign w:val="subscript"/>
                <w:lang w:val="es-PE" w:eastAsia="en-US"/>
              </w:rPr>
              <w:t>j,t</w:t>
            </w:r>
          </w:p>
        </w:tc>
        <w:tc>
          <w:tcPr>
            <w:tcW w:w="6108" w:type="dxa"/>
          </w:tcPr>
          <w:p w14:paraId="27CF274E" w14:textId="5C6F6A7E" w:rsidR="004A2CCE" w:rsidRPr="00285D58" w:rsidRDefault="00467979"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Times New Roman" w:hAnsiTheme="minorHAnsi" w:cstheme="minorHAnsi"/>
                <w:sz w:val="22"/>
                <w:szCs w:val="22"/>
                <w:lang w:val="es-PE" w:eastAsia="en-US"/>
              </w:rPr>
              <w:t xml:space="preserve">Definido en el numeral 18. </w:t>
            </w:r>
            <w:r w:rsidR="004A2CCE" w:rsidRPr="00285D58">
              <w:rPr>
                <w:rFonts w:asciiTheme="minorHAnsi" w:eastAsia="Times New Roman" w:hAnsiTheme="minorHAnsi" w:cstheme="minorHAnsi"/>
                <w:sz w:val="22"/>
                <w:szCs w:val="22"/>
                <w:lang w:val="es-PE" w:eastAsia="en-US"/>
              </w:rPr>
              <w:t xml:space="preserve">Saldo </w:t>
            </w:r>
            <w:r w:rsidRPr="00285D58">
              <w:rPr>
                <w:rFonts w:asciiTheme="minorHAnsi" w:eastAsia="Times New Roman" w:hAnsiTheme="minorHAnsi" w:cstheme="minorHAnsi"/>
                <w:sz w:val="22"/>
                <w:szCs w:val="22"/>
                <w:lang w:val="es-PE" w:eastAsia="en-US"/>
              </w:rPr>
              <w:t>por</w:t>
            </w:r>
            <w:r w:rsidR="004A2CCE" w:rsidRPr="00285D58">
              <w:rPr>
                <w:rFonts w:asciiTheme="minorHAnsi" w:eastAsia="Times New Roman" w:hAnsiTheme="minorHAnsi" w:cstheme="minorHAnsi"/>
                <w:sz w:val="22"/>
                <w:szCs w:val="22"/>
                <w:lang w:val="es-PE" w:eastAsia="en-US"/>
              </w:rPr>
              <w:t xml:space="preserve"> liquidar del PPD2 </w:t>
            </w:r>
            <w:r w:rsidRPr="00285D58">
              <w:rPr>
                <w:rFonts w:asciiTheme="minorHAnsi" w:hAnsiTheme="minorHAnsi" w:cstheme="minorHAnsi"/>
                <w:sz w:val="22"/>
                <w:szCs w:val="22"/>
                <w:lang w:val="es-PE" w:eastAsia="en-US"/>
              </w:rPr>
              <w:t>correspondiente a la liquidación del trimestre t para el Componente j, neto de la compensación de los ajustes.</w:t>
            </w:r>
            <w:r w:rsidR="004A2CCE" w:rsidRPr="00285D58">
              <w:rPr>
                <w:rFonts w:asciiTheme="minorHAnsi" w:eastAsia="Times New Roman" w:hAnsiTheme="minorHAnsi" w:cstheme="minorHAnsi"/>
                <w:sz w:val="22"/>
                <w:szCs w:val="22"/>
                <w:lang w:val="es-PE" w:eastAsia="en-US"/>
              </w:rPr>
              <w:t>.</w:t>
            </w:r>
          </w:p>
        </w:tc>
      </w:tr>
      <w:tr w:rsidR="004A2CCE" w:rsidRPr="00285D58" w14:paraId="746648FF" w14:textId="77777777" w:rsidTr="002A6E25">
        <w:trPr>
          <w:trHeight w:val="70"/>
        </w:trPr>
        <w:tc>
          <w:tcPr>
            <w:tcW w:w="1256" w:type="dxa"/>
          </w:tcPr>
          <w:p w14:paraId="60C7FE1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Max(A;B):</w:t>
            </w:r>
          </w:p>
        </w:tc>
        <w:tc>
          <w:tcPr>
            <w:tcW w:w="6108" w:type="dxa"/>
          </w:tcPr>
          <w:p w14:paraId="736B3F3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Función que devuelve el valor mínimo entre A y B</w:t>
            </w:r>
          </w:p>
        </w:tc>
      </w:tr>
    </w:tbl>
    <w:p w14:paraId="130B5B3F" w14:textId="693F7F35" w:rsidR="004A2CCE" w:rsidRPr="00285D58" w:rsidRDefault="004A2CCE" w:rsidP="008D1FFF">
      <w:pPr>
        <w:widowControl/>
        <w:spacing w:line="276" w:lineRule="auto"/>
        <w:ind w:left="425"/>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Supervisor deberá contabilizar los saldos por liquidar, que hubiera como resultado de la acumulación y descuento de los ajustes que correspondan, de acuerdo con las consideraciones previamente señaladas. </w:t>
      </w:r>
    </w:p>
    <w:p w14:paraId="44001129" w14:textId="77777777" w:rsidR="00C81BF7" w:rsidRPr="00285D58" w:rsidRDefault="00C81BF7" w:rsidP="008D1FFF">
      <w:pPr>
        <w:widowControl/>
        <w:spacing w:line="276" w:lineRule="auto"/>
        <w:ind w:left="425"/>
        <w:jc w:val="both"/>
        <w:rPr>
          <w:rFonts w:asciiTheme="minorHAnsi" w:eastAsia="Aptos" w:hAnsiTheme="minorHAnsi" w:cstheme="minorHAnsi"/>
          <w:lang w:val="es-PE" w:eastAsia="en-US"/>
        </w:rPr>
      </w:pPr>
    </w:p>
    <w:p w14:paraId="35B83610" w14:textId="1A08D650" w:rsidR="004A2CCE" w:rsidRPr="00285D58" w:rsidRDefault="004A2CCE"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299" w:name="_Toc176555798"/>
      <w:bookmarkStart w:id="300" w:name="_Toc176800281"/>
      <w:bookmarkStart w:id="301" w:name="_Toc180162679"/>
      <w:bookmarkStart w:id="302" w:name="_Toc182581499"/>
      <w:bookmarkStart w:id="303" w:name="_Toc182582282"/>
      <w:r w:rsidRPr="00285D58">
        <w:rPr>
          <w:rFonts w:asciiTheme="minorHAnsi" w:eastAsia="Times New Roman" w:hAnsiTheme="minorHAnsi" w:cstheme="minorHAnsi"/>
          <w:b/>
          <w:lang w:val="es-PE" w:eastAsia="en-US"/>
        </w:rPr>
        <w:t>Pago en suspensión temporal de obligaciones</w:t>
      </w:r>
      <w:bookmarkEnd w:id="299"/>
      <w:bookmarkEnd w:id="300"/>
      <w:bookmarkEnd w:id="301"/>
      <w:bookmarkEnd w:id="302"/>
      <w:bookmarkEnd w:id="303"/>
    </w:p>
    <w:p w14:paraId="6012877D"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76FEC3CC" w14:textId="4B247648"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En caso se presente una solicitud de declaración de suspensión, prevista en la Cláusula 4.5</w:t>
      </w:r>
      <w:r w:rsidR="00A67CD3" w:rsidRPr="00285D58">
        <w:rPr>
          <w:rFonts w:asciiTheme="minorHAnsi" w:eastAsia="Aptos" w:hAnsiTheme="minorHAnsi" w:cstheme="minorHAnsi"/>
          <w:lang w:val="es-PE" w:eastAsia="en-US"/>
        </w:rPr>
        <w:t xml:space="preserve"> o en la Cláusula 4.9</w:t>
      </w:r>
      <w:r w:rsidRPr="00285D58">
        <w:rPr>
          <w:rFonts w:asciiTheme="minorHAnsi" w:eastAsia="Aptos" w:hAnsiTheme="minorHAnsi" w:cstheme="minorHAnsi"/>
          <w:lang w:val="es-PE" w:eastAsia="en-US"/>
        </w:rPr>
        <w:t xml:space="preserve">, el cálculo del PPD del Trimestre Calendario correspondiente se hará de acuerdo con lo establecido en el del numeral 11 y siguientes del presente apéndice. </w:t>
      </w:r>
    </w:p>
    <w:p w14:paraId="26AA6DF6" w14:textId="3611F301"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Para calcular el pago </w:t>
      </w:r>
      <w:r w:rsidR="00A1659C" w:rsidRPr="00285D58">
        <w:rPr>
          <w:rFonts w:asciiTheme="minorHAnsi" w:eastAsia="Aptos" w:hAnsiTheme="minorHAnsi" w:cstheme="minorHAnsi"/>
          <w:lang w:val="es-PE" w:eastAsia="en-US"/>
        </w:rPr>
        <w:t xml:space="preserve">en caso se presente una solicitud para la suspensión del plazo de la Concesión de acuerdo </w:t>
      </w:r>
      <w:r w:rsidR="00ED4FB7" w:rsidRPr="00285D58">
        <w:rPr>
          <w:rFonts w:asciiTheme="minorHAnsi" w:eastAsia="Aptos" w:hAnsiTheme="minorHAnsi" w:cstheme="minorHAnsi"/>
          <w:lang w:val="es-PE" w:eastAsia="en-US"/>
        </w:rPr>
        <w:t>con</w:t>
      </w:r>
      <w:r w:rsidR="00A1659C" w:rsidRPr="00285D58">
        <w:rPr>
          <w:rFonts w:asciiTheme="minorHAnsi" w:eastAsia="Aptos" w:hAnsiTheme="minorHAnsi" w:cstheme="minorHAnsi"/>
          <w:lang w:val="es-PE" w:eastAsia="en-US"/>
        </w:rPr>
        <w:t xml:space="preserve"> la Cláusula 4.5, </w:t>
      </w:r>
      <w:r w:rsidRPr="00285D58">
        <w:rPr>
          <w:rFonts w:asciiTheme="minorHAnsi" w:eastAsia="Aptos" w:hAnsiTheme="minorHAnsi" w:cstheme="minorHAnsi"/>
          <w:lang w:val="es-PE" w:eastAsia="en-US"/>
        </w:rPr>
        <w:t>al valor resultante del PPD2 indicado en el numeral anterior, se aplicará el peso respectivo de los Servicios Obligatorios</w:t>
      </w:r>
      <w:r w:rsidR="00A1659C" w:rsidRPr="00285D58">
        <w:rPr>
          <w:rFonts w:asciiTheme="minorHAnsi" w:eastAsia="Aptos" w:hAnsiTheme="minorHAnsi" w:cstheme="minorHAnsi"/>
          <w:lang w:val="es-PE" w:eastAsia="en-US"/>
        </w:rPr>
        <w:t xml:space="preserve"> vinculados a la Custodia referida en la cláusula 4.5</w:t>
      </w:r>
      <w:r w:rsidR="00ED4FB7" w:rsidRPr="00285D58">
        <w:rPr>
          <w:rFonts w:asciiTheme="minorHAnsi" w:eastAsia="Aptos" w:hAnsiTheme="minorHAnsi" w:cstheme="minorHAnsi"/>
          <w:lang w:val="es-PE" w:eastAsia="en-US"/>
        </w:rPr>
        <w:t xml:space="preserve"> e indicados en el </w:t>
      </w:r>
      <w:r w:rsidR="002A5AD0" w:rsidRPr="00285D58">
        <w:rPr>
          <w:rFonts w:asciiTheme="minorHAnsi" w:eastAsia="Aptos" w:hAnsiTheme="minorHAnsi" w:cstheme="minorHAnsi"/>
          <w:lang w:val="es-PE" w:eastAsia="en-US"/>
        </w:rPr>
        <w:t>Apéndice 05 del Anexo  9</w:t>
      </w:r>
      <w:r w:rsidR="00E24B59" w:rsidRPr="00285D58">
        <w:rPr>
          <w:rFonts w:asciiTheme="minorHAnsi" w:eastAsia="Aptos" w:hAnsiTheme="minorHAnsi" w:cstheme="minorHAnsi"/>
          <w:lang w:val="es-PE" w:eastAsia="en-US"/>
        </w:rPr>
        <w:t xml:space="preserve">. Finalmente, </w:t>
      </w:r>
      <w:r w:rsidRPr="00285D58">
        <w:rPr>
          <w:rFonts w:asciiTheme="minorHAnsi" w:eastAsia="Aptos" w:hAnsiTheme="minorHAnsi" w:cstheme="minorHAnsi"/>
          <w:lang w:val="es-PE" w:eastAsia="en-US"/>
        </w:rPr>
        <w:t>se le restará las deducciones por incumplimiento en los Niveles de Servicio pendientes de liquidar.</w:t>
      </w:r>
    </w:p>
    <w:p w14:paraId="64FC71B3" w14:textId="27CCFD20" w:rsidR="00ED4FB7" w:rsidRPr="00285D58" w:rsidRDefault="00ED4FB7" w:rsidP="00ED4FB7">
      <w:pPr>
        <w:widowControl/>
        <w:spacing w:after="160" w:line="276" w:lineRule="auto"/>
        <w:ind w:left="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Para calcular el pago para en caso se presente una solicitud para la suspensión del plazo para el cumplimiento de obligaciones de acuerdo con la Cláusula 4.9, al valor resultante del PPD2 indicado en el numeral anterior, se aplicará el peso respectivo de los Servicios Obligatorios efectivamente prestados, y se le restará las deducciones por incumplimiento en los Niveles de Servicio pendientes de liquidar.</w:t>
      </w:r>
    </w:p>
    <w:p w14:paraId="7E17780F" w14:textId="77777777" w:rsidR="00E24B59" w:rsidRPr="00285D58" w:rsidRDefault="00E24B59" w:rsidP="00BB5F42">
      <w:pPr>
        <w:widowControl/>
        <w:spacing w:after="160" w:line="276" w:lineRule="auto"/>
        <w:ind w:left="357"/>
        <w:jc w:val="both"/>
        <w:rPr>
          <w:rFonts w:asciiTheme="minorHAnsi" w:eastAsia="Aptos" w:hAnsiTheme="minorHAnsi" w:cstheme="minorHAnsi"/>
          <w:lang w:val="es-PE" w:eastAsia="en-US"/>
        </w:rPr>
      </w:pPr>
    </w:p>
    <w:tbl>
      <w:tblPr>
        <w:tblStyle w:val="Tablaconcuadrcula"/>
        <w:tblW w:w="0" w:type="auto"/>
        <w:jc w:val="center"/>
        <w:tblLook w:val="04A0" w:firstRow="1" w:lastRow="0" w:firstColumn="1" w:lastColumn="0" w:noHBand="0" w:noVBand="1"/>
      </w:tblPr>
      <w:tblGrid>
        <w:gridCol w:w="4957"/>
        <w:gridCol w:w="2096"/>
      </w:tblGrid>
      <w:tr w:rsidR="00ED4FB7" w:rsidRPr="00285D58" w14:paraId="71F5C34B" w14:textId="77777777" w:rsidTr="00BB5F42">
        <w:trPr>
          <w:trHeight w:val="263"/>
          <w:jc w:val="center"/>
        </w:trPr>
        <w:tc>
          <w:tcPr>
            <w:tcW w:w="4957" w:type="dxa"/>
            <w:vAlign w:val="center"/>
          </w:tcPr>
          <w:p w14:paraId="6B9EB605" w14:textId="6BBEC17C" w:rsidR="00ED4FB7" w:rsidRPr="00BB5F42" w:rsidRDefault="00ED4FB7" w:rsidP="00BB5F42">
            <w:pPr>
              <w:widowControl/>
              <w:spacing w:after="160" w:line="276" w:lineRule="auto"/>
              <w:rPr>
                <w:rFonts w:asciiTheme="minorHAnsi" w:eastAsia="Aptos" w:hAnsiTheme="minorHAnsi" w:cstheme="minorHAnsi"/>
                <w:b/>
                <w:bCs/>
                <w:lang w:val="es-PE" w:eastAsia="en-US"/>
              </w:rPr>
            </w:pPr>
            <w:r w:rsidRPr="00BB5F42">
              <w:rPr>
                <w:rFonts w:asciiTheme="minorHAnsi" w:eastAsia="Aptos" w:hAnsiTheme="minorHAnsi" w:cstheme="minorHAnsi"/>
                <w:b/>
                <w:bCs/>
                <w:lang w:val="es-PE" w:eastAsia="en-US"/>
              </w:rPr>
              <w:t>Servicio obligatorio</w:t>
            </w:r>
          </w:p>
        </w:tc>
        <w:tc>
          <w:tcPr>
            <w:tcW w:w="2096" w:type="dxa"/>
            <w:vAlign w:val="center"/>
          </w:tcPr>
          <w:p w14:paraId="42B9D208" w14:textId="483FC2E5"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BB5F42">
              <w:rPr>
                <w:rFonts w:asciiTheme="minorHAnsi" w:eastAsia="Aptos" w:hAnsiTheme="minorHAnsi" w:cstheme="minorHAnsi"/>
                <w:b/>
                <w:bCs/>
                <w:lang w:val="es-PE" w:eastAsia="en-US"/>
              </w:rPr>
              <w:t>Ponderación</w:t>
            </w:r>
          </w:p>
        </w:tc>
      </w:tr>
      <w:tr w:rsidR="00ED4FB7" w:rsidRPr="00285D58" w14:paraId="19AF1AE6" w14:textId="77777777" w:rsidTr="00BB5F42">
        <w:trPr>
          <w:trHeight w:val="613"/>
          <w:jc w:val="center"/>
        </w:trPr>
        <w:tc>
          <w:tcPr>
            <w:tcW w:w="4957" w:type="dxa"/>
            <w:vAlign w:val="center"/>
          </w:tcPr>
          <w:p w14:paraId="7C5208AE" w14:textId="7D857FC8"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Conservación y Mantenimiento</w:t>
            </w:r>
          </w:p>
        </w:tc>
        <w:tc>
          <w:tcPr>
            <w:tcW w:w="2096" w:type="dxa"/>
            <w:vAlign w:val="center"/>
          </w:tcPr>
          <w:p w14:paraId="722405E7" w14:textId="086C2F83"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152D58EC" w14:textId="77777777" w:rsidTr="00BB5F42">
        <w:trPr>
          <w:trHeight w:val="442"/>
          <w:jc w:val="center"/>
        </w:trPr>
        <w:tc>
          <w:tcPr>
            <w:tcW w:w="4957" w:type="dxa"/>
            <w:vAlign w:val="center"/>
          </w:tcPr>
          <w:p w14:paraId="6DA797EF" w14:textId="66ED4DB6"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Aseo y Limpieza</w:t>
            </w:r>
          </w:p>
        </w:tc>
        <w:tc>
          <w:tcPr>
            <w:tcW w:w="2096" w:type="dxa"/>
            <w:vAlign w:val="center"/>
          </w:tcPr>
          <w:p w14:paraId="517C965F" w14:textId="6F15B509"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1B47CB2E" w14:textId="77777777" w:rsidTr="00BB5F42">
        <w:trPr>
          <w:trHeight w:val="613"/>
          <w:jc w:val="center"/>
        </w:trPr>
        <w:tc>
          <w:tcPr>
            <w:tcW w:w="4957" w:type="dxa"/>
            <w:vAlign w:val="center"/>
          </w:tcPr>
          <w:p w14:paraId="07B9102F" w14:textId="3B8D625F" w:rsidR="00ED4FB7" w:rsidRPr="00285D58" w:rsidRDefault="00ED4FB7" w:rsidP="00BB5F42">
            <w:pPr>
              <w:widowControl/>
              <w:spacing w:after="160" w:line="276" w:lineRule="auto"/>
              <w:rPr>
                <w:rFonts w:asciiTheme="minorHAnsi" w:eastAsia="Aptos" w:hAnsiTheme="minorHAnsi" w:cstheme="minorHAnsi"/>
                <w:lang w:val="es-PE" w:eastAsia="en-US"/>
              </w:rPr>
            </w:pPr>
            <w:r w:rsidRPr="00BB5F42">
              <w:rPr>
                <w:rFonts w:asciiTheme="minorHAnsi" w:eastAsia="Calibri" w:hAnsiTheme="minorHAnsi" w:cstheme="minorHAnsi"/>
              </w:rPr>
              <w:t>Servicio de Seguridad y Vigilancia</w:t>
            </w:r>
          </w:p>
        </w:tc>
        <w:tc>
          <w:tcPr>
            <w:tcW w:w="2096" w:type="dxa"/>
            <w:vAlign w:val="center"/>
          </w:tcPr>
          <w:p w14:paraId="61AE8243" w14:textId="573DA80D"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6EBF4A6B" w14:textId="77777777" w:rsidTr="00BB5F42">
        <w:trPr>
          <w:trHeight w:val="613"/>
          <w:jc w:val="center"/>
        </w:trPr>
        <w:tc>
          <w:tcPr>
            <w:tcW w:w="4957" w:type="dxa"/>
            <w:vAlign w:val="center"/>
          </w:tcPr>
          <w:p w14:paraId="643ED2ED" w14:textId="0EE02351" w:rsidR="00ED4FB7" w:rsidRPr="00BB5F42" w:rsidRDefault="00ED4FB7" w:rsidP="00BB5F42">
            <w:pPr>
              <w:widowControl/>
              <w:spacing w:after="160" w:line="276" w:lineRule="auto"/>
              <w:rPr>
                <w:rFonts w:asciiTheme="minorHAnsi" w:eastAsia="Calibri" w:hAnsiTheme="minorHAnsi" w:cstheme="minorHAnsi"/>
              </w:rPr>
            </w:pPr>
            <w:r w:rsidRPr="00BB5F42">
              <w:rPr>
                <w:rFonts w:asciiTheme="minorHAnsi" w:eastAsia="Calibri" w:hAnsiTheme="minorHAnsi" w:cstheme="minorHAnsi"/>
              </w:rPr>
              <w:t>Servicio de Transporte por Teleférico y Buses</w:t>
            </w:r>
          </w:p>
        </w:tc>
        <w:tc>
          <w:tcPr>
            <w:tcW w:w="2096" w:type="dxa"/>
            <w:vAlign w:val="center"/>
          </w:tcPr>
          <w:p w14:paraId="592EAD68" w14:textId="7364CD97"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5FCC4049" w14:textId="77777777" w:rsidTr="00BB5F42">
        <w:trPr>
          <w:trHeight w:val="613"/>
          <w:jc w:val="center"/>
        </w:trPr>
        <w:tc>
          <w:tcPr>
            <w:tcW w:w="4957" w:type="dxa"/>
            <w:vAlign w:val="center"/>
          </w:tcPr>
          <w:p w14:paraId="44F70792" w14:textId="43CA0C91" w:rsidR="00ED4FB7" w:rsidRPr="00BB5F42" w:rsidRDefault="00ED4FB7" w:rsidP="00BB5F42">
            <w:pPr>
              <w:widowControl/>
              <w:spacing w:after="160" w:line="276" w:lineRule="auto"/>
              <w:rPr>
                <w:rFonts w:asciiTheme="minorHAnsi" w:eastAsia="Calibri" w:hAnsiTheme="minorHAnsi" w:cstheme="minorHAnsi"/>
              </w:rPr>
            </w:pPr>
            <w:r w:rsidRPr="00BB5F42">
              <w:rPr>
                <w:rFonts w:asciiTheme="minorHAnsi" w:eastAsia="Calibri" w:hAnsiTheme="minorHAnsi" w:cstheme="minorHAnsi"/>
              </w:rPr>
              <w:t>Servicio de la Administración de los Servicios</w:t>
            </w:r>
            <w:r w:rsidR="003878C5">
              <w:rPr>
                <w:rFonts w:asciiTheme="minorHAnsi" w:eastAsia="Calibri" w:hAnsiTheme="minorHAnsi" w:cstheme="minorHAnsi"/>
              </w:rPr>
              <w:t xml:space="preserve"> Obligatorios</w:t>
            </w:r>
          </w:p>
        </w:tc>
        <w:tc>
          <w:tcPr>
            <w:tcW w:w="2096" w:type="dxa"/>
            <w:vAlign w:val="center"/>
          </w:tcPr>
          <w:p w14:paraId="53EA5503" w14:textId="1D2F9F81" w:rsidR="00ED4FB7" w:rsidRPr="00BB5F42" w:rsidRDefault="00ED4FB7" w:rsidP="00BB5F42">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__%</w:t>
            </w:r>
          </w:p>
        </w:tc>
      </w:tr>
      <w:tr w:rsidR="00ED4FB7" w:rsidRPr="00285D58" w14:paraId="6B0DD3EB" w14:textId="77777777" w:rsidTr="00ED4FB7">
        <w:trPr>
          <w:trHeight w:val="613"/>
          <w:jc w:val="center"/>
        </w:trPr>
        <w:tc>
          <w:tcPr>
            <w:tcW w:w="4957" w:type="dxa"/>
            <w:vAlign w:val="center"/>
          </w:tcPr>
          <w:p w14:paraId="5A90CD48" w14:textId="757A748A" w:rsidR="00ED4FB7" w:rsidRPr="00285D58" w:rsidRDefault="00ED4FB7" w:rsidP="00ED4FB7">
            <w:pPr>
              <w:widowControl/>
              <w:spacing w:after="160" w:line="276" w:lineRule="auto"/>
              <w:rPr>
                <w:rFonts w:asciiTheme="minorHAnsi" w:eastAsia="Calibri" w:hAnsiTheme="minorHAnsi" w:cstheme="minorHAnsi"/>
              </w:rPr>
            </w:pPr>
            <w:r w:rsidRPr="00285D58">
              <w:rPr>
                <w:rFonts w:asciiTheme="minorHAnsi" w:eastAsia="Calibri" w:hAnsiTheme="minorHAnsi" w:cstheme="minorHAnsi"/>
              </w:rPr>
              <w:t>Total</w:t>
            </w:r>
          </w:p>
        </w:tc>
        <w:tc>
          <w:tcPr>
            <w:tcW w:w="2096" w:type="dxa"/>
            <w:vAlign w:val="center"/>
          </w:tcPr>
          <w:p w14:paraId="00201D39" w14:textId="15624272" w:rsidR="00ED4FB7" w:rsidRPr="00285D58" w:rsidRDefault="00ED4FB7" w:rsidP="00ED4FB7">
            <w:pPr>
              <w:widowControl/>
              <w:spacing w:after="160" w:line="276" w:lineRule="auto"/>
              <w:jc w:val="center"/>
              <w:rPr>
                <w:rFonts w:asciiTheme="minorHAnsi" w:eastAsia="Aptos" w:hAnsiTheme="minorHAnsi" w:cstheme="minorHAnsi"/>
                <w:b/>
                <w:bCs/>
                <w:lang w:val="es-PE" w:eastAsia="en-US"/>
              </w:rPr>
            </w:pPr>
            <w:r w:rsidRPr="00285D58">
              <w:rPr>
                <w:rFonts w:asciiTheme="minorHAnsi" w:eastAsia="Aptos" w:hAnsiTheme="minorHAnsi" w:cstheme="minorHAnsi"/>
                <w:b/>
                <w:bCs/>
                <w:lang w:val="es-PE" w:eastAsia="en-US"/>
              </w:rPr>
              <w:t>100%</w:t>
            </w:r>
          </w:p>
        </w:tc>
      </w:tr>
    </w:tbl>
    <w:p w14:paraId="38E930A8" w14:textId="77777777" w:rsidR="00ED4FB7" w:rsidRPr="00285D58" w:rsidRDefault="00ED4FB7" w:rsidP="00BB5F42">
      <w:pPr>
        <w:widowControl/>
        <w:spacing w:after="160" w:line="276" w:lineRule="auto"/>
        <w:ind w:left="357"/>
        <w:jc w:val="both"/>
        <w:rPr>
          <w:rFonts w:asciiTheme="minorHAnsi" w:eastAsia="Aptos" w:hAnsiTheme="minorHAnsi" w:cstheme="minorHAnsi"/>
          <w:lang w:val="es-PE" w:eastAsia="en-US"/>
        </w:rPr>
      </w:pPr>
    </w:p>
    <w:p w14:paraId="73492BCA" w14:textId="5BD40403"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lastRenderedPageBreak/>
        <w:t xml:space="preserve">Este cálculo, para su incorporación en la liquidación, aplicará para cada Trimestre Calendario que contenga algún Día </w:t>
      </w:r>
      <w:r w:rsidR="003E163E" w:rsidRPr="00285D58">
        <w:rPr>
          <w:rFonts w:asciiTheme="minorHAnsi" w:eastAsia="Aptos" w:hAnsiTheme="minorHAnsi" w:cstheme="minorHAnsi"/>
          <w:lang w:val="es-PE" w:eastAsia="en-US"/>
        </w:rPr>
        <w:t xml:space="preserve">Calendario </w:t>
      </w:r>
      <w:r w:rsidRPr="00285D58">
        <w:rPr>
          <w:rFonts w:asciiTheme="minorHAnsi" w:eastAsia="Aptos" w:hAnsiTheme="minorHAnsi" w:cstheme="minorHAnsi"/>
          <w:lang w:val="es-PE" w:eastAsia="en-US"/>
        </w:rPr>
        <w:t xml:space="preserve">de </w:t>
      </w:r>
      <w:r w:rsidR="00E24B59" w:rsidRPr="00285D58">
        <w:rPr>
          <w:rFonts w:asciiTheme="minorHAnsi" w:eastAsia="Aptos" w:hAnsiTheme="minorHAnsi" w:cstheme="minorHAnsi"/>
          <w:lang w:val="es-PE" w:eastAsia="en-US"/>
        </w:rPr>
        <w:t>s</w:t>
      </w:r>
      <w:r w:rsidRPr="00285D58">
        <w:rPr>
          <w:rFonts w:asciiTheme="minorHAnsi" w:eastAsia="Aptos" w:hAnsiTheme="minorHAnsi" w:cstheme="minorHAnsi"/>
          <w:lang w:val="es-PE" w:eastAsia="en-US"/>
        </w:rPr>
        <w:t>uspensión, de manera proporcional.</w:t>
      </w:r>
    </w:p>
    <w:p w14:paraId="5921D1C7" w14:textId="69B96CD6" w:rsidR="004A2CCE" w:rsidRPr="00285D58" w:rsidRDefault="004A2CCE"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La Deducción Referencial seguirá aplicándose conforme al numeral </w:t>
      </w:r>
      <w:r w:rsidRPr="00285D58">
        <w:rPr>
          <w:rFonts w:asciiTheme="minorHAnsi" w:eastAsia="Aptos" w:hAnsiTheme="minorHAnsi" w:cstheme="minorHAnsi"/>
          <w:lang w:val="es-PE" w:eastAsia="en-US"/>
        </w:rPr>
        <w:fldChar w:fldCharType="begin"/>
      </w:r>
      <w:r w:rsidRPr="00285D58">
        <w:rPr>
          <w:rFonts w:asciiTheme="minorHAnsi" w:eastAsia="Aptos" w:hAnsiTheme="minorHAnsi" w:cstheme="minorHAnsi"/>
          <w:lang w:val="es-PE" w:eastAsia="en-US"/>
        </w:rPr>
        <w:instrText xml:space="preserve"> REF _Ref174019318 \r \h  \* MERGEFORMAT </w:instrText>
      </w:r>
      <w:r w:rsidRPr="00285D58">
        <w:rPr>
          <w:rFonts w:asciiTheme="minorHAnsi" w:eastAsia="Aptos" w:hAnsiTheme="minorHAnsi" w:cstheme="minorHAnsi"/>
          <w:lang w:val="es-PE" w:eastAsia="en-US"/>
        </w:rPr>
      </w:r>
      <w:r w:rsidRPr="00285D58">
        <w:rPr>
          <w:rFonts w:asciiTheme="minorHAnsi" w:eastAsia="Aptos" w:hAnsiTheme="minorHAnsi" w:cstheme="minorHAnsi"/>
          <w:lang w:val="es-PE" w:eastAsia="en-US"/>
        </w:rPr>
        <w:fldChar w:fldCharType="separate"/>
      </w:r>
      <w:r w:rsidR="007E3A44" w:rsidRPr="00285D58">
        <w:rPr>
          <w:rFonts w:asciiTheme="minorHAnsi" w:eastAsia="Aptos" w:hAnsiTheme="minorHAnsi" w:cstheme="minorHAnsi"/>
          <w:lang w:val="es-PE" w:eastAsia="en-US"/>
        </w:rPr>
        <w:t>20</w:t>
      </w:r>
      <w:r w:rsidRPr="00285D58">
        <w:rPr>
          <w:rFonts w:asciiTheme="minorHAnsi" w:eastAsia="Aptos" w:hAnsiTheme="minorHAnsi" w:cstheme="minorHAnsi"/>
          <w:lang w:val="es-PE" w:eastAsia="en-US"/>
        </w:rPr>
        <w:fldChar w:fldCharType="end"/>
      </w:r>
      <w:r w:rsidRPr="00285D58">
        <w:rPr>
          <w:rFonts w:asciiTheme="minorHAnsi" w:eastAsia="Aptos" w:hAnsiTheme="minorHAnsi" w:cstheme="minorHAnsi"/>
          <w:lang w:val="es-PE" w:eastAsia="en-US"/>
        </w:rPr>
        <w:t xml:space="preserve"> del presente apéndice.</w:t>
      </w:r>
    </w:p>
    <w:p w14:paraId="7FD4D702" w14:textId="3494CD9C" w:rsidR="00E86953" w:rsidRPr="00285D58" w:rsidRDefault="00E86953" w:rsidP="00A3732C">
      <w:pPr>
        <w:pStyle w:val="Prrafodelista"/>
        <w:widowControl/>
        <w:numPr>
          <w:ilvl w:val="0"/>
          <w:numId w:val="275"/>
        </w:numPr>
        <w:spacing w:line="276" w:lineRule="auto"/>
        <w:ind w:left="993" w:hanging="567"/>
        <w:jc w:val="both"/>
        <w:rPr>
          <w:rFonts w:asciiTheme="minorHAnsi" w:eastAsia="Times New Roman" w:hAnsiTheme="minorHAnsi" w:cstheme="minorHAnsi"/>
          <w:b/>
          <w:lang w:val="es-PE" w:eastAsia="en-US"/>
        </w:rPr>
      </w:pPr>
      <w:bookmarkStart w:id="304" w:name="_Toc182581500"/>
      <w:bookmarkStart w:id="305" w:name="_Toc182582283"/>
      <w:bookmarkStart w:id="306" w:name="_Toc180162680"/>
      <w:bookmarkStart w:id="307" w:name="_Hlk178075550"/>
      <w:r w:rsidRPr="00285D58">
        <w:rPr>
          <w:rFonts w:asciiTheme="minorHAnsi" w:eastAsia="Times New Roman" w:hAnsiTheme="minorHAnsi" w:cstheme="minorHAnsi"/>
          <w:b/>
          <w:lang w:val="es-PE" w:eastAsia="en-US"/>
        </w:rPr>
        <w:t>Pago en el caso de Inicio de Operaciones por Componente</w:t>
      </w:r>
      <w:bookmarkEnd w:id="304"/>
      <w:bookmarkEnd w:id="305"/>
    </w:p>
    <w:p w14:paraId="4BA0AC8B"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p w14:paraId="2349659C" w14:textId="77777777" w:rsidR="00E86953" w:rsidRPr="00285D58" w:rsidRDefault="00E86953"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En caso se autorice el Inicio de Operaciones por Componente, previsto en la Cláusula 7.13, el cálculo del PPD del Trimestre Calendario correspondiente se hará de acuerdo con lo establecido en el del numeral 11 y siguientes del presente apéndice, considerando únicamente el PPD y Niveles de Servicio vinculados al Componente j para el cual se ha autorizado el Inicio de Operaciones. </w:t>
      </w:r>
    </w:p>
    <w:p w14:paraId="51CBCB24" w14:textId="77777777" w:rsidR="00E86953" w:rsidRPr="00285D58" w:rsidRDefault="00E86953" w:rsidP="00A3732C">
      <w:pPr>
        <w:widowControl/>
        <w:numPr>
          <w:ilvl w:val="0"/>
          <w:numId w:val="70"/>
        </w:numPr>
        <w:spacing w:after="160" w:line="276" w:lineRule="auto"/>
        <w:ind w:left="357" w:hanging="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En caso se autorice el inicio de pagos del PPD para el Componente que cuente con el Certificado de Puesta en Marcha, previsto en la Cláusula 7.13, el cálculo del PPD del Trimestre Calendario correspondiente se hará de acuerdo con lo establecido en el del numeral 11 y siguientes del presente apéndice, considerando únicamente el PPD y Niveles de Servicio vinculados al Componente j para el cual se ha autorizado el inicio de pagos del PPD. </w:t>
      </w:r>
    </w:p>
    <w:p w14:paraId="123D0A22" w14:textId="1EE71A58" w:rsidR="00E86953" w:rsidRPr="00285D58" w:rsidRDefault="00E86953" w:rsidP="008D1FFF">
      <w:pPr>
        <w:widowControl/>
        <w:spacing w:after="160" w:line="276" w:lineRule="auto"/>
        <w:ind w:left="357"/>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Al valor resultante del PPD2 indicado en el párrafo anterior, se </w:t>
      </w:r>
      <w:r w:rsidR="003760F6" w:rsidRPr="00285D58">
        <w:rPr>
          <w:rFonts w:asciiTheme="minorHAnsi" w:eastAsia="Aptos" w:hAnsiTheme="minorHAnsi" w:cstheme="minorHAnsi"/>
          <w:lang w:val="es-PE" w:eastAsia="en-US"/>
        </w:rPr>
        <w:t xml:space="preserve">le </w:t>
      </w:r>
      <w:r w:rsidRPr="00285D58">
        <w:rPr>
          <w:rFonts w:asciiTheme="minorHAnsi" w:eastAsia="Aptos" w:hAnsiTheme="minorHAnsi" w:cstheme="minorHAnsi"/>
          <w:lang w:val="es-PE" w:eastAsia="en-US"/>
        </w:rPr>
        <w:t xml:space="preserve">aplicará </w:t>
      </w:r>
      <w:r w:rsidR="005852D5" w:rsidRPr="00285D58">
        <w:rPr>
          <w:rFonts w:asciiTheme="minorHAnsi" w:eastAsia="Aptos" w:hAnsiTheme="minorHAnsi" w:cstheme="minorHAnsi"/>
          <w:lang w:val="es-PE" w:eastAsia="en-US"/>
        </w:rPr>
        <w:t xml:space="preserve">el peso respectivo de los Servicios Obligatorios </w:t>
      </w:r>
      <w:r w:rsidRPr="00285D58">
        <w:rPr>
          <w:rFonts w:asciiTheme="minorHAnsi" w:eastAsia="Aptos" w:hAnsiTheme="minorHAnsi" w:cstheme="minorHAnsi"/>
          <w:lang w:val="es-PE" w:eastAsia="en-US"/>
        </w:rPr>
        <w:t>que deben ser prestados luego de certificar la disponibilidad del Componente j.</w:t>
      </w:r>
      <w:r w:rsidR="00A31231" w:rsidRPr="00285D58">
        <w:rPr>
          <w:rFonts w:asciiTheme="minorHAnsi" w:eastAsia="Aptos" w:hAnsiTheme="minorHAnsi" w:cstheme="minorHAnsi"/>
          <w:lang w:val="es-PE" w:eastAsia="en-US"/>
        </w:rPr>
        <w:t xml:space="preserve"> Di</w:t>
      </w:r>
      <w:r w:rsidR="00E12CFB" w:rsidRPr="00285D58">
        <w:rPr>
          <w:rFonts w:asciiTheme="minorHAnsi" w:eastAsia="Aptos" w:hAnsiTheme="minorHAnsi" w:cstheme="minorHAnsi"/>
          <w:lang w:val="es-PE" w:eastAsia="en-US"/>
        </w:rPr>
        <w:t>c</w:t>
      </w:r>
      <w:r w:rsidR="00A31231" w:rsidRPr="00285D58">
        <w:rPr>
          <w:rFonts w:asciiTheme="minorHAnsi" w:eastAsia="Aptos" w:hAnsiTheme="minorHAnsi" w:cstheme="minorHAnsi"/>
          <w:lang w:val="es-PE" w:eastAsia="en-US"/>
        </w:rPr>
        <w:t>hos servicios son los indicados en la cláusula 4.5</w:t>
      </w:r>
      <w:r w:rsidRPr="00285D58">
        <w:rPr>
          <w:rFonts w:asciiTheme="minorHAnsi" w:eastAsia="Aptos" w:hAnsiTheme="minorHAnsi" w:cstheme="minorHAnsi"/>
          <w:lang w:val="es-PE" w:eastAsia="en-US"/>
        </w:rPr>
        <w:t xml:space="preserve"> </w:t>
      </w:r>
      <w:r w:rsidR="00A31231" w:rsidRPr="00285D58">
        <w:rPr>
          <w:rFonts w:asciiTheme="minorHAnsi" w:eastAsia="Aptos" w:hAnsiTheme="minorHAnsi" w:cstheme="minorHAnsi"/>
          <w:lang w:val="es-PE" w:eastAsia="en-US"/>
        </w:rPr>
        <w:t xml:space="preserve">del Contrato de Concesión. </w:t>
      </w:r>
      <w:r w:rsidRPr="00285D58">
        <w:rPr>
          <w:rFonts w:asciiTheme="minorHAnsi" w:eastAsia="Aptos" w:hAnsiTheme="minorHAnsi" w:cstheme="minorHAnsi"/>
          <w:lang w:val="es-PE" w:eastAsia="en-US"/>
        </w:rPr>
        <w:t>Asimismo, solo se medirán los Niveles de Servicio vinculados a</w:t>
      </w:r>
      <w:r w:rsidR="003760F6" w:rsidRPr="00285D58">
        <w:rPr>
          <w:rFonts w:asciiTheme="minorHAnsi" w:eastAsia="Aptos" w:hAnsiTheme="minorHAnsi" w:cstheme="minorHAnsi"/>
          <w:lang w:val="es-PE" w:eastAsia="en-US"/>
        </w:rPr>
        <w:t xml:space="preserve"> dichos servicios</w:t>
      </w:r>
      <w:r w:rsidRPr="00285D58">
        <w:rPr>
          <w:rFonts w:asciiTheme="minorHAnsi" w:eastAsia="Aptos" w:hAnsiTheme="minorHAnsi" w:cstheme="minorHAnsi"/>
          <w:lang w:val="es-PE" w:eastAsia="en-US"/>
        </w:rPr>
        <w:t xml:space="preserve">. </w:t>
      </w:r>
    </w:p>
    <w:p w14:paraId="27F95776" w14:textId="4ABA7CF6" w:rsidR="00E86953" w:rsidRPr="00285D58" w:rsidRDefault="00E86953" w:rsidP="00A3732C">
      <w:pPr>
        <w:widowControl/>
        <w:numPr>
          <w:ilvl w:val="0"/>
          <w:numId w:val="70"/>
        </w:numPr>
        <w:spacing w:after="160" w:line="276" w:lineRule="auto"/>
        <w:ind w:left="357" w:hanging="357"/>
        <w:jc w:val="both"/>
        <w:rPr>
          <w:rFonts w:asciiTheme="minorHAnsi" w:eastAsia="Times New Roman" w:hAnsiTheme="minorHAnsi" w:cstheme="minorHAnsi"/>
          <w:b/>
          <w:lang w:val="es-PE" w:eastAsia="en-US"/>
        </w:rPr>
      </w:pPr>
      <w:r w:rsidRPr="00285D58">
        <w:rPr>
          <w:rFonts w:asciiTheme="minorHAnsi" w:eastAsia="Aptos" w:hAnsiTheme="minorHAnsi" w:cstheme="minorHAnsi"/>
          <w:lang w:val="es-PE" w:eastAsia="en-US"/>
        </w:rPr>
        <w:t>El procedimiento del pago del PPD sigue lo establecido en el numeral 29 y siguientes, siendo el Certificado de Puesta en Marcha o el Acta de Inicio de Operación de un Componente el documento requerido para el inicio de dicho procedimiento</w:t>
      </w:r>
    </w:p>
    <w:p w14:paraId="0179A0A1" w14:textId="40A88017" w:rsidR="004A2CCE" w:rsidRPr="00285D58" w:rsidRDefault="004A2CCE" w:rsidP="00A3732C">
      <w:pPr>
        <w:pStyle w:val="Prrafodelista"/>
        <w:widowControl/>
        <w:numPr>
          <w:ilvl w:val="0"/>
          <w:numId w:val="275"/>
        </w:numPr>
        <w:spacing w:line="276" w:lineRule="auto"/>
        <w:ind w:left="426" w:hanging="284"/>
        <w:jc w:val="both"/>
        <w:rPr>
          <w:rFonts w:asciiTheme="minorHAnsi" w:eastAsia="Times New Roman" w:hAnsiTheme="minorHAnsi" w:cstheme="minorHAnsi"/>
          <w:b/>
          <w:lang w:val="es-PE" w:eastAsia="en-US"/>
        </w:rPr>
      </w:pPr>
      <w:bookmarkStart w:id="308" w:name="_Toc182581501"/>
      <w:bookmarkStart w:id="309" w:name="_Toc182582284"/>
      <w:r w:rsidRPr="00285D58">
        <w:rPr>
          <w:rFonts w:asciiTheme="minorHAnsi" w:eastAsia="Times New Roman" w:hAnsiTheme="minorHAnsi" w:cstheme="minorHAnsi"/>
          <w:b/>
          <w:lang w:val="es-PE" w:eastAsia="en-US"/>
        </w:rPr>
        <w:t>Procedimiento de pago del PPD</w:t>
      </w:r>
      <w:bookmarkEnd w:id="306"/>
      <w:bookmarkEnd w:id="308"/>
      <w:bookmarkEnd w:id="309"/>
    </w:p>
    <w:p w14:paraId="1B46B6FE" w14:textId="77777777" w:rsidR="00C81BF7" w:rsidRPr="00285D58" w:rsidRDefault="00C81BF7" w:rsidP="00C81BF7">
      <w:pPr>
        <w:pStyle w:val="Prrafodelista"/>
        <w:widowControl/>
        <w:spacing w:line="276" w:lineRule="auto"/>
        <w:ind w:left="993"/>
        <w:jc w:val="both"/>
        <w:rPr>
          <w:rFonts w:asciiTheme="minorHAnsi" w:eastAsia="Times New Roman" w:hAnsiTheme="minorHAnsi" w:cstheme="minorHAnsi"/>
          <w:b/>
          <w:lang w:val="es-PE" w:eastAsia="en-US"/>
        </w:rPr>
      </w:pPr>
    </w:p>
    <w:bookmarkEnd w:id="307"/>
    <w:p w14:paraId="060AE49D" w14:textId="77777777" w:rsidR="006C38C0" w:rsidRPr="00285D58" w:rsidRDefault="006C38C0"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Una vez suscrita el Acta de Inicio de la Operación del Componente j, el CONCEDENTE se compromete a realizar el pago del Cofinanciamiento a través del Fideicomiso de Administración de acuerdo con lo establecido en el Numeral 11 al Numeral 21 del presente Apéndice, a más tardar el último Día de cada trimestre. De manera previa a ello, el CONCESIONARIO deberá enviar el(los) comprobante(s) de pago respectivo(s) por el monto del Cofinanciamiento, conforme a lo establecido en el presente procedimiento y a las Leyes y Disposiciones Aplicables. </w:t>
      </w:r>
    </w:p>
    <w:p w14:paraId="4BE9955E" w14:textId="43E01177" w:rsidR="006C38C0" w:rsidRPr="00285D58" w:rsidRDefault="006C38C0" w:rsidP="006C38C0">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para el último trimestre del Periodo de Operación, el CONCEDENTE realizará el desembolso de manera posterior a la aprobación del Informe de Liquidación correspondiente a dicho trimestre, a más tardar, el último Día del trimestre en el que se apruebe dicho informe. </w:t>
      </w:r>
    </w:p>
    <w:p w14:paraId="7605290A"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3F045E77" w14:textId="34D02FF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A los </w:t>
      </w:r>
      <w:r w:rsidRPr="00285D58">
        <w:rPr>
          <w:rFonts w:asciiTheme="minorHAnsi" w:eastAsia="Aptos" w:hAnsiTheme="minorHAnsi" w:cstheme="minorHAnsi"/>
          <w:lang w:val="es-PE" w:eastAsia="en-US"/>
        </w:rPr>
        <w:t xml:space="preserve">veinte (20) Días </w:t>
      </w:r>
      <w:r w:rsidRPr="00285D58">
        <w:rPr>
          <w:rFonts w:asciiTheme="minorHAnsi" w:eastAsia="Calibri" w:hAnsiTheme="minorHAnsi" w:cstheme="minorHAnsi"/>
        </w:rPr>
        <w:t xml:space="preserve">del segundo mes de cada trimestre, el Supervisor deberá enviar al Fiduciario, con copia al CONCESIONARIO y CONCEDENTE, el Informe de Pagos por Disponibilidad, incluyendo el cálculo del valor del pago del PPD y los saldos por liquidar del PPD de los trimestres anteriores, de conformidad con el numeral 4 y el numeral 21 precedentes, y con lo previsto en el modelo establecido en el Apéndice 4 del presente Anexo. El Supervisor </w:t>
      </w:r>
      <w:r w:rsidRPr="00285D58">
        <w:rPr>
          <w:rFonts w:asciiTheme="minorHAnsi" w:eastAsia="Calibri" w:hAnsiTheme="minorHAnsi" w:cstheme="minorHAnsi"/>
        </w:rPr>
        <w:lastRenderedPageBreak/>
        <w:t>elaborará dicho informe en base a la versión final del Informe Liquidación aprobado por el CONCEDENTE según lo establecido en el numeral 3</w:t>
      </w:r>
      <w:r w:rsidR="00E86953" w:rsidRPr="00285D58">
        <w:rPr>
          <w:rFonts w:asciiTheme="minorHAnsi" w:eastAsia="Calibri" w:hAnsiTheme="minorHAnsi" w:cstheme="minorHAnsi"/>
        </w:rPr>
        <w:t>5</w:t>
      </w:r>
      <w:r w:rsidRPr="00285D58">
        <w:rPr>
          <w:rFonts w:asciiTheme="minorHAnsi" w:eastAsia="Calibri" w:hAnsiTheme="minorHAnsi" w:cstheme="minorHAnsi"/>
        </w:rPr>
        <w:t xml:space="preserve"> y siguientes del presente Apéndice.</w:t>
      </w:r>
      <w:bookmarkStart w:id="310" w:name="_heading=h.1baon6m" w:colFirst="0" w:colLast="0"/>
      <w:bookmarkStart w:id="311" w:name="_Hlk54183115"/>
      <w:bookmarkEnd w:id="310"/>
    </w:p>
    <w:p w14:paraId="25A8E28F"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5B084DEE" w14:textId="23A20E88"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en el último trimestre del Periodo de Operación, el Supervisor emitirá el Informe de Pagos por Disponibilidad conjuntamente con el Informe de Liquidación, considerando el plazo establecido en el numeral </w:t>
      </w:r>
      <w:r w:rsidRPr="00285D58">
        <w:rPr>
          <w:rFonts w:asciiTheme="minorHAnsi" w:eastAsia="Calibri" w:hAnsiTheme="minorHAnsi" w:cstheme="minorHAnsi"/>
        </w:rPr>
        <w:fldChar w:fldCharType="begin"/>
      </w:r>
      <w:r w:rsidRPr="00285D58">
        <w:rPr>
          <w:rFonts w:asciiTheme="minorHAnsi" w:eastAsia="Calibri" w:hAnsiTheme="minorHAnsi" w:cstheme="minorHAnsi"/>
        </w:rPr>
        <w:instrText xml:space="preserve"> REF _Ref174021141 \r \h  \* MERGEFORMAT </w:instrText>
      </w:r>
      <w:r w:rsidRPr="00285D58">
        <w:rPr>
          <w:rFonts w:asciiTheme="minorHAnsi" w:eastAsia="Calibri" w:hAnsiTheme="minorHAnsi" w:cstheme="minorHAnsi"/>
        </w:rPr>
      </w:r>
      <w:r w:rsidRPr="00285D58">
        <w:rPr>
          <w:rFonts w:asciiTheme="minorHAnsi" w:eastAsia="Calibri" w:hAnsiTheme="minorHAnsi" w:cstheme="minorHAnsi"/>
        </w:rPr>
        <w:fldChar w:fldCharType="separate"/>
      </w:r>
      <w:r w:rsidR="007E3A44" w:rsidRPr="00285D58">
        <w:rPr>
          <w:rFonts w:asciiTheme="minorHAnsi" w:eastAsia="Calibri" w:hAnsiTheme="minorHAnsi" w:cstheme="minorHAnsi"/>
        </w:rPr>
        <w:t>35</w:t>
      </w:r>
      <w:r w:rsidRPr="00285D58">
        <w:rPr>
          <w:rFonts w:asciiTheme="minorHAnsi" w:eastAsia="Calibri" w:hAnsiTheme="minorHAnsi" w:cstheme="minorHAnsi"/>
        </w:rPr>
        <w:fldChar w:fldCharType="end"/>
      </w:r>
      <w:r w:rsidRPr="00285D58">
        <w:rPr>
          <w:rFonts w:asciiTheme="minorHAnsi" w:eastAsia="Calibri" w:hAnsiTheme="minorHAnsi" w:cstheme="minorHAnsi"/>
        </w:rPr>
        <w:t xml:space="preserve"> del presente Apéndice.</w:t>
      </w:r>
    </w:p>
    <w:bookmarkEnd w:id="311"/>
    <w:p w14:paraId="68A29653"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406DD973" w14:textId="77777777" w:rsidR="004A2CCE" w:rsidRPr="00285D58" w:rsidRDefault="00000000" w:rsidP="00A3732C">
      <w:pPr>
        <w:widowControl/>
        <w:numPr>
          <w:ilvl w:val="0"/>
          <w:numId w:val="70"/>
        </w:numPr>
        <w:spacing w:line="276" w:lineRule="auto"/>
        <w:ind w:left="360"/>
        <w:jc w:val="both"/>
        <w:rPr>
          <w:rFonts w:asciiTheme="minorHAnsi" w:eastAsia="Calibri" w:hAnsiTheme="minorHAnsi" w:cstheme="minorHAnsi"/>
        </w:rPr>
      </w:pPr>
      <w:sdt>
        <w:sdtPr>
          <w:rPr>
            <w:rFonts w:asciiTheme="minorHAnsi" w:hAnsiTheme="minorHAnsi" w:cstheme="minorHAnsi"/>
          </w:rPr>
          <w:tag w:val="goog_rdk_377"/>
          <w:id w:val="1729339025"/>
        </w:sdtPr>
        <w:sdtContent/>
      </w:sdt>
      <w:sdt>
        <w:sdtPr>
          <w:rPr>
            <w:rFonts w:asciiTheme="minorHAnsi" w:hAnsiTheme="minorHAnsi" w:cstheme="minorHAnsi"/>
          </w:rPr>
          <w:tag w:val="goog_rdk_378"/>
          <w:id w:val="-1962789872"/>
        </w:sdtPr>
        <w:sdtContent/>
      </w:sdt>
      <w:sdt>
        <w:sdtPr>
          <w:rPr>
            <w:rFonts w:asciiTheme="minorHAnsi" w:hAnsiTheme="minorHAnsi" w:cstheme="minorHAnsi"/>
          </w:rPr>
          <w:tag w:val="goog_rdk_379"/>
          <w:id w:val="-1709870071"/>
        </w:sdtPr>
        <w:sdtContent/>
      </w:sdt>
      <w:sdt>
        <w:sdtPr>
          <w:rPr>
            <w:rFonts w:asciiTheme="minorHAnsi" w:hAnsiTheme="minorHAnsi" w:cstheme="minorHAnsi"/>
          </w:rPr>
          <w:tag w:val="goog_rdk_380"/>
          <w:id w:val="-925419336"/>
        </w:sdtPr>
        <w:sdtContent/>
      </w:sdt>
      <w:r w:rsidR="004A2CCE" w:rsidRPr="00285D58">
        <w:rPr>
          <w:rFonts w:asciiTheme="minorHAnsi" w:eastAsia="Calibri" w:hAnsiTheme="minorHAnsi" w:cstheme="minorHAnsi"/>
        </w:rPr>
        <w:t xml:space="preserve">Posteriormente, de corresponder, el CONCESIONARIO cuenta con un plazo de diez (10) Días de iniciado el último mes de cada trimestre para hacer entrega al CONCEDENTE de la(s) factura(s) correspondiente(s), con copia al Fiduciario, por el monto establecido en el Informe de Pagos por Disponibilidad, y de conformidad con lo previsto en el Reglamento de Comprobantes de Pago, o la norma que lo modifique o sustituya. </w:t>
      </w:r>
    </w:p>
    <w:p w14:paraId="513BEED0" w14:textId="77777777" w:rsidR="004A2CCE" w:rsidRPr="00285D58" w:rsidRDefault="004A2CCE" w:rsidP="008D1FFF">
      <w:pPr>
        <w:pStyle w:val="Prrafodelista"/>
        <w:spacing w:line="276" w:lineRule="auto"/>
        <w:rPr>
          <w:rFonts w:asciiTheme="minorHAnsi" w:eastAsia="Calibri" w:hAnsiTheme="minorHAnsi" w:cstheme="minorHAnsi"/>
        </w:rPr>
      </w:pPr>
    </w:p>
    <w:p w14:paraId="034579D5" w14:textId="2BBFE806" w:rsidR="004A2CCE" w:rsidRPr="00285D58" w:rsidRDefault="004A2CCE" w:rsidP="008D1FFF">
      <w:pPr>
        <w:widowControl/>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Excepcionalmente, </w:t>
      </w:r>
      <w:r w:rsidR="00D55B7A" w:rsidRPr="00285D58">
        <w:rPr>
          <w:rFonts w:asciiTheme="minorHAnsi" w:eastAsia="Calibri" w:hAnsiTheme="minorHAnsi" w:cstheme="minorHAnsi"/>
        </w:rPr>
        <w:t>si el</w:t>
      </w:r>
      <w:r w:rsidRPr="00285D58">
        <w:rPr>
          <w:rFonts w:asciiTheme="minorHAnsi" w:eastAsia="Calibri" w:hAnsiTheme="minorHAnsi" w:cstheme="minorHAnsi"/>
        </w:rPr>
        <w:t xml:space="preserve"> primer trimestre del Periodo Operativo inicia a los diez (10) Días del mes de marzo, junio, setiembre o diciembre, el CONCESIONARIO cuenta con un plazo de diez (10) Días de iniciado el primer mes del siguiente trimestre del Periodo Operativo para hacer entrega al CONCEDENTE de la(s) factura(s) correspondiente(s). Asimismo, excepcionalmente, para el último trimestre de Operación de la Concesión, el CONCESIONARIO cuenta con un plazo de diez (10) Días posteriores a la aprobación del CONCEDENTE del Informe de Liquidación para hacer entrega al CONCEDENTE de la(s) factura(s) correspondiente(s).</w:t>
      </w:r>
    </w:p>
    <w:p w14:paraId="1B5F92CF" w14:textId="77777777" w:rsidR="004A2CCE" w:rsidRPr="00285D58" w:rsidRDefault="004A2CCE" w:rsidP="008D1FFF">
      <w:pPr>
        <w:pStyle w:val="Prrafodelista"/>
        <w:spacing w:line="276" w:lineRule="auto"/>
        <w:rPr>
          <w:rFonts w:asciiTheme="minorHAnsi" w:eastAsia="Aptos" w:hAnsiTheme="minorHAnsi" w:cstheme="minorHAnsi"/>
          <w:lang w:val="es-PE" w:eastAsia="en-US"/>
        </w:rPr>
      </w:pPr>
    </w:p>
    <w:p w14:paraId="3C8FCC0B"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Para efectos del pago del primer trimestre, el CONCEDENTE realizará el pago del PPD1_ND, del PPD1_DE, del PPD2_ND y del PPD2_DE sin aplicar ningún saldo por liquidar en función al Numeral 13 y 18 precedentes, a las cuentas correspondientes del Fideicomiso de Administración, previo al envío del(los)  comprobante(s) de pago correspondiente(s), el(los) cual(es) deberá(n) ser emitido(s) por el CONCESIONARIO diez (10) Días de iniciado el último mes de dicho trimestre por el valor mencionado, de conformidad con lo previsto en el Reglamento de Comprobantes de Pago, o la norma que lo modifique o sustituya.</w:t>
      </w:r>
    </w:p>
    <w:p w14:paraId="73939F5B"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9179FD2" w14:textId="37F01AB6" w:rsidR="006C38C0" w:rsidRPr="00285D58" w:rsidRDefault="006C38C0"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En caso el CONCEDENTE no cumpla con el pago del PPD en el plazo señalado en los numerales precedente</w:t>
      </w:r>
      <w:r w:rsidR="00465136" w:rsidRPr="00285D58">
        <w:rPr>
          <w:rFonts w:asciiTheme="minorHAnsi" w:eastAsia="Calibri" w:hAnsiTheme="minorHAnsi" w:cstheme="minorHAnsi"/>
        </w:rPr>
        <w:t>s</w:t>
      </w:r>
      <w:r w:rsidRPr="00285D58">
        <w:rPr>
          <w:rFonts w:asciiTheme="minorHAnsi" w:eastAsia="Calibri" w:hAnsiTheme="minorHAnsi" w:cstheme="minorHAnsi"/>
        </w:rPr>
        <w:t xml:space="preserve">, se devengará una tasa equivalente diaria de la Tasa Referencial más dos por ciento (2%) por cada Día Calendario de retraso desde la fecha en que correspondía el pago. </w:t>
      </w:r>
    </w:p>
    <w:p w14:paraId="405E56D5"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7E36102E" w14:textId="77777777" w:rsidR="004A2CCE" w:rsidRPr="00285D58" w:rsidRDefault="004A2CCE" w:rsidP="00A3732C">
      <w:pPr>
        <w:pStyle w:val="Prrafodelista"/>
        <w:widowControl/>
        <w:numPr>
          <w:ilvl w:val="0"/>
          <w:numId w:val="275"/>
        </w:numPr>
        <w:spacing w:after="240" w:line="276" w:lineRule="auto"/>
        <w:ind w:left="851" w:hanging="567"/>
        <w:jc w:val="both"/>
        <w:rPr>
          <w:rFonts w:asciiTheme="minorHAnsi" w:eastAsia="Times New Roman" w:hAnsiTheme="minorHAnsi" w:cstheme="minorHAnsi"/>
          <w:b/>
          <w:lang w:val="es-PE" w:eastAsia="en-US"/>
        </w:rPr>
      </w:pPr>
      <w:bookmarkStart w:id="312" w:name="_heading=h.3vac5uf" w:colFirst="0" w:colLast="0"/>
      <w:bookmarkStart w:id="313" w:name="_Toc180162681"/>
      <w:bookmarkStart w:id="314" w:name="_Toc182581502"/>
      <w:bookmarkStart w:id="315" w:name="_Toc182582285"/>
      <w:bookmarkEnd w:id="312"/>
      <w:r w:rsidRPr="00285D58">
        <w:rPr>
          <w:rFonts w:asciiTheme="minorHAnsi" w:eastAsia="Times New Roman" w:hAnsiTheme="minorHAnsi" w:cstheme="minorHAnsi"/>
          <w:b/>
          <w:lang w:val="es-PE" w:eastAsia="en-US"/>
        </w:rPr>
        <w:t>Procedimiento de aprobación del Informe de Liquidación</w:t>
      </w:r>
      <w:bookmarkEnd w:id="313"/>
      <w:bookmarkEnd w:id="314"/>
      <w:bookmarkEnd w:id="315"/>
      <w:r w:rsidRPr="00285D58">
        <w:rPr>
          <w:rFonts w:asciiTheme="minorHAnsi" w:eastAsia="Times New Roman" w:hAnsiTheme="minorHAnsi" w:cstheme="minorHAnsi"/>
          <w:b/>
          <w:lang w:val="es-PE" w:eastAsia="en-US"/>
        </w:rPr>
        <w:t xml:space="preserve"> </w:t>
      </w:r>
    </w:p>
    <w:p w14:paraId="7B17A21A" w14:textId="69E9208D"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316" w:name="_heading=h.2afmg28" w:colFirst="0" w:colLast="0"/>
      <w:bookmarkStart w:id="317" w:name="_Ref174021141"/>
      <w:bookmarkEnd w:id="316"/>
      <w:r w:rsidRPr="00285D58">
        <w:rPr>
          <w:rFonts w:asciiTheme="minorHAnsi" w:eastAsia="Calibri" w:hAnsiTheme="minorHAnsi" w:cstheme="minorHAnsi"/>
        </w:rPr>
        <w:t xml:space="preserve">A más tardar, al octavo Día del </w:t>
      </w:r>
      <w:r w:rsidR="00D55B7A" w:rsidRPr="00285D58">
        <w:rPr>
          <w:rFonts w:asciiTheme="minorHAnsi" w:eastAsia="Calibri" w:hAnsiTheme="minorHAnsi" w:cstheme="minorHAnsi"/>
        </w:rPr>
        <w:t>mes posterior</w:t>
      </w:r>
      <w:r w:rsidRPr="00285D58">
        <w:rPr>
          <w:rFonts w:asciiTheme="minorHAnsi" w:eastAsia="Calibri" w:hAnsiTheme="minorHAnsi" w:cstheme="minorHAnsi"/>
        </w:rPr>
        <w:t xml:space="preserve"> a marzo, junio, setiembre y diciembre, según corresponda, el Supervisor deberá enviar al CONCEDENTE, el Informe de Liquidación que servirá como base para el cálculo y aplicación del saldo por liquidar del PPD de los trimestres posteriores, de conformidad con el modelo establecido en el Apéndice 4 del presente Anexo.</w:t>
      </w:r>
      <w:bookmarkEnd w:id="317"/>
    </w:p>
    <w:p w14:paraId="54B2C724"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698E881E"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El Supervisor incluirá como parte de dicho informe el cálculo de la Deducción (Ded</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y la Deducción Referencial (DedRef</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xml:space="preserve">) que correspondan a cada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de acuerdo a los </w:t>
      </w:r>
      <w:r w:rsidRPr="00285D58">
        <w:rPr>
          <w:rFonts w:asciiTheme="minorHAnsi" w:eastAsia="Aptos" w:hAnsiTheme="minorHAnsi" w:cstheme="minorHAnsi"/>
          <w:lang w:val="es-PE" w:eastAsia="en-US"/>
        </w:rPr>
        <w:lastRenderedPageBreak/>
        <w:t>numerales 15 y 20 del presente Apéndice, en función al respectivo índice mínimo (IdxMinj,t) e índice de servicio (IdxServj,t) establecido en Apéndice 3 del presente Anexo, los cuales servirán para el cálculo del saldo por liquidar y su respectiva contabilización. Dicho informe deberá incluir el saldo neto a liquidar (Saldo_Liq</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del trimestre previo de acuerdo a lo previsto en el Numeral 16 y 21 precedentes.  Las variables indicadas en el presente párrafo corresponden tanto al PPD1 como al PPD2.</w:t>
      </w:r>
    </w:p>
    <w:p w14:paraId="1C08D126"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194C6803" w14:textId="77777777" w:rsidR="004A2CCE" w:rsidRPr="00285D58" w:rsidRDefault="004A2CCE" w:rsidP="008D1FFF">
      <w:pPr>
        <w:widowControl/>
        <w:spacing w:line="276" w:lineRule="auto"/>
        <w:ind w:left="360"/>
        <w:jc w:val="both"/>
        <w:rPr>
          <w:rFonts w:asciiTheme="minorHAnsi" w:eastAsia="Calibri" w:hAnsiTheme="minorHAnsi" w:cstheme="minorHAnsi"/>
        </w:rPr>
      </w:pPr>
      <w:r w:rsidRPr="00285D58">
        <w:rPr>
          <w:rFonts w:asciiTheme="minorHAnsi" w:eastAsia="Aptos" w:hAnsiTheme="minorHAnsi" w:cstheme="minorHAnsi"/>
          <w:lang w:val="es-PE" w:eastAsia="en-US"/>
        </w:rPr>
        <w:t>Excepcionalmente, en el último trimestre del Periodo de Operación de la Concesión, el cálculo de la liquidación del PPD no aplica el límite de la Deducción Referencial (DedRef</w:t>
      </w:r>
      <w:r w:rsidRPr="00285D58">
        <w:rPr>
          <w:rFonts w:asciiTheme="minorHAnsi" w:eastAsia="Aptos" w:hAnsiTheme="minorHAnsi" w:cstheme="minorHAnsi"/>
          <w:vertAlign w:val="subscript"/>
          <w:lang w:val="es-PE" w:eastAsia="en-US"/>
        </w:rPr>
        <w:t>j,t</w:t>
      </w:r>
      <w:r w:rsidRPr="00285D58">
        <w:rPr>
          <w:rFonts w:asciiTheme="minorHAnsi" w:eastAsia="Aptos" w:hAnsiTheme="minorHAnsi" w:cstheme="minorHAnsi"/>
          <w:lang w:val="es-PE" w:eastAsia="en-US"/>
        </w:rPr>
        <w:t>) y se deberán incluir la aplicación de la totalidad de ajustes  que estuvieran pendientes.</w:t>
      </w:r>
    </w:p>
    <w:p w14:paraId="233F0053" w14:textId="77777777" w:rsidR="004A2CCE" w:rsidRPr="00285D58" w:rsidRDefault="004A2CCE" w:rsidP="008D1FFF">
      <w:pPr>
        <w:widowControl/>
        <w:spacing w:line="276" w:lineRule="auto"/>
        <w:jc w:val="both"/>
        <w:rPr>
          <w:rFonts w:asciiTheme="minorHAnsi" w:eastAsia="Calibri" w:hAnsiTheme="minorHAnsi" w:cstheme="minorHAnsi"/>
        </w:rPr>
      </w:pPr>
    </w:p>
    <w:p w14:paraId="42FC43B3"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bookmarkStart w:id="318" w:name="_heading=h.pkwqa1" w:colFirst="0" w:colLast="0"/>
      <w:bookmarkEnd w:id="318"/>
      <w:r w:rsidRPr="00285D58">
        <w:rPr>
          <w:rFonts w:asciiTheme="minorHAnsi" w:eastAsia="Calibri" w:hAnsiTheme="minorHAnsi" w:cstheme="minorHAnsi"/>
        </w:rPr>
        <w:t>Una vez recibido el Informe de Liquidación, el CONCEDENTE tendrá un plazo de diez (10) Días para aprobarlo u observarlo por única vez, mediante comunicación escrita remitida al Supervisor, explicando los motivos y acompañando el sustento correspondiente. El CONCEDENTE podrá emitir observaciones únicamente al cálculo de la liquidación del PPD.</w:t>
      </w:r>
    </w:p>
    <w:p w14:paraId="62BDF1CF"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2BF26C7D" w14:textId="2A8C81AF"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En caso el CONCEDENTE no emita pronunciamiento en dicho plazo, el Supervisor reiterará al Día siguiente del vencimiento del plazo señalado en el Numeral </w:t>
      </w:r>
      <w:r w:rsidR="00BC7E9C" w:rsidRPr="00285D58">
        <w:rPr>
          <w:rFonts w:asciiTheme="minorHAnsi" w:eastAsia="Calibri" w:hAnsiTheme="minorHAnsi" w:cstheme="minorHAnsi"/>
        </w:rPr>
        <w:t>37</w:t>
      </w:r>
      <w:r w:rsidRPr="00285D58">
        <w:rPr>
          <w:rFonts w:asciiTheme="minorHAnsi" w:eastAsia="Calibri" w:hAnsiTheme="minorHAnsi" w:cstheme="minorHAnsi"/>
        </w:rPr>
        <w:t xml:space="preserve"> precedente, la solicitud de pronunciamiento del CONCEDENTE a fin de que esta se realice en el plazo máximo de cinco (5) Días, el cual se contabilizará a partir del Día siguiente a la reiteración realizada por el Supervisor. Una vez vencido este nuevo plazo sin pronunciamiento del CONCEDENTE, se entenderá que el Informe de Liquidación se encuentra aprobado en su integridad, el cual deberá ser enviado por el Supervisor al Fiduciario, con copia al CONCESIONARIO, en un plazo máximo de cinco (5) Días, a efectos que se realice el pago del siguiente trimestre.</w:t>
      </w:r>
    </w:p>
    <w:p w14:paraId="0E38CC88" w14:textId="77777777" w:rsidR="004A2CCE" w:rsidRPr="00285D58" w:rsidRDefault="004A2CCE" w:rsidP="008D1FFF">
      <w:pPr>
        <w:widowControl/>
        <w:spacing w:line="276" w:lineRule="auto"/>
        <w:ind w:left="720"/>
        <w:jc w:val="both"/>
        <w:rPr>
          <w:rFonts w:asciiTheme="minorHAnsi" w:eastAsia="Calibri" w:hAnsiTheme="minorHAnsi" w:cstheme="minorHAnsi"/>
        </w:rPr>
      </w:pPr>
    </w:p>
    <w:p w14:paraId="340B3E12" w14:textId="28109FC9"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Si el CONCEDENTE emite observaciones al Informe de Liquidación, el Supervisor tendrá un plazo único de cinco (5) Días para incluir las observaciones o precisiones de corresponder, remitidas por el CONCEDENTE. Dentro de dicho plazo, el Supervisor elabora la versión final del informe y lo remite al CONCEDENTE, quién tendrá un plazo de cinco (5) Días contados desde el Dia siguiente a la recepción de la versión final del informe, para verificar que las observaciones hayan sido levantadas. Una vez transcurrido dicho plazo, el CONCEDENTE debe enviar la versión final del informe al Fiduciario, con copia al CONCESIONARIO y Supervisor, para fines informativos respecto al pago del siguiente trimestre. </w:t>
      </w:r>
    </w:p>
    <w:p w14:paraId="2E590903" w14:textId="77777777" w:rsidR="004A2CCE" w:rsidRPr="00285D58" w:rsidRDefault="004A2CCE" w:rsidP="008D1FFF">
      <w:pPr>
        <w:widowControl/>
        <w:spacing w:line="276" w:lineRule="auto"/>
        <w:ind w:left="360"/>
        <w:jc w:val="both"/>
        <w:rPr>
          <w:rFonts w:asciiTheme="minorHAnsi" w:eastAsia="Calibri" w:hAnsiTheme="minorHAnsi" w:cstheme="minorHAnsi"/>
        </w:rPr>
      </w:pPr>
    </w:p>
    <w:p w14:paraId="28BB9514" w14:textId="77777777" w:rsidR="004A2CCE" w:rsidRPr="00285D58" w:rsidRDefault="004A2CCE" w:rsidP="00A3732C">
      <w:pPr>
        <w:widowControl/>
        <w:numPr>
          <w:ilvl w:val="0"/>
          <w:numId w:val="70"/>
        </w:numPr>
        <w:spacing w:line="276" w:lineRule="auto"/>
        <w:ind w:left="360"/>
        <w:jc w:val="both"/>
        <w:rPr>
          <w:rFonts w:asciiTheme="minorHAnsi" w:eastAsia="Calibri" w:hAnsiTheme="minorHAnsi" w:cstheme="minorHAnsi"/>
        </w:rPr>
      </w:pPr>
      <w:r w:rsidRPr="00285D58">
        <w:rPr>
          <w:rFonts w:asciiTheme="minorHAnsi" w:eastAsia="Calibri" w:hAnsiTheme="minorHAnsi" w:cstheme="minorHAnsi"/>
        </w:rPr>
        <w:t xml:space="preserve">En caso el CONCESIONARIO no esté de acuerdo con la calificación de los Niveles de Servicio del trimestre, podrá someter la controversia técnica a los mecanismos de solución de controversias previstos en el Capítulo XVII del Contrato de Concesión. De presentarse observaciones al Informe de Liquidación por parte del CONCEDENTE o el CONCESIONARIO y se someta la controversia al mecanismo de solución de controversias correspondiente; el CONCESIONARIO garantiza la continuidad de la prestación de los Servicios Obligatorios, los que deberán cumplir con los Niveles de Servicio establecidos en el Anexo 9 del presente </w:t>
      </w:r>
      <w:sdt>
        <w:sdtPr>
          <w:rPr>
            <w:rFonts w:asciiTheme="minorHAnsi" w:hAnsiTheme="minorHAnsi" w:cstheme="minorHAnsi"/>
          </w:rPr>
          <w:tag w:val="goog_rdk_381"/>
          <w:id w:val="111417953"/>
        </w:sdtPr>
        <w:sdtContent/>
      </w:sdt>
      <w:sdt>
        <w:sdtPr>
          <w:rPr>
            <w:rFonts w:asciiTheme="minorHAnsi" w:hAnsiTheme="minorHAnsi" w:cstheme="minorHAnsi"/>
          </w:rPr>
          <w:tag w:val="goog_rdk_382"/>
          <w:id w:val="1345133156"/>
        </w:sdtPr>
        <w:sdtContent/>
      </w:sdt>
      <w:sdt>
        <w:sdtPr>
          <w:rPr>
            <w:rFonts w:asciiTheme="minorHAnsi" w:hAnsiTheme="minorHAnsi" w:cstheme="minorHAnsi"/>
          </w:rPr>
          <w:tag w:val="goog_rdk_383"/>
          <w:id w:val="-1271696478"/>
        </w:sdtPr>
        <w:sdtContent/>
      </w:sdt>
      <w:sdt>
        <w:sdtPr>
          <w:rPr>
            <w:rFonts w:asciiTheme="minorHAnsi" w:hAnsiTheme="minorHAnsi" w:cstheme="minorHAnsi"/>
          </w:rPr>
          <w:tag w:val="goog_rdk_384"/>
          <w:id w:val="1541004522"/>
        </w:sdtPr>
        <w:sdtContent/>
      </w:sdt>
      <w:r w:rsidRPr="00285D58">
        <w:rPr>
          <w:rFonts w:asciiTheme="minorHAnsi" w:eastAsia="Calibri" w:hAnsiTheme="minorHAnsi" w:cstheme="minorHAnsi"/>
        </w:rPr>
        <w:t xml:space="preserve">Contrato. </w:t>
      </w:r>
    </w:p>
    <w:p w14:paraId="3F52E3B4" w14:textId="77777777" w:rsidR="004A2CCE" w:rsidRPr="00285D58" w:rsidRDefault="004A2CCE" w:rsidP="008D1FFF">
      <w:pPr>
        <w:widowControl/>
        <w:spacing w:after="160" w:line="276" w:lineRule="auto"/>
        <w:jc w:val="both"/>
        <w:rPr>
          <w:rFonts w:asciiTheme="minorHAnsi" w:eastAsia="Calibri" w:hAnsiTheme="minorHAnsi" w:cstheme="minorHAnsi"/>
        </w:rPr>
      </w:pPr>
    </w:p>
    <w:p w14:paraId="69F63626" w14:textId="77777777" w:rsidR="004A2CCE" w:rsidRPr="00285D58" w:rsidRDefault="004A2CCE" w:rsidP="00A3732C">
      <w:pPr>
        <w:pStyle w:val="Prrafodelista"/>
        <w:widowControl/>
        <w:numPr>
          <w:ilvl w:val="0"/>
          <w:numId w:val="275"/>
        </w:numPr>
        <w:spacing w:after="240" w:line="276" w:lineRule="auto"/>
        <w:ind w:left="709" w:hanging="425"/>
        <w:jc w:val="both"/>
        <w:rPr>
          <w:rFonts w:asciiTheme="minorHAnsi" w:eastAsia="Times New Roman" w:hAnsiTheme="minorHAnsi" w:cstheme="minorHAnsi"/>
          <w:b/>
          <w:lang w:val="es-PE" w:eastAsia="en-US"/>
        </w:rPr>
      </w:pPr>
      <w:bookmarkStart w:id="319" w:name="_Toc180162682"/>
      <w:bookmarkStart w:id="320" w:name="_Toc182581503"/>
      <w:bookmarkStart w:id="321" w:name="_Toc182582286"/>
      <w:r w:rsidRPr="00285D58">
        <w:rPr>
          <w:rFonts w:asciiTheme="minorHAnsi" w:eastAsia="Times New Roman" w:hAnsiTheme="minorHAnsi" w:cstheme="minorHAnsi"/>
          <w:b/>
          <w:lang w:val="es-PE" w:eastAsia="en-US"/>
        </w:rPr>
        <w:lastRenderedPageBreak/>
        <w:t>Pago del PPD1 en caso el inicio de operaciones sea posterior al esperado</w:t>
      </w:r>
      <w:bookmarkEnd w:id="319"/>
      <w:bookmarkEnd w:id="320"/>
      <w:bookmarkEnd w:id="321"/>
    </w:p>
    <w:p w14:paraId="0CBA9FC7" w14:textId="00D016D7" w:rsidR="00BB5F42" w:rsidRPr="00BB5F42" w:rsidRDefault="00000000" w:rsidP="00A3732C">
      <w:pPr>
        <w:widowControl/>
        <w:numPr>
          <w:ilvl w:val="0"/>
          <w:numId w:val="70"/>
        </w:numPr>
        <w:spacing w:after="160" w:line="276" w:lineRule="auto"/>
        <w:ind w:left="426" w:hanging="426"/>
        <w:jc w:val="both"/>
        <w:rPr>
          <w:rFonts w:asciiTheme="minorHAnsi" w:eastAsia="Calibri" w:hAnsiTheme="minorHAnsi" w:cstheme="minorHAnsi"/>
        </w:rPr>
      </w:pPr>
      <w:sdt>
        <w:sdtPr>
          <w:rPr>
            <w:rFonts w:asciiTheme="minorHAnsi" w:hAnsiTheme="minorHAnsi" w:cstheme="minorHAnsi"/>
          </w:rPr>
          <w:tag w:val="goog_rdk_385"/>
          <w:id w:val="-224914114"/>
        </w:sdtPr>
        <w:sdtContent/>
      </w:sdt>
      <w:bookmarkStart w:id="322" w:name="_heading=h.39kk8xu" w:colFirst="0" w:colLast="0"/>
      <w:bookmarkEnd w:id="322"/>
      <w:r w:rsidR="00BB5F42" w:rsidRPr="00BB5F42">
        <w:rPr>
          <w:rFonts w:asciiTheme="minorHAnsi" w:eastAsia="Calibri" w:hAnsiTheme="minorHAnsi" w:cstheme="minorHAnsi"/>
        </w:rPr>
        <w:t xml:space="preserve">Si por causas imputables al CONCEDENTE, el inicio del Periodo Operativo de cada Componente es posterior al plazo máximo establecido en el Contrato, se afectará únicamente las cuotas del PPD1 correspondientes al periodo de aplazamiento del inicio de operaciones. Por tanto, el pago de las cuotas del PPD1 que no corresponden al periodo de aplazamiento se realizará en la oportunidad estipulada inicialmente. </w:t>
      </w:r>
    </w:p>
    <w:p w14:paraId="7450897F"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Calibri" w:hAnsiTheme="minorHAnsi" w:cstheme="minorHAnsi"/>
        </w:rPr>
        <w:t xml:space="preserve">Las cuotas afectadas por el aplazamiento se trasladarán y pagarán en la fecha en la que correspondería el pago del primer </w:t>
      </w:r>
      <w:sdt>
        <w:sdtPr>
          <w:rPr>
            <w:rFonts w:asciiTheme="minorHAnsi" w:hAnsiTheme="minorHAnsi" w:cstheme="minorHAnsi"/>
          </w:rPr>
          <w:tag w:val="goog_rdk_388"/>
          <w:id w:val="-545457368"/>
        </w:sdtPr>
        <w:sdtContent/>
      </w:sdt>
      <w:sdt>
        <w:sdtPr>
          <w:rPr>
            <w:rFonts w:asciiTheme="minorHAnsi" w:hAnsiTheme="minorHAnsi" w:cstheme="minorHAnsi"/>
          </w:rPr>
          <w:tag w:val="goog_rdk_389"/>
          <w:id w:val="-1752728808"/>
        </w:sdtPr>
        <w:sdtContent/>
      </w:sdt>
      <w:sdt>
        <w:sdtPr>
          <w:rPr>
            <w:rFonts w:asciiTheme="minorHAnsi" w:hAnsiTheme="minorHAnsi" w:cstheme="minorHAnsi"/>
          </w:rPr>
          <w:tag w:val="goog_rdk_390"/>
          <w:id w:val="-1369213941"/>
        </w:sdtPr>
        <w:sdtContent/>
      </w:sdt>
      <w:sdt>
        <w:sdtPr>
          <w:rPr>
            <w:rFonts w:asciiTheme="minorHAnsi" w:hAnsiTheme="minorHAnsi" w:cstheme="minorHAnsi"/>
          </w:rPr>
          <w:tag w:val="goog_rdk_391"/>
          <w:id w:val="598528003"/>
        </w:sdtPr>
        <w:sdtContent/>
      </w:sdt>
      <w:r w:rsidRPr="00285D58">
        <w:rPr>
          <w:rFonts w:asciiTheme="minorHAnsi" w:eastAsia="Calibri" w:hAnsiTheme="minorHAnsi" w:cstheme="minorHAnsi"/>
        </w:rPr>
        <w:t xml:space="preserve">PPD1. </w:t>
      </w:r>
    </w:p>
    <w:p w14:paraId="36C32EFA" w14:textId="4A94448E" w:rsidR="004A2CCE" w:rsidRPr="00285D58" w:rsidRDefault="00BB5F42"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Aptos" w:hAnsiTheme="minorHAnsi" w:cstheme="minorHAnsi"/>
          <w:lang w:val="es-PE" w:eastAsia="en-US"/>
        </w:rPr>
        <w:t xml:space="preserve">Debido al </w:t>
      </w:r>
      <w:r w:rsidR="00265EBE">
        <w:rPr>
          <w:rFonts w:asciiTheme="minorHAnsi" w:eastAsia="Aptos" w:hAnsiTheme="minorHAnsi" w:cstheme="minorHAnsi"/>
          <w:lang w:val="es-PE" w:eastAsia="en-US"/>
        </w:rPr>
        <w:t xml:space="preserve">aplazamiento del </w:t>
      </w:r>
      <w:r w:rsidRPr="00285D58">
        <w:rPr>
          <w:rFonts w:asciiTheme="minorHAnsi" w:eastAsia="Aptos" w:hAnsiTheme="minorHAnsi" w:cstheme="minorHAnsi"/>
          <w:lang w:val="es-PE" w:eastAsia="en-US"/>
        </w:rPr>
        <w:t xml:space="preserve"> pago del PPD1, </w:t>
      </w:r>
      <w:r w:rsidR="004A2CCE" w:rsidRPr="00285D58">
        <w:rPr>
          <w:rFonts w:asciiTheme="minorHAnsi" w:eastAsia="Aptos" w:hAnsiTheme="minorHAnsi" w:cstheme="minorHAnsi"/>
          <w:lang w:val="es-PE" w:eastAsia="en-US"/>
        </w:rPr>
        <w:t>el CONCEDENTE reconocerá y pagará a favor del CONCESIONARIO una tasa de interés entre el mínimo de la tasa del Cierre Financiero</w:t>
      </w:r>
      <w:r w:rsidR="003C53D4" w:rsidRPr="00285D58">
        <w:rPr>
          <w:rFonts w:asciiTheme="minorHAnsi" w:eastAsia="Aptos" w:hAnsiTheme="minorHAnsi" w:cstheme="minorHAnsi"/>
          <w:lang w:val="es-PE" w:eastAsia="en-US"/>
        </w:rPr>
        <w:t xml:space="preserve"> y</w:t>
      </w:r>
      <w:r w:rsidR="004A2CCE" w:rsidRPr="00285D58">
        <w:rPr>
          <w:rFonts w:asciiTheme="minorHAnsi" w:eastAsia="Aptos" w:hAnsiTheme="minorHAnsi" w:cstheme="minorHAnsi"/>
          <w:lang w:val="es-PE" w:eastAsia="en-US"/>
        </w:rPr>
        <w:t xml:space="preserve"> </w:t>
      </w:r>
      <w:r w:rsidR="006359C3" w:rsidRPr="00285D58">
        <w:rPr>
          <w:rFonts w:asciiTheme="minorHAnsi" w:eastAsia="Aptos" w:hAnsiTheme="minorHAnsi" w:cstheme="minorHAnsi"/>
          <w:lang w:val="es-PE" w:eastAsia="en-US"/>
        </w:rPr>
        <w:t xml:space="preserve"> </w:t>
      </w:r>
      <w:r w:rsidR="004A2CCE" w:rsidRPr="00285D58">
        <w:rPr>
          <w:rFonts w:asciiTheme="minorHAnsi" w:eastAsia="Aptos" w:hAnsiTheme="minorHAnsi" w:cstheme="minorHAnsi"/>
          <w:lang w:val="es-PE" w:eastAsia="en-US"/>
        </w:rPr>
        <w:t xml:space="preserve">el rendimiento de </w:t>
      </w:r>
      <w:r w:rsidR="003C53D4" w:rsidRPr="00285D58">
        <w:rPr>
          <w:rFonts w:asciiTheme="minorHAnsi" w:eastAsia="Aptos" w:hAnsiTheme="minorHAnsi" w:cstheme="minorHAnsi"/>
          <w:lang w:val="es-PE" w:eastAsia="en-US"/>
        </w:rPr>
        <w:t xml:space="preserve">la Curva Cupón Cero </w:t>
      </w:r>
      <w:r w:rsidR="003A33E6" w:rsidRPr="00285D58">
        <w:rPr>
          <w:rFonts w:asciiTheme="minorHAnsi" w:eastAsia="Aptos" w:hAnsiTheme="minorHAnsi" w:cstheme="minorHAnsi"/>
          <w:lang w:val="es-PE" w:eastAsia="en-US"/>
        </w:rPr>
        <w:t>D</w:t>
      </w:r>
      <w:r w:rsidR="003C53D4" w:rsidRPr="00285D58">
        <w:rPr>
          <w:rFonts w:asciiTheme="minorHAnsi" w:eastAsia="Aptos" w:hAnsiTheme="minorHAnsi" w:cstheme="minorHAnsi"/>
          <w:lang w:val="es-PE" w:eastAsia="en-US"/>
        </w:rPr>
        <w:t xml:space="preserve">ólares </w:t>
      </w:r>
      <w:r w:rsidR="003A33E6" w:rsidRPr="00285D58">
        <w:rPr>
          <w:rFonts w:asciiTheme="minorHAnsi" w:eastAsia="Aptos" w:hAnsiTheme="minorHAnsi" w:cstheme="minorHAnsi"/>
          <w:lang w:val="es-PE" w:eastAsia="en-US"/>
        </w:rPr>
        <w:t>G</w:t>
      </w:r>
      <w:r w:rsidR="003C53D4" w:rsidRPr="00285D58">
        <w:rPr>
          <w:rFonts w:asciiTheme="minorHAnsi" w:eastAsia="Aptos" w:hAnsiTheme="minorHAnsi" w:cstheme="minorHAnsi"/>
          <w:lang w:val="es-PE" w:eastAsia="en-US"/>
        </w:rPr>
        <w:t xml:space="preserve">lobal con </w:t>
      </w:r>
      <w:r w:rsidR="003A33E6" w:rsidRPr="00285D58">
        <w:rPr>
          <w:rFonts w:asciiTheme="minorHAnsi" w:eastAsia="Aptos" w:hAnsiTheme="minorHAnsi" w:cstheme="minorHAnsi"/>
          <w:lang w:val="es-PE" w:eastAsia="en-US"/>
        </w:rPr>
        <w:t xml:space="preserve">una </w:t>
      </w:r>
      <w:r w:rsidR="004A2CCE" w:rsidRPr="00285D58">
        <w:rPr>
          <w:rFonts w:asciiTheme="minorHAnsi" w:eastAsia="Aptos" w:hAnsiTheme="minorHAnsi" w:cstheme="minorHAnsi"/>
          <w:lang w:val="es-PE" w:eastAsia="en-US"/>
        </w:rPr>
        <w:t xml:space="preserve">vida media </w:t>
      </w:r>
      <w:r w:rsidR="003C53D4" w:rsidRPr="00285D58">
        <w:rPr>
          <w:rFonts w:asciiTheme="minorHAnsi" w:eastAsia="Aptos" w:hAnsiTheme="minorHAnsi" w:cstheme="minorHAnsi"/>
          <w:lang w:val="es-PE" w:eastAsia="en-US"/>
        </w:rPr>
        <w:t xml:space="preserve">de Tres mil seiscientos (3600) días publicada por la Superintendencia de Banca y Seguros y AFP (SBS) disponible </w:t>
      </w:r>
      <w:r w:rsidR="003A33E6" w:rsidRPr="00285D58">
        <w:rPr>
          <w:rFonts w:asciiTheme="minorHAnsi" w:eastAsia="Aptos" w:hAnsiTheme="minorHAnsi" w:cstheme="minorHAnsi"/>
          <w:lang w:val="es-PE" w:eastAsia="en-US"/>
        </w:rPr>
        <w:t>al último Día</w:t>
      </w:r>
      <w:r w:rsidR="003C53D4" w:rsidRPr="00285D58">
        <w:rPr>
          <w:rFonts w:asciiTheme="minorHAnsi" w:eastAsia="Aptos" w:hAnsiTheme="minorHAnsi" w:cstheme="minorHAnsi"/>
          <w:lang w:val="es-PE" w:eastAsia="en-US"/>
        </w:rPr>
        <w:t xml:space="preserve"> previo </w:t>
      </w:r>
      <w:r w:rsidR="004A2CCE" w:rsidRPr="00285D58">
        <w:rPr>
          <w:rFonts w:asciiTheme="minorHAnsi" w:eastAsia="Aptos" w:hAnsiTheme="minorHAnsi" w:cstheme="minorHAnsi"/>
          <w:lang w:val="es-PE" w:eastAsia="en-US"/>
        </w:rPr>
        <w:t xml:space="preserve"> a la fecha del Cierre Financiero más un spread de </w:t>
      </w:r>
      <w:r w:rsidR="00D51BDE" w:rsidRPr="00285D58">
        <w:rPr>
          <w:rFonts w:asciiTheme="minorHAnsi" w:eastAsia="Aptos" w:hAnsiTheme="minorHAnsi" w:cstheme="minorHAnsi"/>
          <w:lang w:val="es-PE" w:eastAsia="en-US"/>
        </w:rPr>
        <w:t>_____por ciento (___</w:t>
      </w:r>
      <w:r w:rsidR="004A2CCE" w:rsidRPr="00285D58">
        <w:rPr>
          <w:rFonts w:asciiTheme="minorHAnsi" w:eastAsia="Aptos" w:hAnsiTheme="minorHAnsi" w:cstheme="minorHAnsi"/>
          <w:lang w:val="es-PE" w:eastAsia="en-US"/>
        </w:rPr>
        <w:t>%</w:t>
      </w:r>
      <w:r w:rsidR="00D51BDE" w:rsidRPr="00285D58">
        <w:rPr>
          <w:rFonts w:asciiTheme="minorHAnsi" w:eastAsia="Aptos" w:hAnsiTheme="minorHAnsi" w:cstheme="minorHAnsi"/>
          <w:lang w:val="es-PE" w:eastAsia="en-US"/>
        </w:rPr>
        <w:t>)</w:t>
      </w:r>
      <w:r w:rsidR="004A2CCE" w:rsidRPr="00285D58">
        <w:rPr>
          <w:rFonts w:asciiTheme="minorHAnsi" w:eastAsia="Aptos" w:hAnsiTheme="minorHAnsi" w:cstheme="minorHAnsi"/>
          <w:lang w:val="es-PE" w:eastAsia="en-US"/>
        </w:rPr>
        <w:t xml:space="preserve">. </w:t>
      </w:r>
      <w:r w:rsidR="006359C3" w:rsidRPr="00285D58">
        <w:rPr>
          <w:rFonts w:asciiTheme="minorHAnsi" w:eastAsia="Aptos" w:hAnsiTheme="minorHAnsi" w:cstheme="minorHAnsi"/>
          <w:lang w:val="es-PE" w:eastAsia="en-US"/>
        </w:rPr>
        <w:t>Los intereses se calculan</w:t>
      </w:r>
      <w:r w:rsidR="004A2CCE" w:rsidRPr="00285D58">
        <w:rPr>
          <w:rFonts w:asciiTheme="minorHAnsi" w:eastAsia="Aptos" w:hAnsiTheme="minorHAnsi" w:cstheme="minorHAnsi"/>
          <w:lang w:val="es-PE" w:eastAsia="en-US"/>
        </w:rPr>
        <w:t xml:space="preserve"> desde la fecha de inicio prevista para el inicio de operaciones hasta la fecha en la que efectivamente se inician las operaciones.</w:t>
      </w:r>
    </w:p>
    <w:p w14:paraId="78EDF6B2" w14:textId="77777777" w:rsidR="004A2CCE" w:rsidRPr="00285D58" w:rsidRDefault="004A2CCE" w:rsidP="00A3732C">
      <w:pPr>
        <w:widowControl/>
        <w:numPr>
          <w:ilvl w:val="0"/>
          <w:numId w:val="70"/>
        </w:numPr>
        <w:spacing w:after="160" w:line="276" w:lineRule="auto"/>
        <w:ind w:left="426" w:hanging="426"/>
        <w:jc w:val="both"/>
        <w:rPr>
          <w:rFonts w:asciiTheme="minorHAnsi" w:eastAsia="Calibri" w:hAnsiTheme="minorHAnsi" w:cstheme="minorHAnsi"/>
        </w:rPr>
      </w:pPr>
      <w:r w:rsidRPr="00285D58">
        <w:rPr>
          <w:rFonts w:asciiTheme="minorHAnsi" w:eastAsia="Calibri" w:hAnsiTheme="minorHAnsi" w:cstheme="minorHAnsi"/>
        </w:rPr>
        <w:t xml:space="preserve">Si el retraso del inicio del Periodo Operativo de cada Componente por causal del CONCEDENTE, es mayor a los veinticuatro (24) meses, previa solicitud debidamente sustentada por el CONCESIONARIO, aplica lo regulado en el Capítulo XVI del Contrato de Concesión. </w:t>
      </w:r>
    </w:p>
    <w:p w14:paraId="082371EF" w14:textId="77777777" w:rsidR="004A2CCE" w:rsidRPr="00285D58" w:rsidRDefault="004A2CCE" w:rsidP="00A3732C">
      <w:pPr>
        <w:pStyle w:val="Prrafodelista"/>
        <w:widowControl/>
        <w:numPr>
          <w:ilvl w:val="0"/>
          <w:numId w:val="275"/>
        </w:numPr>
        <w:spacing w:after="240" w:line="276" w:lineRule="auto"/>
        <w:ind w:left="851" w:hanging="567"/>
        <w:jc w:val="both"/>
        <w:rPr>
          <w:rFonts w:asciiTheme="minorHAnsi" w:eastAsia="Times New Roman" w:hAnsiTheme="minorHAnsi" w:cstheme="minorHAnsi"/>
          <w:b/>
          <w:lang w:val="es-PE" w:eastAsia="en-US"/>
        </w:rPr>
      </w:pPr>
      <w:bookmarkStart w:id="323" w:name="_Toc176555799"/>
      <w:bookmarkStart w:id="324" w:name="_Toc176800282"/>
      <w:bookmarkStart w:id="325" w:name="_Toc180162683"/>
      <w:bookmarkStart w:id="326" w:name="_Toc182581504"/>
      <w:bookmarkStart w:id="327" w:name="_Toc182582287"/>
      <w:r w:rsidRPr="00285D58">
        <w:rPr>
          <w:rFonts w:asciiTheme="minorHAnsi" w:eastAsia="Times New Roman" w:hAnsiTheme="minorHAnsi" w:cstheme="minorHAnsi"/>
          <w:b/>
          <w:lang w:val="es-PE" w:eastAsia="en-US"/>
        </w:rPr>
        <w:t>Tarifa y ajustes de la Tarifa</w:t>
      </w:r>
      <w:bookmarkEnd w:id="323"/>
      <w:bookmarkEnd w:id="324"/>
      <w:bookmarkEnd w:id="325"/>
      <w:bookmarkEnd w:id="326"/>
      <w:bookmarkEnd w:id="327"/>
    </w:p>
    <w:p w14:paraId="2D71A32A" w14:textId="4E7F6E68" w:rsidR="006C38C0" w:rsidRPr="00285D58" w:rsidRDefault="006C38C0" w:rsidP="001E4AD6">
      <w:pPr>
        <w:widowControl/>
        <w:numPr>
          <w:ilvl w:val="0"/>
          <w:numId w:val="70"/>
        </w:numPr>
        <w:spacing w:after="160" w:line="276" w:lineRule="auto"/>
        <w:jc w:val="both"/>
        <w:rPr>
          <w:rFonts w:asciiTheme="minorHAnsi" w:eastAsia="Aptos" w:hAnsiTheme="minorHAnsi" w:cstheme="minorHAnsi"/>
          <w:lang w:val="es-PE" w:eastAsia="en-US"/>
        </w:rPr>
      </w:pPr>
      <w:bookmarkStart w:id="328" w:name="_Hlk176316900"/>
      <w:r w:rsidRPr="00285D58">
        <w:rPr>
          <w:rFonts w:asciiTheme="minorHAnsi" w:eastAsia="Aptos" w:hAnsiTheme="minorHAnsi" w:cstheme="minorHAnsi"/>
          <w:lang w:val="es-PE" w:eastAsia="en-US"/>
        </w:rPr>
        <w:t xml:space="preserve">El </w:t>
      </w:r>
      <w:r w:rsidR="00C81BF7" w:rsidRPr="00285D58">
        <w:rPr>
          <w:rFonts w:asciiTheme="minorHAnsi" w:eastAsia="Aptos" w:hAnsiTheme="minorHAnsi" w:cstheme="minorHAnsi"/>
          <w:lang w:val="es-PE" w:eastAsia="en-US"/>
        </w:rPr>
        <w:t xml:space="preserve">CONCEDENTE </w:t>
      </w:r>
      <w:r w:rsidRPr="00285D58">
        <w:rPr>
          <w:rFonts w:asciiTheme="minorHAnsi" w:eastAsia="Aptos" w:hAnsiTheme="minorHAnsi" w:cstheme="minorHAnsi"/>
          <w:lang w:val="es-PE" w:eastAsia="en-US"/>
        </w:rPr>
        <w:t xml:space="preserve">determinará la Tarifa base en Soles y </w:t>
      </w:r>
      <w:r w:rsidR="00BC7E9C" w:rsidRPr="00285D58">
        <w:rPr>
          <w:rFonts w:asciiTheme="minorHAnsi" w:eastAsia="Aptos" w:hAnsiTheme="minorHAnsi" w:cstheme="minorHAnsi"/>
          <w:lang w:val="es-PE" w:eastAsia="en-US"/>
        </w:rPr>
        <w:t xml:space="preserve">la Tarifa base </w:t>
      </w:r>
      <w:r w:rsidRPr="00285D58">
        <w:rPr>
          <w:rFonts w:asciiTheme="minorHAnsi" w:eastAsia="Aptos" w:hAnsiTheme="minorHAnsi" w:cstheme="minorHAnsi"/>
          <w:lang w:val="es-PE" w:eastAsia="en-US"/>
        </w:rPr>
        <w:t>en Dólares por los Servicios Obligatorios, considerando que la tarifa, expresada a la fecha de la Buena Pro, para turistas nacionales es de S/_______(______) y para turistas extranjeros es de a S/ _____ (______) .</w:t>
      </w:r>
    </w:p>
    <w:p w14:paraId="0B68F5F8" w14:textId="77777777" w:rsidR="004A2CCE" w:rsidRPr="00285D58" w:rsidRDefault="004A2CCE" w:rsidP="00A3732C">
      <w:pPr>
        <w:widowControl/>
        <w:numPr>
          <w:ilvl w:val="0"/>
          <w:numId w:val="70"/>
        </w:numPr>
        <w:spacing w:after="160" w:line="276" w:lineRule="auto"/>
        <w:ind w:left="426" w:hanging="42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El valor de la Tarifa base en Soles y Dólares se ajustará anualmente </w:t>
      </w:r>
      <w:r w:rsidRPr="00285D58">
        <w:rPr>
          <w:rFonts w:asciiTheme="minorHAnsi" w:eastAsia="Calibri" w:hAnsiTheme="minorHAnsi" w:cstheme="minorHAnsi"/>
        </w:rPr>
        <w:t>por la inflación</w:t>
      </w:r>
      <w:sdt>
        <w:sdtPr>
          <w:rPr>
            <w:rFonts w:asciiTheme="minorHAnsi" w:hAnsiTheme="minorHAnsi" w:cstheme="minorHAnsi"/>
          </w:rPr>
          <w:tag w:val="goog_rdk_333"/>
          <w:id w:val="-256294013"/>
        </w:sdtPr>
        <w:sdtContent>
          <w:r w:rsidRPr="00285D58">
            <w:rPr>
              <w:rFonts w:asciiTheme="minorHAnsi" w:eastAsia="Calibri" w:hAnsiTheme="minorHAnsi" w:cstheme="minorHAnsi"/>
            </w:rPr>
            <w:t xml:space="preserve"> </w:t>
          </w:r>
          <w:sdt>
            <w:sdtPr>
              <w:rPr>
                <w:rFonts w:asciiTheme="minorHAnsi" w:hAnsiTheme="minorHAnsi" w:cstheme="minorHAnsi"/>
              </w:rPr>
              <w:tag w:val="goog_rdk_334"/>
              <w:id w:val="1052966332"/>
            </w:sdtPr>
            <w:sdtContent/>
          </w:sdt>
        </w:sdtContent>
      </w:sdt>
      <w:r w:rsidRPr="00285D58">
        <w:rPr>
          <w:rFonts w:asciiTheme="minorHAnsi" w:eastAsia="Aptos" w:hAnsiTheme="minorHAnsi" w:cstheme="minorHAnsi"/>
          <w:lang w:val="es-PE" w:eastAsia="en-US"/>
        </w:rPr>
        <w:t>, de acuerdo con las siguientes fórmulas:</w:t>
      </w:r>
    </w:p>
    <w:p w14:paraId="54B0E097" w14:textId="77777777" w:rsidR="004A2CCE" w:rsidRPr="00285D58" w:rsidRDefault="00000000" w:rsidP="008D1FFF">
      <w:pPr>
        <w:widowControl/>
        <w:spacing w:after="160" w:line="276" w:lineRule="auto"/>
        <w:ind w:left="576"/>
        <w:jc w:val="both"/>
        <w:rPr>
          <w:rFonts w:asciiTheme="minorHAnsi" w:eastAsia="Times New Roman" w:hAnsiTheme="minorHAnsi" w:cstheme="minorHAnsi"/>
          <w:lang w:val="es-PE" w:eastAsia="en-US"/>
        </w:rPr>
      </w:pPr>
      <m:oMathPara>
        <m:oMath>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S/,i</m:t>
              </m:r>
            </m:sub>
          </m:sSub>
          <m:r>
            <w:rPr>
              <w:rFonts w:ascii="Cambria Math" w:eastAsia="Aptos" w:hAnsi="Cambria Math" w:cstheme="minorHAnsi"/>
              <w:lang w:val="es-PE" w:eastAsia="en-US"/>
            </w:rPr>
            <m:t>=</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S/,0</m:t>
              </m:r>
            </m:sub>
          </m:sSub>
          <m:r>
            <w:rPr>
              <w:rFonts w:ascii="Cambria Math" w:eastAsia="Aptos" w:hAnsi="Cambria Math" w:cstheme="minorHAnsi"/>
              <w:lang w:val="es-PE" w:eastAsia="en-US"/>
            </w:rPr>
            <m:t>×</m:t>
          </m:r>
          <m:f>
            <m:fPr>
              <m:ctrlPr>
                <w:rPr>
                  <w:rFonts w:ascii="Cambria Math" w:eastAsia="Aptos" w:hAnsi="Cambria Math" w:cstheme="minorHAnsi"/>
                  <w:i/>
                  <w:lang w:val="es-PE" w:eastAsia="en-US"/>
                </w:rPr>
              </m:ctrlPr>
            </m:fPr>
            <m:num>
              <m:r>
                <w:rPr>
                  <w:rFonts w:ascii="Cambria Math" w:eastAsia="Aptos" w:hAnsi="Cambria Math" w:cstheme="minorHAnsi"/>
                  <w:lang w:val="es-PE" w:eastAsia="en-US"/>
                </w:rPr>
                <m:t>IP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m:t>
                  </m:r>
                </m:e>
                <m:sub>
                  <m:r>
                    <w:rPr>
                      <w:rFonts w:ascii="Cambria Math" w:eastAsia="Aptos" w:hAnsi="Cambria Math" w:cstheme="minorHAnsi"/>
                      <w:lang w:val="es-PE" w:eastAsia="en-US"/>
                    </w:rPr>
                    <m:t>i-1</m:t>
                  </m:r>
                </m:sub>
              </m:sSub>
            </m:num>
            <m:den>
              <m:r>
                <w:rPr>
                  <w:rFonts w:ascii="Cambria Math" w:eastAsia="Aptos" w:hAnsi="Cambria Math" w:cstheme="minorHAnsi"/>
                  <w:lang w:val="es-PE" w:eastAsia="en-US"/>
                </w:rPr>
                <m:t>IP</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m:t>
                  </m:r>
                </m:e>
                <m:sub>
                  <m:r>
                    <w:rPr>
                      <w:rFonts w:ascii="Cambria Math" w:eastAsia="Aptos" w:hAnsi="Cambria Math" w:cstheme="minorHAnsi"/>
                      <w:lang w:val="es-PE" w:eastAsia="en-US"/>
                    </w:rPr>
                    <m:t>0</m:t>
                  </m:r>
                </m:sub>
              </m:sSub>
            </m:den>
          </m:f>
        </m:oMath>
      </m:oMathPara>
    </w:p>
    <w:p w14:paraId="20A4F539" w14:textId="77777777" w:rsidR="004A2CCE" w:rsidRPr="00285D58" w:rsidRDefault="004A2CCE" w:rsidP="008D1FFF">
      <w:pPr>
        <w:widowControl/>
        <w:spacing w:after="160" w:line="276" w:lineRule="auto"/>
        <w:ind w:left="57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355" w:type="dxa"/>
        <w:tblInd w:w="57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1"/>
        <w:gridCol w:w="6804"/>
      </w:tblGrid>
      <w:tr w:rsidR="004A2CCE" w:rsidRPr="00285D58" w14:paraId="6C7D78EE" w14:textId="77777777" w:rsidTr="00242093">
        <w:tc>
          <w:tcPr>
            <w:tcW w:w="1551" w:type="dxa"/>
          </w:tcPr>
          <w:p w14:paraId="7360428D"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S/,i</w:t>
            </w:r>
            <w:r w:rsidRPr="00285D58">
              <w:rPr>
                <w:rFonts w:asciiTheme="minorHAnsi" w:hAnsiTheme="minorHAnsi" w:cstheme="minorHAnsi"/>
                <w:i/>
                <w:iCs/>
                <w:sz w:val="22"/>
                <w:szCs w:val="22"/>
                <w:lang w:val="es-PE" w:eastAsia="en-US"/>
              </w:rPr>
              <w:t>:</w:t>
            </w:r>
          </w:p>
        </w:tc>
        <w:tc>
          <w:tcPr>
            <w:tcW w:w="6804" w:type="dxa"/>
          </w:tcPr>
          <w:p w14:paraId="4EE619ED" w14:textId="233B090E"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Tarifa en Soles ajustada por inflación a ser cobrada por los Servicios Obligatorios durante el Año Calendario i+1 del Contrato de Concesión.</w:t>
            </w:r>
            <w:r w:rsidR="00870B40" w:rsidRPr="00285D58">
              <w:rPr>
                <w:rFonts w:asciiTheme="minorHAnsi" w:hAnsiTheme="minorHAnsi" w:cstheme="minorHAnsi"/>
                <w:sz w:val="22"/>
                <w:szCs w:val="22"/>
                <w:lang w:val="es-PE" w:eastAsia="en-US"/>
              </w:rPr>
              <w:t xml:space="preserve"> La tarifa se ajustará a dos (02) decimales.</w:t>
            </w:r>
          </w:p>
        </w:tc>
      </w:tr>
      <w:tr w:rsidR="004A2CCE" w:rsidRPr="00285D58" w14:paraId="7A1ACA3F" w14:textId="77777777" w:rsidTr="00242093">
        <w:tc>
          <w:tcPr>
            <w:tcW w:w="1551" w:type="dxa"/>
          </w:tcPr>
          <w:p w14:paraId="2495288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S/,0</w:t>
            </w:r>
            <w:r w:rsidRPr="00285D58">
              <w:rPr>
                <w:rFonts w:asciiTheme="minorHAnsi" w:hAnsiTheme="minorHAnsi" w:cstheme="minorHAnsi"/>
                <w:i/>
                <w:iCs/>
                <w:sz w:val="22"/>
                <w:szCs w:val="22"/>
                <w:lang w:val="es-PE" w:eastAsia="en-US"/>
              </w:rPr>
              <w:t>:</w:t>
            </w:r>
          </w:p>
        </w:tc>
        <w:tc>
          <w:tcPr>
            <w:tcW w:w="6804" w:type="dxa"/>
          </w:tcPr>
          <w:p w14:paraId="094012B8" w14:textId="06A7371A"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Tarifa base en Soles determinada por el CONCEDENTE, de acuerdo al numeral 4</w:t>
            </w:r>
            <w:r w:rsidR="00BC7E9C" w:rsidRPr="00285D58">
              <w:rPr>
                <w:rFonts w:asciiTheme="minorHAnsi" w:eastAsia="Calibri" w:hAnsiTheme="minorHAnsi" w:cstheme="minorHAnsi"/>
                <w:sz w:val="22"/>
                <w:szCs w:val="22"/>
                <w:lang w:val="es-PE" w:eastAsia="en-US"/>
              </w:rPr>
              <w:t>5</w:t>
            </w:r>
            <w:r w:rsidRPr="00285D58">
              <w:rPr>
                <w:rFonts w:asciiTheme="minorHAnsi" w:eastAsia="Calibri" w:hAnsiTheme="minorHAnsi" w:cstheme="minorHAnsi"/>
                <w:sz w:val="22"/>
                <w:szCs w:val="22"/>
                <w:lang w:val="es-PE" w:eastAsia="en-US"/>
              </w:rPr>
              <w:t xml:space="preserve"> del presente Apéndice. </w:t>
            </w:r>
          </w:p>
        </w:tc>
      </w:tr>
      <w:tr w:rsidR="004A2CCE" w:rsidRPr="00285D58" w14:paraId="2BE6DCBA" w14:textId="77777777" w:rsidTr="00242093">
        <w:tc>
          <w:tcPr>
            <w:tcW w:w="1551" w:type="dxa"/>
          </w:tcPr>
          <w:p w14:paraId="70CDD5EF"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IPC</w:t>
            </w:r>
            <w:r w:rsidRPr="00285D58">
              <w:rPr>
                <w:rFonts w:asciiTheme="minorHAnsi" w:hAnsiTheme="minorHAnsi" w:cstheme="minorHAnsi"/>
                <w:i/>
                <w:iCs/>
                <w:sz w:val="22"/>
                <w:szCs w:val="22"/>
                <w:vertAlign w:val="subscript"/>
                <w:lang w:val="es-PE" w:eastAsia="en-US"/>
              </w:rPr>
              <w:t>i-1</w:t>
            </w:r>
            <w:r w:rsidRPr="00285D58">
              <w:rPr>
                <w:rFonts w:asciiTheme="minorHAnsi" w:hAnsiTheme="minorHAnsi" w:cstheme="minorHAnsi"/>
                <w:i/>
                <w:iCs/>
                <w:sz w:val="22"/>
                <w:szCs w:val="22"/>
                <w:lang w:val="es-PE" w:eastAsia="en-US"/>
              </w:rPr>
              <w:t>:</w:t>
            </w:r>
          </w:p>
        </w:tc>
        <w:tc>
          <w:tcPr>
            <w:tcW w:w="6804" w:type="dxa"/>
          </w:tcPr>
          <w:p w14:paraId="23952631" w14:textId="52A5A66C"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 xml:space="preserve">Índice de Precios al Consumidor (IPC) de Lima Metropolitana publicado por el Instituto Nacional de Estadística e Informática (INEI), o el indicador que </w:t>
            </w:r>
            <w:r w:rsidRPr="00285D58">
              <w:rPr>
                <w:rFonts w:asciiTheme="minorHAnsi" w:hAnsiTheme="minorHAnsi" w:cstheme="minorHAnsi"/>
                <w:color w:val="000000"/>
                <w:sz w:val="22"/>
                <w:szCs w:val="22"/>
                <w:lang w:val="es-PE" w:eastAsia="en-US"/>
              </w:rPr>
              <w:lastRenderedPageBreak/>
              <w:t>lo reemplace. Se tomará en cuenta el último IPC disponible a la fecha de ajuste</w:t>
            </w:r>
            <w:r w:rsidR="0009377E" w:rsidRPr="00285D58">
              <w:rPr>
                <w:rFonts w:asciiTheme="minorHAnsi" w:hAnsiTheme="minorHAnsi" w:cstheme="minorHAnsi"/>
                <w:color w:val="000000"/>
                <w:sz w:val="22"/>
                <w:szCs w:val="22"/>
                <w:lang w:val="es-PE" w:eastAsia="en-US"/>
              </w:rPr>
              <w:t xml:space="preserve"> </w:t>
            </w:r>
            <w:r w:rsidR="0009377E" w:rsidRPr="00BB5F42">
              <w:rPr>
                <w:rFonts w:asciiTheme="minorHAnsi" w:hAnsiTheme="minorHAnsi" w:cstheme="minorHAnsi"/>
                <w:color w:val="000000"/>
                <w:lang w:val="es-PE" w:eastAsia="en-US"/>
              </w:rPr>
              <w:t xml:space="preserve">con </w:t>
            </w:r>
            <w:r w:rsidR="00870B40" w:rsidRPr="00BB5F42">
              <w:rPr>
                <w:rFonts w:asciiTheme="minorHAnsi" w:hAnsiTheme="minorHAnsi" w:cstheme="minorHAnsi"/>
                <w:color w:val="000000"/>
                <w:lang w:val="es-PE" w:eastAsia="en-US"/>
              </w:rPr>
              <w:t xml:space="preserve">los </w:t>
            </w:r>
            <w:r w:rsidR="0009377E" w:rsidRPr="00BB5F42">
              <w:rPr>
                <w:rFonts w:asciiTheme="minorHAnsi" w:hAnsiTheme="minorHAnsi" w:cstheme="minorHAnsi"/>
                <w:color w:val="000000"/>
                <w:lang w:val="es-PE" w:eastAsia="en-US"/>
              </w:rPr>
              <w:t>decimales</w:t>
            </w:r>
            <w:r w:rsidR="00870B40" w:rsidRPr="00BB5F42">
              <w:rPr>
                <w:rFonts w:asciiTheme="minorHAnsi" w:hAnsiTheme="minorHAnsi" w:cstheme="minorHAnsi"/>
                <w:color w:val="000000"/>
                <w:lang w:val="es-PE" w:eastAsia="en-US"/>
              </w:rPr>
              <w:t xml:space="preserve"> disponibles</w:t>
            </w:r>
            <w:r w:rsidRPr="00285D58">
              <w:rPr>
                <w:rFonts w:asciiTheme="minorHAnsi" w:hAnsiTheme="minorHAnsi" w:cstheme="minorHAnsi"/>
                <w:color w:val="000000"/>
                <w:sz w:val="22"/>
                <w:szCs w:val="22"/>
                <w:lang w:val="es-PE" w:eastAsia="en-US"/>
              </w:rPr>
              <w:t>, según corresponda.</w:t>
            </w:r>
          </w:p>
        </w:tc>
      </w:tr>
      <w:tr w:rsidR="004A2CCE" w:rsidRPr="00285D58" w14:paraId="0CAA5B51" w14:textId="77777777" w:rsidTr="00242093">
        <w:tc>
          <w:tcPr>
            <w:tcW w:w="1551" w:type="dxa"/>
          </w:tcPr>
          <w:p w14:paraId="52AE848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lastRenderedPageBreak/>
              <w:t>IPC</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vAlign w:val="center"/>
          </w:tcPr>
          <w:p w14:paraId="0C1E9798" w14:textId="50C01D49"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s-PE" w:eastAsia="en-US"/>
              </w:rPr>
              <w:t xml:space="preserve">Índice de Precios al Consumidor (IPC) de Lima Metropolitana publicado por el Instituto Nacional de Estadística e Informática (INEI), o el indicador que lo reemplace. Se tomará en cuenta el IPC del mes de </w:t>
            </w:r>
            <w:r w:rsidR="00A33B2D" w:rsidRPr="00285D58">
              <w:rPr>
                <w:rFonts w:asciiTheme="minorHAnsi" w:hAnsiTheme="minorHAnsi" w:cstheme="minorHAnsi"/>
                <w:color w:val="000000"/>
                <w:sz w:val="22"/>
                <w:szCs w:val="22"/>
                <w:lang w:val="es-PE" w:eastAsia="en-US"/>
              </w:rPr>
              <w:t xml:space="preserve">la </w:t>
            </w:r>
            <w:r w:rsidR="00A33B2D" w:rsidRPr="00285D58">
              <w:rPr>
                <w:rFonts w:asciiTheme="minorHAnsi" w:hAnsiTheme="minorHAnsi" w:cstheme="minorHAnsi"/>
                <w:sz w:val="22"/>
                <w:szCs w:val="22"/>
                <w:lang w:val="es-PE"/>
              </w:rPr>
              <w:t>Buena</w:t>
            </w:r>
            <w:r w:rsidRPr="00285D58">
              <w:rPr>
                <w:rFonts w:asciiTheme="minorHAnsi" w:hAnsiTheme="minorHAnsi" w:cstheme="minorHAnsi"/>
                <w:sz w:val="22"/>
                <w:szCs w:val="22"/>
                <w:lang w:val="es-PE"/>
              </w:rPr>
              <w:t xml:space="preserve"> Pro</w:t>
            </w:r>
            <w:r w:rsidR="0009377E" w:rsidRPr="00285D58">
              <w:rPr>
                <w:rFonts w:asciiTheme="minorHAnsi" w:hAnsiTheme="minorHAnsi" w:cstheme="minorHAnsi"/>
                <w:sz w:val="22"/>
                <w:szCs w:val="22"/>
                <w:lang w:val="es-PE"/>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w:t>
            </w:r>
          </w:p>
        </w:tc>
      </w:tr>
      <w:tr w:rsidR="004A2CCE" w:rsidRPr="00285D58" w14:paraId="19857749" w14:textId="77777777" w:rsidTr="00242093">
        <w:tc>
          <w:tcPr>
            <w:tcW w:w="1551" w:type="dxa"/>
          </w:tcPr>
          <w:p w14:paraId="7E7DF5A2"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804" w:type="dxa"/>
          </w:tcPr>
          <w:p w14:paraId="4145456E"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3AA45237" w14:textId="77777777" w:rsidTr="00242093">
        <w:tc>
          <w:tcPr>
            <w:tcW w:w="1551" w:type="dxa"/>
          </w:tcPr>
          <w:p w14:paraId="303DFBB2"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804" w:type="dxa"/>
          </w:tcPr>
          <w:p w14:paraId="54ED9CC7"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4CF2CC3D" w14:textId="77777777" w:rsidR="004A2CCE" w:rsidRPr="00285D58" w:rsidRDefault="004A2CCE" w:rsidP="008D1FFF">
      <w:pPr>
        <w:widowControl/>
        <w:spacing w:after="160" w:line="276" w:lineRule="auto"/>
        <w:ind w:left="360"/>
        <w:contextualSpacing/>
        <w:jc w:val="both"/>
        <w:rPr>
          <w:rFonts w:asciiTheme="minorHAnsi" w:hAnsiTheme="minorHAnsi" w:cstheme="minorHAnsi"/>
          <w:sz w:val="21"/>
          <w:szCs w:val="21"/>
        </w:rPr>
      </w:pPr>
    </w:p>
    <w:p w14:paraId="19922C36" w14:textId="77777777" w:rsidR="004A2CCE" w:rsidRPr="00285D58" w:rsidRDefault="004A2CCE" w:rsidP="008D1FFF">
      <w:pPr>
        <w:widowControl/>
        <w:spacing w:after="160" w:line="276" w:lineRule="auto"/>
        <w:ind w:left="360"/>
        <w:contextualSpacing/>
        <w:jc w:val="both"/>
        <w:rPr>
          <w:rFonts w:asciiTheme="minorHAnsi" w:hAnsiTheme="minorHAnsi" w:cstheme="minorHAnsi"/>
          <w:sz w:val="21"/>
          <w:szCs w:val="21"/>
        </w:rPr>
      </w:pPr>
    </w:p>
    <w:p w14:paraId="17B6C440" w14:textId="77777777" w:rsidR="004A2CCE" w:rsidRPr="00285D58" w:rsidRDefault="00000000" w:rsidP="008D1FFF">
      <w:pPr>
        <w:widowControl/>
        <w:spacing w:after="160" w:line="276" w:lineRule="auto"/>
        <w:ind w:left="576"/>
        <w:jc w:val="both"/>
        <w:rPr>
          <w:rFonts w:asciiTheme="minorHAnsi" w:eastAsia="Times New Roman" w:hAnsiTheme="minorHAnsi" w:cstheme="minorHAnsi"/>
          <w:lang w:val="es-PE" w:eastAsia="en-US"/>
        </w:rPr>
      </w:pPr>
      <m:oMathPara>
        <m:oMath>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$,i</m:t>
              </m:r>
            </m:sub>
          </m:sSub>
          <m:r>
            <w:rPr>
              <w:rFonts w:ascii="Cambria Math" w:eastAsia="Aptos" w:hAnsi="Cambria Math" w:cstheme="minorHAnsi"/>
              <w:lang w:val="es-PE" w:eastAsia="en-US"/>
            </w:rPr>
            <m:t>=</m:t>
          </m:r>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Tarifa</m:t>
              </m:r>
            </m:e>
            <m:sub>
              <m:r>
                <w:rPr>
                  <w:rFonts w:ascii="Cambria Math" w:eastAsia="Aptos" w:hAnsi="Cambria Math" w:cstheme="minorHAnsi"/>
                  <w:lang w:val="es-PE" w:eastAsia="en-US"/>
                </w:rPr>
                <m:t>$,0</m:t>
              </m:r>
            </m:sub>
          </m:sSub>
          <m:r>
            <w:rPr>
              <w:rFonts w:ascii="Cambria Math" w:eastAsia="Aptos" w:hAnsi="Cambria Math" w:cstheme="minorHAnsi"/>
              <w:lang w:val="es-PE" w:eastAsia="en-US"/>
            </w:rPr>
            <m:t>×</m:t>
          </m:r>
          <m:f>
            <m:fPr>
              <m:ctrlPr>
                <w:rPr>
                  <w:rFonts w:ascii="Cambria Math" w:eastAsia="Aptos" w:hAnsi="Cambria Math" w:cstheme="minorHAnsi"/>
                  <w:i/>
                  <w:lang w:val="es-PE" w:eastAsia="en-US"/>
                </w:rPr>
              </m:ctrlPr>
            </m:fPr>
            <m:num>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CPI</m:t>
                  </m:r>
                </m:e>
                <m:sub>
                  <m:r>
                    <w:rPr>
                      <w:rFonts w:ascii="Cambria Math" w:eastAsia="Aptos" w:hAnsi="Cambria Math" w:cstheme="minorHAnsi"/>
                      <w:lang w:val="es-PE" w:eastAsia="en-US"/>
                    </w:rPr>
                    <m:t>i-1</m:t>
                  </m:r>
                </m:sub>
              </m:sSub>
            </m:num>
            <m:den>
              <m:sSub>
                <m:sSubPr>
                  <m:ctrlPr>
                    <w:rPr>
                      <w:rFonts w:ascii="Cambria Math" w:eastAsia="Aptos" w:hAnsi="Cambria Math" w:cstheme="minorHAnsi"/>
                      <w:i/>
                      <w:lang w:val="es-PE" w:eastAsia="en-US"/>
                    </w:rPr>
                  </m:ctrlPr>
                </m:sSubPr>
                <m:e>
                  <m:r>
                    <w:rPr>
                      <w:rFonts w:ascii="Cambria Math" w:eastAsia="Aptos" w:hAnsi="Cambria Math" w:cstheme="minorHAnsi"/>
                      <w:lang w:val="es-PE" w:eastAsia="en-US"/>
                    </w:rPr>
                    <m:t>CPI</m:t>
                  </m:r>
                </m:e>
                <m:sub>
                  <m:r>
                    <w:rPr>
                      <w:rFonts w:ascii="Cambria Math" w:eastAsia="Aptos" w:hAnsi="Cambria Math" w:cstheme="minorHAnsi"/>
                      <w:lang w:val="es-PE" w:eastAsia="en-US"/>
                    </w:rPr>
                    <m:t>0</m:t>
                  </m:r>
                </m:sub>
              </m:sSub>
            </m:den>
          </m:f>
        </m:oMath>
      </m:oMathPara>
    </w:p>
    <w:p w14:paraId="59937A4E" w14:textId="77777777" w:rsidR="004A2CCE" w:rsidRPr="00285D58" w:rsidRDefault="004A2CCE" w:rsidP="008D1FFF">
      <w:pPr>
        <w:widowControl/>
        <w:spacing w:after="160" w:line="276" w:lineRule="auto"/>
        <w:ind w:left="576"/>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Donde:</w:t>
      </w:r>
    </w:p>
    <w:tbl>
      <w:tblPr>
        <w:tblStyle w:val="Tablaconcuadrcula171"/>
        <w:tblW w:w="8355" w:type="dxa"/>
        <w:tblInd w:w="57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1"/>
        <w:gridCol w:w="6804"/>
      </w:tblGrid>
      <w:tr w:rsidR="004A2CCE" w:rsidRPr="00285D58" w14:paraId="39C78945" w14:textId="77777777" w:rsidTr="00242093">
        <w:tc>
          <w:tcPr>
            <w:tcW w:w="1551" w:type="dxa"/>
          </w:tcPr>
          <w:p w14:paraId="09C7DEE0"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$,i</w:t>
            </w:r>
            <w:r w:rsidRPr="00285D58">
              <w:rPr>
                <w:rFonts w:asciiTheme="minorHAnsi" w:hAnsiTheme="minorHAnsi" w:cstheme="minorHAnsi"/>
                <w:i/>
                <w:iCs/>
                <w:sz w:val="22"/>
                <w:szCs w:val="22"/>
                <w:lang w:val="es-PE" w:eastAsia="en-US"/>
              </w:rPr>
              <w:t>:</w:t>
            </w:r>
          </w:p>
        </w:tc>
        <w:tc>
          <w:tcPr>
            <w:tcW w:w="6804" w:type="dxa"/>
          </w:tcPr>
          <w:p w14:paraId="53BDF75D" w14:textId="7911A6E4"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hAnsiTheme="minorHAnsi" w:cstheme="minorHAnsi"/>
                <w:sz w:val="22"/>
                <w:szCs w:val="22"/>
                <w:lang w:val="es-PE" w:eastAsia="en-US"/>
              </w:rPr>
              <w:t>Tarifa en Dólares ajustada por inflación a ser cobrada por los Servicios Obligatorios durante el Año Calendario i+1 del Contrato.</w:t>
            </w:r>
            <w:r w:rsidR="00870B40" w:rsidRPr="00285D58">
              <w:rPr>
                <w:rFonts w:asciiTheme="minorHAnsi" w:hAnsiTheme="minorHAnsi" w:cstheme="minorHAnsi"/>
                <w:sz w:val="22"/>
                <w:szCs w:val="22"/>
                <w:lang w:val="es-PE" w:eastAsia="en-US"/>
              </w:rPr>
              <w:t xml:space="preserve"> . La tarifa se ajustará a dos (02) decimales.</w:t>
            </w:r>
          </w:p>
        </w:tc>
      </w:tr>
      <w:tr w:rsidR="004A2CCE" w:rsidRPr="00285D58" w14:paraId="730B3F4B" w14:textId="77777777" w:rsidTr="00242093">
        <w:tc>
          <w:tcPr>
            <w:tcW w:w="1551" w:type="dxa"/>
          </w:tcPr>
          <w:p w14:paraId="36E9F7C8"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Tarifa</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tcPr>
          <w:p w14:paraId="48D373B8" w14:textId="21E45BC3"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r w:rsidRPr="00285D58">
              <w:rPr>
                <w:rFonts w:asciiTheme="minorHAnsi" w:eastAsia="Calibri" w:hAnsiTheme="minorHAnsi" w:cstheme="minorHAnsi"/>
                <w:sz w:val="22"/>
                <w:szCs w:val="22"/>
                <w:lang w:val="es-PE" w:eastAsia="en-US"/>
              </w:rPr>
              <w:t>Tarifa inicial base en Dólares de acuerdo al numeral 4</w:t>
            </w:r>
            <w:r w:rsidR="00A33B2D" w:rsidRPr="00285D58">
              <w:rPr>
                <w:rFonts w:asciiTheme="minorHAnsi" w:eastAsia="Calibri" w:hAnsiTheme="minorHAnsi" w:cstheme="minorHAnsi"/>
                <w:sz w:val="22"/>
                <w:szCs w:val="22"/>
                <w:lang w:val="es-PE" w:eastAsia="en-US"/>
              </w:rPr>
              <w:t>5</w:t>
            </w:r>
            <w:r w:rsidRPr="00285D58">
              <w:rPr>
                <w:rFonts w:asciiTheme="minorHAnsi" w:eastAsia="Calibri" w:hAnsiTheme="minorHAnsi" w:cstheme="minorHAnsi"/>
                <w:sz w:val="22"/>
                <w:szCs w:val="22"/>
                <w:lang w:val="es-PE" w:eastAsia="en-US"/>
              </w:rPr>
              <w:t xml:space="preserve"> del presente Apéndice. </w:t>
            </w:r>
          </w:p>
        </w:tc>
      </w:tr>
      <w:tr w:rsidR="004A2CCE" w:rsidRPr="00285D58" w14:paraId="223A6552" w14:textId="77777777" w:rsidTr="00242093">
        <w:tc>
          <w:tcPr>
            <w:tcW w:w="1551" w:type="dxa"/>
          </w:tcPr>
          <w:p w14:paraId="11881E34"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CPI</w:t>
            </w:r>
            <w:r w:rsidRPr="00285D58">
              <w:rPr>
                <w:rFonts w:asciiTheme="minorHAnsi" w:hAnsiTheme="minorHAnsi" w:cstheme="minorHAnsi"/>
                <w:i/>
                <w:iCs/>
                <w:sz w:val="22"/>
                <w:szCs w:val="22"/>
                <w:vertAlign w:val="subscript"/>
                <w:lang w:val="es-PE" w:eastAsia="en-US"/>
              </w:rPr>
              <w:t>i-1</w:t>
            </w:r>
            <w:r w:rsidRPr="00285D58">
              <w:rPr>
                <w:rFonts w:asciiTheme="minorHAnsi" w:hAnsiTheme="minorHAnsi" w:cstheme="minorHAnsi"/>
                <w:i/>
                <w:iCs/>
                <w:sz w:val="22"/>
                <w:szCs w:val="22"/>
                <w:lang w:val="es-PE" w:eastAsia="en-US"/>
              </w:rPr>
              <w:t>:</w:t>
            </w:r>
          </w:p>
        </w:tc>
        <w:tc>
          <w:tcPr>
            <w:tcW w:w="6804" w:type="dxa"/>
          </w:tcPr>
          <w:p w14:paraId="2DFB7168" w14:textId="62D3A9CA"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color w:val="000000"/>
                <w:sz w:val="22"/>
                <w:szCs w:val="22"/>
                <w:lang w:val="en-GB" w:eastAsia="en-US"/>
              </w:rPr>
              <w:t xml:space="preserve">Consumer Price Index for All Items in U.S city average, all urban consumers, not seasonally adjusted publicado por el U.S Bureau of Labor Statistics, o el indicador que lo reemplace. </w:t>
            </w:r>
            <w:r w:rsidRPr="00285D58">
              <w:rPr>
                <w:rFonts w:asciiTheme="minorHAnsi" w:hAnsiTheme="minorHAnsi" w:cstheme="minorHAnsi"/>
                <w:color w:val="000000"/>
                <w:sz w:val="22"/>
                <w:szCs w:val="22"/>
                <w:lang w:val="es-PE" w:eastAsia="en-US"/>
              </w:rPr>
              <w:t>Se tomará en cuenta el último CPI disponible a la fecha de ajuste</w:t>
            </w:r>
            <w:r w:rsidR="0009377E" w:rsidRPr="00285D58">
              <w:rPr>
                <w:rFonts w:asciiTheme="minorHAnsi" w:hAnsiTheme="minorHAnsi" w:cstheme="minorHAnsi"/>
                <w:color w:val="000000"/>
                <w:sz w:val="22"/>
                <w:szCs w:val="22"/>
                <w:lang w:val="es-PE" w:eastAsia="en-US"/>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 según corresponda.</w:t>
            </w:r>
          </w:p>
        </w:tc>
      </w:tr>
      <w:tr w:rsidR="004A2CCE" w:rsidRPr="00285D58" w14:paraId="5C0573A5" w14:textId="77777777" w:rsidTr="00242093">
        <w:tc>
          <w:tcPr>
            <w:tcW w:w="1551" w:type="dxa"/>
          </w:tcPr>
          <w:p w14:paraId="354DB9A8" w14:textId="77777777" w:rsidR="004A2CCE" w:rsidRPr="00285D58"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CPI</w:t>
            </w:r>
            <w:r w:rsidRPr="00285D58">
              <w:rPr>
                <w:rFonts w:asciiTheme="minorHAnsi" w:hAnsiTheme="minorHAnsi" w:cstheme="minorHAnsi"/>
                <w:i/>
                <w:iCs/>
                <w:sz w:val="22"/>
                <w:szCs w:val="22"/>
                <w:vertAlign w:val="subscript"/>
                <w:lang w:val="es-PE" w:eastAsia="en-US"/>
              </w:rPr>
              <w:t>0</w:t>
            </w:r>
            <w:r w:rsidRPr="00285D58">
              <w:rPr>
                <w:rFonts w:asciiTheme="minorHAnsi" w:hAnsiTheme="minorHAnsi" w:cstheme="minorHAnsi"/>
                <w:i/>
                <w:iCs/>
                <w:sz w:val="22"/>
                <w:szCs w:val="22"/>
                <w:lang w:val="es-PE" w:eastAsia="en-US"/>
              </w:rPr>
              <w:t>:</w:t>
            </w:r>
          </w:p>
        </w:tc>
        <w:tc>
          <w:tcPr>
            <w:tcW w:w="6804" w:type="dxa"/>
            <w:vAlign w:val="center"/>
          </w:tcPr>
          <w:p w14:paraId="01D824B9" w14:textId="2D0CE625" w:rsidR="004A2CCE" w:rsidRPr="00285D58" w:rsidRDefault="004A2CCE" w:rsidP="008D1FFF">
            <w:pPr>
              <w:widowControl/>
              <w:spacing w:after="160" w:line="276" w:lineRule="auto"/>
              <w:jc w:val="both"/>
              <w:rPr>
                <w:rFonts w:asciiTheme="minorHAnsi" w:eastAsia="Calibri" w:hAnsiTheme="minorHAnsi" w:cstheme="minorHAnsi"/>
                <w:sz w:val="22"/>
                <w:szCs w:val="22"/>
                <w:lang w:val="es-PE" w:eastAsia="en-US"/>
              </w:rPr>
            </w:pPr>
            <w:r w:rsidRPr="00285D58">
              <w:rPr>
                <w:rFonts w:asciiTheme="minorHAnsi" w:hAnsiTheme="minorHAnsi" w:cstheme="minorHAnsi"/>
                <w:color w:val="000000"/>
                <w:sz w:val="22"/>
                <w:szCs w:val="22"/>
                <w:lang w:val="en-GB" w:eastAsia="en-US"/>
              </w:rPr>
              <w:t xml:space="preserve">Consumer Price Index for All Items in U.S city average, all urban consumers, not seasonally adjusted publicado por el U.S Bureau of Labor Statistics, o el indicador que lo reemplace. </w:t>
            </w:r>
            <w:r w:rsidRPr="00285D58">
              <w:rPr>
                <w:rFonts w:asciiTheme="minorHAnsi" w:hAnsiTheme="minorHAnsi" w:cstheme="minorHAnsi"/>
                <w:color w:val="000000"/>
                <w:sz w:val="22"/>
                <w:szCs w:val="22"/>
                <w:lang w:val="es-PE" w:eastAsia="en-US"/>
              </w:rPr>
              <w:t xml:space="preserve">Se tomará en cuenta el último CPI mensual disponible a la fecha de la </w:t>
            </w:r>
            <w:r w:rsidRPr="00285D58">
              <w:rPr>
                <w:rFonts w:asciiTheme="minorHAnsi" w:hAnsiTheme="minorHAnsi" w:cstheme="minorHAnsi"/>
                <w:sz w:val="22"/>
                <w:szCs w:val="22"/>
                <w:lang w:val="es-PE"/>
              </w:rPr>
              <w:t>Buena Pro</w:t>
            </w:r>
            <w:r w:rsidR="0009377E" w:rsidRPr="00285D58">
              <w:rPr>
                <w:rFonts w:asciiTheme="minorHAnsi" w:hAnsiTheme="minorHAnsi" w:cstheme="minorHAnsi"/>
                <w:sz w:val="22"/>
                <w:szCs w:val="22"/>
                <w:lang w:val="es-PE"/>
              </w:rPr>
              <w:t xml:space="preserve"> </w:t>
            </w:r>
            <w:r w:rsidR="00870B40" w:rsidRPr="00BB5F42">
              <w:rPr>
                <w:rFonts w:asciiTheme="minorHAnsi" w:hAnsiTheme="minorHAnsi" w:cstheme="minorHAnsi"/>
                <w:color w:val="000000"/>
                <w:lang w:val="es-PE" w:eastAsia="en-US"/>
              </w:rPr>
              <w:t>con los decimales disponibles</w:t>
            </w:r>
            <w:r w:rsidRPr="00285D58">
              <w:rPr>
                <w:rFonts w:asciiTheme="minorHAnsi" w:hAnsiTheme="minorHAnsi" w:cstheme="minorHAnsi"/>
                <w:color w:val="000000"/>
                <w:sz w:val="22"/>
                <w:szCs w:val="22"/>
                <w:lang w:val="es-PE" w:eastAsia="en-US"/>
              </w:rPr>
              <w:t>.</w:t>
            </w:r>
          </w:p>
        </w:tc>
      </w:tr>
      <w:tr w:rsidR="004A2CCE" w:rsidRPr="00285D58" w14:paraId="78A26C08" w14:textId="77777777" w:rsidTr="00242093">
        <w:tc>
          <w:tcPr>
            <w:tcW w:w="1551" w:type="dxa"/>
          </w:tcPr>
          <w:p w14:paraId="583261C0" w14:textId="77777777" w:rsidR="004A2CCE" w:rsidRPr="00285D58" w:rsidDel="002159E7"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w:t>
            </w:r>
          </w:p>
        </w:tc>
        <w:tc>
          <w:tcPr>
            <w:tcW w:w="6804" w:type="dxa"/>
          </w:tcPr>
          <w:p w14:paraId="1FDCE74E"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Año calendario para el cual se realiza el ajuste.</w:t>
            </w:r>
          </w:p>
        </w:tc>
      </w:tr>
      <w:tr w:rsidR="004A2CCE" w:rsidRPr="00285D58" w14:paraId="3A9D74BE" w14:textId="77777777" w:rsidTr="00242093">
        <w:tc>
          <w:tcPr>
            <w:tcW w:w="1551" w:type="dxa"/>
          </w:tcPr>
          <w:p w14:paraId="0A1760CD" w14:textId="77777777" w:rsidR="004A2CCE" w:rsidRPr="00285D58" w:rsidDel="002159E7" w:rsidRDefault="004A2CCE" w:rsidP="008D1FFF">
            <w:pPr>
              <w:widowControl/>
              <w:spacing w:after="160" w:line="276" w:lineRule="auto"/>
              <w:jc w:val="both"/>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0:</w:t>
            </w:r>
          </w:p>
        </w:tc>
        <w:tc>
          <w:tcPr>
            <w:tcW w:w="6804" w:type="dxa"/>
          </w:tcPr>
          <w:p w14:paraId="3DE94F8C" w14:textId="77777777" w:rsidR="004A2CCE" w:rsidRPr="00285D58" w:rsidRDefault="004A2CCE" w:rsidP="008D1FFF">
            <w:pPr>
              <w:widowControl/>
              <w:spacing w:after="160" w:line="276" w:lineRule="auto"/>
              <w:jc w:val="both"/>
              <w:rPr>
                <w:rFonts w:asciiTheme="minorHAnsi" w:hAnsiTheme="minorHAnsi" w:cstheme="minorHAnsi"/>
                <w:color w:val="000000"/>
                <w:sz w:val="22"/>
                <w:szCs w:val="22"/>
                <w:lang w:val="es-PE" w:eastAsia="en-US"/>
              </w:rPr>
            </w:pPr>
            <w:r w:rsidRPr="00285D58">
              <w:rPr>
                <w:rFonts w:asciiTheme="minorHAnsi" w:hAnsiTheme="minorHAnsi" w:cstheme="minorHAnsi"/>
                <w:sz w:val="22"/>
                <w:szCs w:val="22"/>
                <w:lang w:val="es-PE"/>
              </w:rPr>
              <w:t>Corresponde al mes de la Fecha de la presentación de la Buena Pro.</w:t>
            </w:r>
          </w:p>
        </w:tc>
      </w:tr>
    </w:tbl>
    <w:p w14:paraId="6AA99914" w14:textId="77777777" w:rsidR="004A2CCE" w:rsidRPr="00285D58" w:rsidRDefault="004A2CCE" w:rsidP="00A3732C">
      <w:pPr>
        <w:widowControl/>
        <w:numPr>
          <w:ilvl w:val="0"/>
          <w:numId w:val="70"/>
        </w:numPr>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A efectos de ajustar la Tarifa por inflación, antes de los sesenta (60) Días Calendario del inicio de cada Año Calendario, el CONCESIONARIO debe presentar al CONCEDENTE con copia al Supervisor la solicitud de ajuste de la Tarifa. </w:t>
      </w:r>
    </w:p>
    <w:p w14:paraId="076276CD" w14:textId="41E19A8B" w:rsidR="004A2CCE" w:rsidRPr="00285D58" w:rsidRDefault="00E86953"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lastRenderedPageBreak/>
        <w:t>E</w:t>
      </w:r>
      <w:r w:rsidR="004A2CCE" w:rsidRPr="00285D58">
        <w:rPr>
          <w:rFonts w:asciiTheme="minorHAnsi" w:eastAsia="Aptos" w:hAnsiTheme="minorHAnsi" w:cstheme="minorHAnsi"/>
          <w:lang w:val="es-PE" w:eastAsia="en-US"/>
        </w:rPr>
        <w:t xml:space="preserve">l Supervisor determinará el ajuste en Soles y Dólares como máximo </w:t>
      </w:r>
      <w:r w:rsidR="00242093" w:rsidRPr="00285D58">
        <w:rPr>
          <w:rFonts w:asciiTheme="minorHAnsi" w:eastAsia="Aptos" w:hAnsiTheme="minorHAnsi" w:cstheme="minorHAnsi"/>
          <w:lang w:val="es-PE" w:eastAsia="en-US"/>
        </w:rPr>
        <w:t>treinta (</w:t>
      </w:r>
      <w:r w:rsidR="004A2CCE" w:rsidRPr="00285D58">
        <w:rPr>
          <w:rFonts w:asciiTheme="minorHAnsi" w:eastAsia="Aptos" w:hAnsiTheme="minorHAnsi" w:cstheme="minorHAnsi"/>
          <w:lang w:val="es-PE" w:eastAsia="en-US"/>
        </w:rPr>
        <w:t>30</w:t>
      </w:r>
      <w:r w:rsidR="00242093" w:rsidRPr="00285D58">
        <w:rPr>
          <w:rFonts w:asciiTheme="minorHAnsi" w:eastAsia="Aptos" w:hAnsiTheme="minorHAnsi" w:cstheme="minorHAnsi"/>
          <w:lang w:val="es-PE" w:eastAsia="en-US"/>
        </w:rPr>
        <w:t>)</w:t>
      </w:r>
      <w:r w:rsidR="004A2CCE" w:rsidRPr="00285D58">
        <w:rPr>
          <w:rFonts w:asciiTheme="minorHAnsi" w:eastAsia="Aptos" w:hAnsiTheme="minorHAnsi" w:cstheme="minorHAnsi"/>
          <w:lang w:val="es-PE" w:eastAsia="en-US"/>
        </w:rPr>
        <w:t xml:space="preserve"> Días Calendario previos al inicio de cada Año Calendario i, previa opinión del CONCEDENTE. El Supervisor informará al CONCEDENTE y al CONCESIONARIO, el valor de la Tarifa ajustada en Soles y Dólares que estará vigente a partir del primero de enero de cada Año Calendario siguiente, mediante comunicación escrita. </w:t>
      </w:r>
    </w:p>
    <w:p w14:paraId="6774447A" w14:textId="2AF2F884" w:rsidR="004A2CCE" w:rsidRPr="00285D58" w:rsidRDefault="00E86953"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A partir del segundo Año de Operación, e</w:t>
      </w:r>
      <w:r w:rsidR="004A2CCE" w:rsidRPr="00285D58">
        <w:rPr>
          <w:rFonts w:asciiTheme="minorHAnsi" w:eastAsia="Aptos" w:hAnsiTheme="minorHAnsi" w:cstheme="minorHAnsi"/>
          <w:lang w:val="es-PE" w:eastAsia="en-US"/>
        </w:rPr>
        <w:t>l ajuste de la Tarifa en Soles del Año Calendario i no podrá superar una variación del 10% respecto de la Tarifa del Año Calendario anterior i-1. En caso la nueva Tarifa ajustada sea menor a la vigente en el Año Calendario inmediato anterior a la fecha de cálculo, no habrá variación en la Tarifa.</w:t>
      </w:r>
    </w:p>
    <w:p w14:paraId="7273EA63" w14:textId="14A7B536" w:rsidR="004A2CCE" w:rsidRPr="00285D58" w:rsidRDefault="004A2CCE" w:rsidP="008D1FFF">
      <w:pPr>
        <w:widowControl/>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Asimismo, para la aplicación de la tarifa promocional, la diferencia entre los ingresos de los 12 meses anteriores y los ingresos proyectados, resultantes de multiplicar la tarifa diferenciada ajustada por inflación por la demanda de los mismos 12 meses, no debe superar el diez por ciento (10%)</w:t>
      </w:r>
      <w:r w:rsidR="006C38C0" w:rsidRPr="00285D58">
        <w:rPr>
          <w:rFonts w:asciiTheme="minorHAnsi" w:eastAsia="Aptos" w:hAnsiTheme="minorHAnsi" w:cstheme="minorHAnsi"/>
          <w:lang w:val="es-PE" w:eastAsia="en-US"/>
        </w:rPr>
        <w:t>.</w:t>
      </w:r>
    </w:p>
    <w:p w14:paraId="63F3D1A6" w14:textId="06F2A6A2" w:rsidR="004A2CCE" w:rsidRPr="00285D58" w:rsidRDefault="004A2CCE" w:rsidP="008D1FFF">
      <w:pPr>
        <w:spacing w:before="240" w:line="276" w:lineRule="auto"/>
        <w:ind w:left="360"/>
        <w:jc w:val="both"/>
        <w:rPr>
          <w:rFonts w:asciiTheme="minorHAnsi" w:eastAsia="Aptos" w:hAnsiTheme="minorHAnsi" w:cstheme="minorHAnsi"/>
          <w:lang w:val="es-PE" w:eastAsia="en-US"/>
        </w:rPr>
      </w:pPr>
      <w:r w:rsidRPr="00285D58">
        <w:rPr>
          <w:rFonts w:asciiTheme="minorHAnsi" w:eastAsia="Aptos" w:hAnsiTheme="minorHAnsi" w:cstheme="minorHAnsi"/>
          <w:lang w:val="es-PE" w:eastAsia="en-US"/>
        </w:rPr>
        <w:t xml:space="preserve">Excepcionalmente, para el </w:t>
      </w:r>
      <w:bookmarkStart w:id="329" w:name="_Hlk178938079"/>
      <w:r w:rsidRPr="00285D58">
        <w:rPr>
          <w:rFonts w:asciiTheme="minorHAnsi" w:eastAsia="Aptos" w:hAnsiTheme="minorHAnsi" w:cstheme="minorHAnsi"/>
          <w:lang w:val="es-PE" w:eastAsia="en-US"/>
        </w:rPr>
        <w:t>Año Calendario en que se inicia el Periodo Operativo</w:t>
      </w:r>
      <w:bookmarkEnd w:id="329"/>
      <w:r w:rsidRPr="00285D58">
        <w:rPr>
          <w:rFonts w:asciiTheme="minorHAnsi" w:eastAsia="Aptos" w:hAnsiTheme="minorHAnsi" w:cstheme="minorHAnsi"/>
          <w:lang w:val="es-PE" w:eastAsia="en-US"/>
        </w:rPr>
        <w:t>, el Supervisor determinará y comunicará al CONCEDENTE y al CONCESIONARIO el valor de la Tarifa en Soles y Dólares vigente durante ese Año Calendario, como máximo</w:t>
      </w:r>
      <w:r w:rsidR="00E86953" w:rsidRPr="00285D58">
        <w:rPr>
          <w:rFonts w:asciiTheme="minorHAnsi" w:eastAsia="Aptos" w:hAnsiTheme="minorHAnsi" w:cstheme="minorHAnsi"/>
          <w:lang w:val="es-PE" w:eastAsia="en-US"/>
        </w:rPr>
        <w:t xml:space="preserve"> veinte</w:t>
      </w:r>
      <w:r w:rsidRPr="00285D58">
        <w:rPr>
          <w:rFonts w:asciiTheme="minorHAnsi" w:eastAsia="Aptos" w:hAnsiTheme="minorHAnsi" w:cstheme="minorHAnsi"/>
          <w:lang w:val="es-PE" w:eastAsia="en-US"/>
        </w:rPr>
        <w:t xml:space="preserve"> </w:t>
      </w:r>
      <w:r w:rsidR="00E86953" w:rsidRPr="00285D58">
        <w:rPr>
          <w:rFonts w:asciiTheme="minorHAnsi" w:eastAsia="Aptos" w:hAnsiTheme="minorHAnsi" w:cstheme="minorHAnsi"/>
          <w:lang w:val="es-PE" w:eastAsia="en-US"/>
        </w:rPr>
        <w:t>(</w:t>
      </w:r>
      <w:r w:rsidRPr="00285D58">
        <w:rPr>
          <w:rFonts w:asciiTheme="minorHAnsi" w:eastAsia="Aptos" w:hAnsiTheme="minorHAnsi" w:cstheme="minorHAnsi"/>
          <w:lang w:val="es-PE" w:eastAsia="en-US"/>
        </w:rPr>
        <w:t>20</w:t>
      </w:r>
      <w:r w:rsidR="00E86953" w:rsidRPr="00285D58">
        <w:rPr>
          <w:rFonts w:asciiTheme="minorHAnsi" w:eastAsia="Aptos" w:hAnsiTheme="minorHAnsi" w:cstheme="minorHAnsi"/>
          <w:lang w:val="es-PE" w:eastAsia="en-US"/>
        </w:rPr>
        <w:t>)</w:t>
      </w:r>
      <w:r w:rsidRPr="00285D58">
        <w:rPr>
          <w:rFonts w:asciiTheme="minorHAnsi" w:eastAsia="Aptos" w:hAnsiTheme="minorHAnsi" w:cstheme="minorHAnsi"/>
          <w:lang w:val="es-PE" w:eastAsia="en-US"/>
        </w:rPr>
        <w:t xml:space="preserve"> Días Calendario previos al inicio del Periodo Operativo del Componente j respectivo. Previamente, el CONCESIONARIO debe informar respecto a la fecha prevista para el inicio del Periodo Operativo de cada Componente j.</w:t>
      </w:r>
    </w:p>
    <w:p w14:paraId="1BBEA68C" w14:textId="77777777" w:rsidR="004A2CCE" w:rsidRPr="00285D58" w:rsidRDefault="004A2CCE" w:rsidP="008D1FFF">
      <w:pPr>
        <w:widowControl/>
        <w:spacing w:after="160" w:line="276" w:lineRule="auto"/>
        <w:ind w:left="357"/>
        <w:jc w:val="both"/>
        <w:rPr>
          <w:rFonts w:asciiTheme="minorHAnsi" w:eastAsia="Aptos" w:hAnsiTheme="minorHAnsi" w:cstheme="minorHAnsi"/>
          <w:lang w:val="es-PE" w:eastAsia="en-US"/>
        </w:rPr>
      </w:pPr>
    </w:p>
    <w:bookmarkEnd w:id="328"/>
    <w:p w14:paraId="7C080925"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5B53CACC"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eastAsia="en-US"/>
        </w:rPr>
      </w:pPr>
    </w:p>
    <w:p w14:paraId="3897E5C7" w14:textId="77777777" w:rsidR="004A2CCE" w:rsidRPr="00285D58" w:rsidRDefault="004A2CCE" w:rsidP="008D1FFF">
      <w:pPr>
        <w:widowControl/>
        <w:spacing w:after="160" w:line="276" w:lineRule="auto"/>
        <w:ind w:left="360"/>
        <w:contextualSpacing/>
        <w:jc w:val="both"/>
        <w:rPr>
          <w:rFonts w:asciiTheme="minorHAnsi" w:eastAsia="Aptos" w:hAnsiTheme="minorHAnsi" w:cstheme="minorHAnsi"/>
          <w:lang w:val="es-PE" w:eastAsia="en-US"/>
        </w:rPr>
      </w:pPr>
    </w:p>
    <w:p w14:paraId="3656CBD3" w14:textId="77777777" w:rsidR="004A2CCE" w:rsidRPr="00285D58" w:rsidRDefault="004A2CCE" w:rsidP="008D1FFF">
      <w:pPr>
        <w:spacing w:line="276" w:lineRule="auto"/>
        <w:jc w:val="both"/>
        <w:rPr>
          <w:rFonts w:asciiTheme="minorHAnsi" w:eastAsia="Calibri" w:hAnsiTheme="minorHAnsi" w:cstheme="minorHAnsi"/>
        </w:rPr>
      </w:pPr>
      <w:bookmarkStart w:id="330" w:name="_heading=h.1opuj5n" w:colFirst="0" w:colLast="0"/>
      <w:bookmarkEnd w:id="330"/>
      <w:r w:rsidRPr="00285D58">
        <w:rPr>
          <w:rFonts w:asciiTheme="minorHAnsi" w:hAnsiTheme="minorHAnsi" w:cstheme="minorHAnsi"/>
        </w:rPr>
        <w:br w:type="page"/>
      </w:r>
    </w:p>
    <w:p w14:paraId="3AD630E6" w14:textId="1B2CE0F1"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1" w:name="_Toc193979296"/>
      <w:r w:rsidRPr="00285D58">
        <w:rPr>
          <w:rFonts w:asciiTheme="minorHAnsi" w:eastAsia="Calibri" w:hAnsiTheme="minorHAnsi" w:cstheme="minorHAnsi"/>
          <w:b/>
          <w:color w:val="1F4E79"/>
          <w:sz w:val="22"/>
          <w:szCs w:val="22"/>
        </w:rPr>
        <w:lastRenderedPageBreak/>
        <w:t xml:space="preserve">ANEXO 11- APÉNDICE 2 - </w:t>
      </w:r>
      <w:sdt>
        <w:sdtPr>
          <w:rPr>
            <w:rFonts w:asciiTheme="minorHAnsi" w:hAnsiTheme="minorHAnsi" w:cstheme="minorHAnsi"/>
            <w:sz w:val="22"/>
            <w:szCs w:val="22"/>
          </w:rPr>
          <w:tag w:val="goog_rdk_392"/>
          <w:id w:val="499932175"/>
        </w:sdtPr>
        <w:sdtContent/>
      </w:sdt>
      <w:sdt>
        <w:sdtPr>
          <w:rPr>
            <w:rFonts w:asciiTheme="minorHAnsi" w:hAnsiTheme="minorHAnsi" w:cstheme="minorHAnsi"/>
            <w:sz w:val="22"/>
            <w:szCs w:val="22"/>
          </w:rPr>
          <w:tag w:val="goog_rdk_393"/>
          <w:id w:val="219015350"/>
        </w:sdtPr>
        <w:sdtContent/>
      </w:sdt>
      <w:sdt>
        <w:sdtPr>
          <w:rPr>
            <w:rFonts w:asciiTheme="minorHAnsi" w:hAnsiTheme="minorHAnsi" w:cstheme="minorHAnsi"/>
            <w:sz w:val="22"/>
            <w:szCs w:val="22"/>
          </w:rPr>
          <w:tag w:val="goog_rdk_394"/>
          <w:id w:val="-49236885"/>
        </w:sdtPr>
        <w:sdtContent/>
      </w:sdt>
      <w:r w:rsidRPr="00285D58">
        <w:rPr>
          <w:rFonts w:asciiTheme="minorHAnsi" w:eastAsia="Calibri" w:hAnsiTheme="minorHAnsi" w:cstheme="minorHAnsi"/>
          <w:b/>
          <w:color w:val="1F4E79"/>
          <w:sz w:val="22"/>
          <w:szCs w:val="22"/>
        </w:rPr>
        <w:t>LINEAMIENTOS APLICABLES AL CONTRATO DE FIDEICOMISO DE ADMINISTRACIÓN</w:t>
      </w:r>
      <w:bookmarkEnd w:id="331"/>
    </w:p>
    <w:p w14:paraId="461EB9D3"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se celebrará de acuerdo con las Leyes y Disposiciones</w:t>
      </w:r>
    </w:p>
    <w:p w14:paraId="23CBBE6D"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Aplicables, en los siguientes términos y condiciones básicas: Finalidad del Fideicomiso de Administración</w:t>
      </w:r>
    </w:p>
    <w:p w14:paraId="5A552F37" w14:textId="7B6AC284"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Fideicomiso de Administración se constituye con el objetivo de garantizar el adecuado y oportuno cumplimiento de las obligaciones derivadas del presente Contrato. La principal fuente de recursos que alimentará el Fideicomiso de Administración corresponderá al </w:t>
      </w:r>
      <w:r w:rsidR="00D55B7A" w:rsidRPr="00285D58">
        <w:rPr>
          <w:rFonts w:asciiTheme="minorHAnsi" w:eastAsia="Calibri" w:hAnsiTheme="minorHAnsi" w:cstheme="minorHAnsi"/>
        </w:rPr>
        <w:t>Cofinanciamiento pagado</w:t>
      </w:r>
      <w:r w:rsidRPr="00285D58">
        <w:rPr>
          <w:rFonts w:asciiTheme="minorHAnsi" w:eastAsia="Calibri" w:hAnsiTheme="minorHAnsi" w:cstheme="minorHAnsi"/>
        </w:rPr>
        <w:t xml:space="preserve"> por el</w:t>
      </w:r>
      <w:r w:rsidRPr="00285D58">
        <w:rPr>
          <w:rFonts w:asciiTheme="minorHAnsi" w:hAnsiTheme="minorHAnsi" w:cstheme="minorHAnsi"/>
        </w:rPr>
        <w:t xml:space="preserve"> </w:t>
      </w:r>
      <w:r w:rsidRPr="00285D58">
        <w:rPr>
          <w:rFonts w:asciiTheme="minorHAnsi" w:eastAsia="Calibri" w:hAnsiTheme="minorHAnsi" w:cstheme="minorHAnsi"/>
        </w:rPr>
        <w:t>CONCEDENTE a favor del CONCESIONARIO.</w:t>
      </w:r>
    </w:p>
    <w:p w14:paraId="5157E02E" w14:textId="378959B5" w:rsidR="006C38C0" w:rsidRPr="00285D58" w:rsidRDefault="006C38C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se obliga a registrar en sus partidas presupuestarias, anualmente, el importe correspondiente al Cofinanciamiento que permita cumplir con las obligaciones de pago del PPD. En caso se presente un retraso en los pagos, se procede de acuerdo con lo indicado en el numeral 34 del Apéndice 1 del presente Anexo.</w:t>
      </w:r>
    </w:p>
    <w:p w14:paraId="6528C5F5"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Fideicomitentes</w:t>
      </w:r>
    </w:p>
    <w:p w14:paraId="683F2B9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Serán fideicomitentes el CONCEDENTE, en virtud, principalmente, de los derechos de cobro de las penalidades, y el CONCESIONARIO, en virtud de los importes a ser pagados por el CONCEDENTE a su favor como consecuencia de la Concesión, lo que incluirá los importes depositados por el CONCEDENTE correspondientes al Cofinanciamiento, entre otros. En ningún caso se podrá modificar el contrato de Fideicomiso de Administración, sin la aprobación de los fideicomitentes.</w:t>
      </w:r>
    </w:p>
    <w:p w14:paraId="5A77DC54" w14:textId="4EB3B0B1"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tiene la facultad de emitir instrucciones al Fiduciario, a fin de que este administre los recursos del Fideicomiso de Administración, de acuerdo con las previsiones de pago que integren las diferentes cuentas del Fideicomiso de Administración. Así mismo el Fiduciario deberá considerar las instrucciones de pago previstas en el Anexo 1</w:t>
      </w:r>
      <w:r w:rsidR="006C38C0" w:rsidRPr="00285D58">
        <w:rPr>
          <w:rFonts w:asciiTheme="minorHAnsi" w:eastAsia="Calibri" w:hAnsiTheme="minorHAnsi" w:cstheme="minorHAnsi"/>
        </w:rPr>
        <w:t>1</w:t>
      </w:r>
      <w:r w:rsidRPr="00285D58">
        <w:rPr>
          <w:rFonts w:asciiTheme="minorHAnsi" w:eastAsia="Calibri" w:hAnsiTheme="minorHAnsi" w:cstheme="minorHAnsi"/>
        </w:rPr>
        <w:t xml:space="preserve"> del Contrato de Concesión.</w:t>
      </w:r>
    </w:p>
    <w:p w14:paraId="434C5D4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Fiduciario</w:t>
      </w:r>
    </w:p>
    <w:p w14:paraId="63A25F2D"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 la entidad designada por el CONCESIONARIO, previa aprobación del CONCEDENTE.</w:t>
      </w:r>
    </w:p>
    <w:p w14:paraId="672A360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Fideicomisarios</w:t>
      </w:r>
    </w:p>
    <w:p w14:paraId="5966E3CF"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Serán el CONCESIONARIO o el CONCEDENTE, según corresponda.</w:t>
      </w:r>
    </w:p>
    <w:p w14:paraId="5B3E6A6B"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Patrimonio Fideicometido</w:t>
      </w:r>
    </w:p>
    <w:p w14:paraId="7EC88A3A" w14:textId="77777777" w:rsidR="006C38C0" w:rsidRPr="00285D58" w:rsidRDefault="006C38C0"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Estará constituido por el importe correspondiente a los pagos que deba realizar el CONCEDENTE a favor del CONCESIONARIO en virtud del Contrato de Concesión, lo que incluirá los desembolsos por el Cofinanciamiento, así como los importes que provengan del cobro de las penalidades, pagos a los supervisores o los intereses que generen cada una de las cuentas, entre otros. También son parte del patrimonio fideicometido los Ingresos por Tarifa producto de la prestación de Servicios Obligatorios.  </w:t>
      </w:r>
    </w:p>
    <w:p w14:paraId="0D91FEFD" w14:textId="4A5A219E"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 xml:space="preserve">El Fiduciario solicitará la apertura de cuentas bancarias diferentes para recibir y mantener los aportes dinerarios que se realicen al Fideicomiso de Administración, de manera que en todo momento sea posible distinguir el origen de los recursos transferidos por cada uno de los </w:t>
      </w:r>
      <w:sdt>
        <w:sdtPr>
          <w:rPr>
            <w:rFonts w:asciiTheme="minorHAnsi" w:hAnsiTheme="minorHAnsi" w:cstheme="minorHAnsi"/>
          </w:rPr>
          <w:tag w:val="goog_rdk_398"/>
          <w:id w:val="1039393118"/>
        </w:sdtPr>
        <w:sdtContent>
          <w:r w:rsidRPr="00285D58">
            <w:rPr>
              <w:rFonts w:asciiTheme="minorHAnsi" w:eastAsia="Calibri" w:hAnsiTheme="minorHAnsi" w:cstheme="minorHAnsi"/>
            </w:rPr>
            <w:t>F</w:t>
          </w:r>
        </w:sdtContent>
      </w:sdt>
      <w:sdt>
        <w:sdtPr>
          <w:rPr>
            <w:rFonts w:asciiTheme="minorHAnsi" w:hAnsiTheme="minorHAnsi" w:cstheme="minorHAnsi"/>
          </w:rPr>
          <w:tag w:val="goog_rdk_399"/>
          <w:id w:val="965318637"/>
        </w:sdtPr>
        <w:sdtContent>
          <w:r w:rsidRPr="00285D58">
            <w:rPr>
              <w:rFonts w:asciiTheme="minorHAnsi" w:hAnsiTheme="minorHAnsi" w:cstheme="minorHAnsi"/>
            </w:rPr>
            <w:t>i</w:t>
          </w:r>
        </w:sdtContent>
      </w:sdt>
      <w:r w:rsidRPr="00285D58">
        <w:rPr>
          <w:rFonts w:asciiTheme="minorHAnsi" w:eastAsia="Calibri" w:hAnsiTheme="minorHAnsi" w:cstheme="minorHAnsi"/>
        </w:rPr>
        <w:t>deicomitentes y administrará los mismos de acuerdo con los términos del contrato del Fideicomiso de Administración.</w:t>
      </w:r>
    </w:p>
    <w:p w14:paraId="34EFF0F3"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Cuentas del Fideicomiso de Administración</w:t>
      </w:r>
    </w:p>
    <w:p w14:paraId="73FB673A" w14:textId="190C43F6"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Fideicomiso de Administración tendrá cuando </w:t>
      </w:r>
      <w:r w:rsidRPr="00BB5F42">
        <w:rPr>
          <w:rFonts w:asciiTheme="minorHAnsi" w:eastAsia="Calibri" w:hAnsiTheme="minorHAnsi" w:cstheme="minorHAnsi"/>
        </w:rPr>
        <w:t xml:space="preserve">menos </w:t>
      </w:r>
      <w:r w:rsidR="00780370" w:rsidRPr="00BB5F42">
        <w:rPr>
          <w:rFonts w:asciiTheme="minorHAnsi" w:eastAsia="Calibri" w:hAnsiTheme="minorHAnsi" w:cstheme="minorHAnsi"/>
        </w:rPr>
        <w:t>ocho</w:t>
      </w:r>
      <w:r w:rsidRPr="00BB5F42">
        <w:rPr>
          <w:rFonts w:asciiTheme="minorHAnsi" w:eastAsia="Calibri" w:hAnsiTheme="minorHAnsi" w:cstheme="minorHAnsi"/>
        </w:rPr>
        <w:t xml:space="preserve"> (</w:t>
      </w:r>
      <w:r w:rsidR="00780370" w:rsidRPr="00BB5F42">
        <w:rPr>
          <w:rFonts w:asciiTheme="minorHAnsi" w:eastAsia="Calibri" w:hAnsiTheme="minorHAnsi" w:cstheme="minorHAnsi"/>
        </w:rPr>
        <w:t>08</w:t>
      </w:r>
      <w:r w:rsidRPr="00BB5F42">
        <w:rPr>
          <w:rFonts w:asciiTheme="minorHAnsi" w:eastAsia="Calibri" w:hAnsiTheme="minorHAnsi" w:cstheme="minorHAnsi"/>
        </w:rPr>
        <w:t>)</w:t>
      </w:r>
      <w:r w:rsidRPr="00285D58">
        <w:rPr>
          <w:rFonts w:asciiTheme="minorHAnsi" w:eastAsia="Calibri" w:hAnsiTheme="minorHAnsi" w:cstheme="minorHAnsi"/>
        </w:rPr>
        <w:t xml:space="preserve"> cuentas independientes y</w:t>
      </w:r>
      <w:r w:rsidR="00780370" w:rsidRPr="00285D58">
        <w:rPr>
          <w:rFonts w:asciiTheme="minorHAnsi" w:eastAsia="Calibri" w:hAnsiTheme="minorHAnsi" w:cstheme="minorHAnsi"/>
        </w:rPr>
        <w:t xml:space="preserve"> las</w:t>
      </w:r>
      <w:r w:rsidRPr="00285D58">
        <w:rPr>
          <w:rFonts w:asciiTheme="minorHAnsi" w:eastAsia="Calibri" w:hAnsiTheme="minorHAnsi" w:cstheme="minorHAnsi"/>
        </w:rPr>
        <w:t xml:space="preserve"> </w:t>
      </w:r>
      <w:r w:rsidRPr="00BB5F42">
        <w:rPr>
          <w:rFonts w:asciiTheme="minorHAnsi" w:eastAsia="Calibri" w:hAnsiTheme="minorHAnsi" w:cstheme="minorHAnsi"/>
        </w:rPr>
        <w:t>subcuentas</w:t>
      </w:r>
      <w:r w:rsidR="00780370" w:rsidRPr="00BB5F42">
        <w:rPr>
          <w:rFonts w:asciiTheme="minorHAnsi" w:eastAsia="Calibri" w:hAnsiTheme="minorHAnsi" w:cstheme="minorHAnsi"/>
        </w:rPr>
        <w:t xml:space="preserve"> correspondientes</w:t>
      </w:r>
      <w:r w:rsidRPr="00285D58">
        <w:rPr>
          <w:rFonts w:asciiTheme="minorHAnsi" w:eastAsia="Calibri" w:hAnsiTheme="minorHAnsi" w:cstheme="minorHAnsi"/>
        </w:rPr>
        <w:t>, conforme a lo siguiente:</w:t>
      </w:r>
    </w:p>
    <w:p w14:paraId="0EB40AD1" w14:textId="0DC51F06"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de Cofinanciamiento en Dólares: </w:t>
      </w:r>
      <w:r w:rsidRPr="00285D58">
        <w:rPr>
          <w:rFonts w:asciiTheme="minorHAnsi" w:eastAsia="Calibri" w:hAnsiTheme="minorHAnsi" w:cstheme="minorHAnsi"/>
        </w:rPr>
        <w:t>Esta cuenta tiene por finalidad recaudar los pagos del PPD1, teniendo como fuente los depósitos por Cofinanciamiento y la transferencia de los Ingresos tarifarios en Dólares de la subcuenta</w:t>
      </w:r>
      <w:r w:rsidRPr="00285D58">
        <w:rPr>
          <w:rFonts w:asciiTheme="minorHAnsi" w:hAnsiTheme="minorHAnsi" w:cstheme="minorHAnsi"/>
        </w:rPr>
        <w:t xml:space="preserve"> </w:t>
      </w:r>
      <w:r w:rsidRPr="00285D58">
        <w:rPr>
          <w:rFonts w:asciiTheme="minorHAnsi" w:eastAsia="Calibri" w:hAnsiTheme="minorHAnsi" w:cstheme="minorHAnsi"/>
        </w:rPr>
        <w:t>Ingresos Tarifarios en Dólares</w:t>
      </w:r>
      <w:r w:rsidR="00E41C39" w:rsidRPr="00285D58">
        <w:rPr>
          <w:rFonts w:asciiTheme="minorHAnsi" w:eastAsia="Calibri" w:hAnsiTheme="minorHAnsi" w:cstheme="minorHAnsi"/>
        </w:rPr>
        <w:t xml:space="preserve"> </w:t>
      </w:r>
      <w:r w:rsidR="00E41C39" w:rsidRPr="00BB5F42">
        <w:rPr>
          <w:rFonts w:asciiTheme="minorHAnsi" w:eastAsia="Calibri" w:hAnsiTheme="minorHAnsi" w:cstheme="minorHAnsi"/>
        </w:rPr>
        <w:t>y</w:t>
      </w:r>
      <w:r w:rsidR="00351D96" w:rsidRPr="00BB5F42">
        <w:rPr>
          <w:rFonts w:asciiTheme="minorHAnsi" w:eastAsia="Calibri" w:hAnsiTheme="minorHAnsi" w:cstheme="minorHAnsi"/>
        </w:rPr>
        <w:t>, de corresponder,</w:t>
      </w:r>
      <w:r w:rsidR="00E41C39" w:rsidRPr="00BB5F42">
        <w:rPr>
          <w:rFonts w:asciiTheme="minorHAnsi" w:eastAsia="Calibri" w:hAnsiTheme="minorHAnsi" w:cstheme="minorHAnsi"/>
        </w:rPr>
        <w:t xml:space="preserve"> de la subcuenta de Ingresos Tarifarios en Soles</w:t>
      </w:r>
      <w:r w:rsidRPr="00285D58">
        <w:rPr>
          <w:rFonts w:asciiTheme="minorHAnsi" w:eastAsia="Calibri" w:hAnsiTheme="minorHAnsi" w:cstheme="minorHAnsi"/>
        </w:rPr>
        <w:t>, de conformidad con lo establecido en el Contrato de Concesión y en las Leyes y Disposiciones Aplicables.</w:t>
      </w:r>
    </w:p>
    <w:p w14:paraId="2C0FB963" w14:textId="44F24066"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PPD1 y la Subcuenta IGV en Dólares.</w:t>
      </w:r>
    </w:p>
    <w:p w14:paraId="7247CD0D" w14:textId="5EEA45B6"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La prelación para la distribución de los recursos de la Cuenta de Cofinanciamiento en Dólares será la siguiente: (i) los compromisos de la Subcuenta PPD1; (ii) Subcuenta de IGV en Dólares; y, de ser el caso, (iv) otras cuentas que se utilicen en el Fideicomiso de Administración.</w:t>
      </w:r>
    </w:p>
    <w:p w14:paraId="47924D81"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En caso de culminar la vigencia del Fideicomiso de Administración, y de existir saldo remanente al final de la Concesión en la Cuenta de Cofinanciamiento, los recursos serán transferidos a favor del CONCEDENTE.</w:t>
      </w:r>
    </w:p>
    <w:p w14:paraId="52B4295A" w14:textId="77777777" w:rsidR="004A2CCE" w:rsidRPr="00285D58" w:rsidRDefault="004A2CCE" w:rsidP="008D1FFF">
      <w:pPr>
        <w:widowControl/>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u w:val="single"/>
        </w:rPr>
        <w:t>a.1. Subcuenta PPD1</w:t>
      </w:r>
    </w:p>
    <w:p w14:paraId="64A33337" w14:textId="5C814E1A"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transferirá los recursos en Dólares que servirán para el pago del PPD1 neto de deducciones y penalidades o según lo especificado en el Anexo 11 del Contrato de Concesión.</w:t>
      </w:r>
    </w:p>
    <w:p w14:paraId="12A3A27A"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Los pagos del PPD1, se realizarán conforme a lo establecido en el Anexo 11 del Contrato de Concesión, en sesenta (60) cuotas trimestrales para cada Componente.</w:t>
      </w:r>
    </w:p>
    <w:p w14:paraId="2A9CE5D5"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El CONCEDENTE dará las instrucciones al Fiduciario para que este cumpla con transferir los flujos necesarios para efectuar los pagos del PPD1, derivados del Inicio de la Operación del Proyecto.</w:t>
      </w:r>
    </w:p>
    <w:p w14:paraId="3B33D3FA"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 xml:space="preserve">En concordancia con el párrafo anterior, a los quince (15) Días luego de la emisión del Acta de Inicio de la Operación, corresponderá al Fiduciario remitir una comunicación escrita al </w:t>
      </w:r>
      <w:r w:rsidRPr="00285D58">
        <w:rPr>
          <w:rFonts w:asciiTheme="minorHAnsi" w:eastAsia="Calibri" w:hAnsiTheme="minorHAnsi" w:cstheme="minorHAnsi"/>
        </w:rPr>
        <w:lastRenderedPageBreak/>
        <w:t>CONCEDENTE y al CONCESIONARIO en la que se detalle el valor de las sesenta (60) cuotas trimestrales del PPD1, según lo establecido en el Contrato de Concesión.</w:t>
      </w:r>
    </w:p>
    <w:p w14:paraId="2C482A07" w14:textId="42E08AA6" w:rsidR="004A2CCE" w:rsidRPr="00285D58" w:rsidRDefault="004A2CCE" w:rsidP="006C38C0">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a.2. Subcuenta IGV</w:t>
      </w:r>
    </w:p>
    <w:p w14:paraId="678115CC" w14:textId="34972DB7" w:rsidR="004A2CCE" w:rsidRDefault="004A2CCE"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PPD1.</w:t>
      </w:r>
    </w:p>
    <w:p w14:paraId="08992D5D" w14:textId="77777777" w:rsidR="004E72A6" w:rsidRPr="004E72A6" w:rsidRDefault="004E72A6" w:rsidP="004E72A6">
      <w:pPr>
        <w:widowControl/>
        <w:spacing w:before="240" w:line="276" w:lineRule="auto"/>
        <w:ind w:left="709"/>
        <w:jc w:val="both"/>
        <w:rPr>
          <w:rFonts w:asciiTheme="minorHAnsi" w:eastAsia="Calibri" w:hAnsiTheme="minorHAnsi" w:cstheme="minorHAnsi"/>
          <w:u w:val="single"/>
        </w:rPr>
      </w:pPr>
      <w:r w:rsidRPr="004E72A6">
        <w:rPr>
          <w:rFonts w:asciiTheme="minorHAnsi" w:eastAsia="Calibri" w:hAnsiTheme="minorHAnsi" w:cstheme="minorHAnsi"/>
          <w:u w:val="single"/>
        </w:rPr>
        <w:t xml:space="preserve">a.3. Subcuenta Reserva </w:t>
      </w:r>
      <m:oMath>
        <m:r>
          <w:rPr>
            <w:rFonts w:ascii="Cambria Math" w:eastAsia="Calibri" w:hAnsi="Cambria Math" w:cstheme="minorHAnsi"/>
            <w:u w:val="single"/>
          </w:rPr>
          <m:t>PPD</m:t>
        </m:r>
        <m:sSub>
          <m:sSubPr>
            <m:ctrlPr>
              <w:rPr>
                <w:rFonts w:ascii="Cambria Math" w:eastAsia="Calibri" w:hAnsi="Cambria Math" w:cstheme="minorHAnsi"/>
                <w:u w:val="single"/>
              </w:rPr>
            </m:ctrlPr>
          </m:sSubPr>
          <m:e>
            <m:r>
              <w:rPr>
                <w:rFonts w:ascii="Cambria Math" w:eastAsia="Calibri" w:hAnsi="Cambria Math" w:cstheme="minorHAnsi"/>
                <w:u w:val="single"/>
              </w:rPr>
              <m:t>1</m:t>
            </m:r>
          </m:e>
          <m:sub>
            <m:r>
              <w:rPr>
                <w:rFonts w:ascii="Cambria Math" w:eastAsia="Calibri" w:hAnsi="Cambria Math" w:cstheme="minorHAnsi"/>
                <w:u w:val="single"/>
              </w:rPr>
              <m:t>j</m:t>
            </m:r>
          </m:sub>
        </m:sSub>
      </m:oMath>
      <w:r w:rsidRPr="004E72A6">
        <w:rPr>
          <w:rFonts w:asciiTheme="minorHAnsi" w:eastAsia="Calibri" w:hAnsiTheme="minorHAnsi" w:cstheme="minorHAnsi"/>
          <w:u w:val="single"/>
        </w:rPr>
        <w:t>.</w:t>
      </w:r>
    </w:p>
    <w:p w14:paraId="776E00C1"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 xml:space="preserve">Subcuenta del Fideicomiso de Administración en la que el Fiduciario transferirá y mantendrá retenidos los recursos en dólares correspondientes al </w:t>
      </w: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cuyo pago haya sido afectado conforme a lo dispuesto en el numeral 41 del Apéndice 1 del Anexo 11 del Contrato de Concesión. </w:t>
      </w:r>
    </w:p>
    <w:p w14:paraId="521FE040"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 xml:space="preserve">Los montos de las cuotas trimestrales del </w:t>
      </w: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afectadas serán determinados conforme al cronograma de pagos original y transferidos desde la Subcuenta </w:t>
      </w: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correspondiente al Componente j, hacia su respectiva Subcuenta Reserva </w:t>
      </w: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oMath>
      <w:r w:rsidRPr="004E72A6">
        <w:rPr>
          <w:rFonts w:asciiTheme="minorHAnsi" w:eastAsia="Calibri" w:hAnsiTheme="minorHAnsi" w:cstheme="minorHAnsi"/>
          <w:lang w:val="es-PE"/>
        </w:rPr>
        <w:t>, conforme a las instrucciones del CONCEDENTE.</w:t>
      </w:r>
    </w:p>
    <w:p w14:paraId="2BEAE612"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 xml:space="preserve">Los recursos permanecerán en esta subcuenta de reserva hasta que se acredite el inicio del Periodo Operativo del Componente j correspondiente. A partir de la acreditación, el CONCEDENTE instruirá al Fiduciario la liberación de los fondos retenidos en la Subcuenta Reserva </w:t>
      </w:r>
      <m:oMath>
        <m:sSub>
          <m:sSubPr>
            <m:ctrlPr>
              <w:rPr>
                <w:rFonts w:ascii="Cambria Math" w:eastAsia="Cambria Math" w:hAnsi="Cambria Math" w:cstheme="minorHAnsi"/>
              </w:rPr>
            </m:ctrlPr>
          </m:sSubPr>
          <m:e>
            <m:r>
              <w:rPr>
                <w:rFonts w:ascii="Cambria Math" w:eastAsia="Cambria Math" w:hAnsi="Cambria Math" w:cstheme="minorHAnsi"/>
              </w:rPr>
              <m:t>PPD1</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hacia la Subcuenta </w:t>
      </w:r>
      <m:oMath>
        <m:sSub>
          <m:sSubPr>
            <m:ctrlPr>
              <w:rPr>
                <w:rFonts w:ascii="Cambria Math" w:eastAsia="Cambria Math" w:hAnsi="Cambria Math" w:cstheme="minorHAnsi"/>
              </w:rPr>
            </m:ctrlPr>
          </m:sSubPr>
          <m:e>
            <m:r>
              <w:rPr>
                <w:rFonts w:ascii="Cambria Math" w:eastAsia="Cambria Math" w:hAnsi="Cambria Math" w:cstheme="minorHAnsi"/>
              </w:rPr>
              <m:t>PPD1</m:t>
            </m:r>
          </m:e>
          <m:sub>
            <m:r>
              <w:rPr>
                <w:rFonts w:ascii="Cambria Math" w:eastAsia="Cambria Math" w:hAnsi="Cambria Math" w:cstheme="minorHAnsi"/>
              </w:rPr>
              <m:t>j</m:t>
            </m:r>
          </m:sub>
        </m:sSub>
      </m:oMath>
      <w:r w:rsidRPr="004E72A6">
        <w:rPr>
          <w:rFonts w:asciiTheme="minorHAnsi" w:eastAsia="Calibri" w:hAnsiTheme="minorHAnsi" w:cstheme="minorHAnsi"/>
          <w:lang w:val="es-PE"/>
        </w:rPr>
        <w:t>, conforme a un nuevo cronograma solo para el pago de las cuotas afectadas, de acuerdo con lo establecido en el Contrato de Concesión.</w:t>
      </w:r>
    </w:p>
    <w:p w14:paraId="6D890CD0"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El Fiduciario deberá mantener un registro individualizado y detallado por Componente de los montos retenidos, su fecha de origen, los intereses aplicables y la aplicación de dichos recursos. En ningún caso podrá aplicar o liberar recursos de esta subcuenta sin previa autorización del CONCEDENTE.</w:t>
      </w:r>
    </w:p>
    <w:p w14:paraId="3DBD8452" w14:textId="57EA31DC" w:rsidR="004E72A6" w:rsidRPr="004E72A6" w:rsidRDefault="004E72A6" w:rsidP="004E72A6">
      <w:pPr>
        <w:widowControl/>
        <w:spacing w:before="240" w:line="276" w:lineRule="auto"/>
        <w:ind w:left="709"/>
        <w:jc w:val="both"/>
        <w:rPr>
          <w:rFonts w:asciiTheme="minorHAnsi" w:eastAsia="Calibri" w:hAnsiTheme="minorHAnsi" w:cstheme="minorHAnsi"/>
          <w:u w:val="single"/>
        </w:rPr>
      </w:pPr>
      <w:r w:rsidRPr="004E72A6">
        <w:rPr>
          <w:rFonts w:asciiTheme="minorHAnsi" w:eastAsia="Calibri" w:hAnsiTheme="minorHAnsi" w:cstheme="minorHAnsi"/>
          <w:u w:val="single"/>
        </w:rPr>
        <w:t xml:space="preserve">a.4. Subcuenta Reserva </w:t>
      </w:r>
      <m:oMath>
        <m:sSub>
          <m:sSubPr>
            <m:ctrlPr>
              <w:rPr>
                <w:rFonts w:ascii="Cambria Math" w:eastAsia="Calibri" w:hAnsi="Cambria Math" w:cstheme="minorHAnsi"/>
                <w:u w:val="single"/>
              </w:rPr>
            </m:ctrlPr>
          </m:sSubPr>
          <m:e>
            <m:r>
              <m:rPr>
                <m:sty m:val="p"/>
              </m:rPr>
              <w:rPr>
                <w:rFonts w:ascii="Cambria Math" w:eastAsia="Calibri" w:hAnsi="Cambria Math" w:cstheme="minorHAnsi"/>
                <w:u w:val="single"/>
              </w:rPr>
              <m:t>IGV</m:t>
            </m:r>
          </m:e>
          <m:sub>
            <m:r>
              <m:rPr>
                <m:sty m:val="p"/>
              </m:rPr>
              <w:rPr>
                <w:rFonts w:ascii="Cambria Math" w:eastAsia="Calibri" w:hAnsi="Cambria Math" w:cstheme="minorHAnsi"/>
                <w:u w:val="single"/>
              </w:rPr>
              <m:t>j</m:t>
            </m:r>
          </m:sub>
        </m:sSub>
      </m:oMath>
    </w:p>
    <w:p w14:paraId="2A8A01E7"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rPr>
      </w:pPr>
      <w:r w:rsidRPr="004E72A6">
        <w:rPr>
          <w:rFonts w:asciiTheme="minorHAnsi" w:eastAsia="Calibri" w:hAnsiTheme="minorHAnsi" w:cstheme="minorHAnsi"/>
        </w:rPr>
        <w:t xml:space="preserve">Subcuenta del Fideicomiso de Administración en la que el Fiduciario depositará los recursos necesarios del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rPr>
        <w:t xml:space="preserve"> aplicable al </w:t>
      </w:r>
      <m:oMath>
        <m:r>
          <w:rPr>
            <w:rFonts w:ascii="Cambria Math" w:eastAsia="Cambria Math" w:hAnsi="Cambria Math" w:cstheme="minorHAnsi"/>
          </w:rPr>
          <m:t>PPD</m:t>
        </m:r>
        <m:sSub>
          <m:sSubPr>
            <m:ctrlPr>
              <w:rPr>
                <w:rFonts w:ascii="Cambria Math" w:eastAsia="Cambria Math" w:hAnsi="Cambria Math" w:cstheme="minorHAnsi"/>
              </w:rPr>
            </m:ctrlPr>
          </m:sSubPr>
          <m:e>
            <m:r>
              <w:rPr>
                <w:rFonts w:ascii="Cambria Math" w:eastAsia="Cambria Math" w:hAnsi="Cambria Math" w:cstheme="minorHAnsi"/>
              </w:rPr>
              <m:t>1</m:t>
            </m:r>
          </m:e>
          <m:sub>
            <m:r>
              <w:rPr>
                <w:rFonts w:ascii="Cambria Math" w:eastAsia="Cambria Math" w:hAnsi="Cambria Math" w:cstheme="minorHAnsi"/>
              </w:rPr>
              <m:t>j</m:t>
            </m:r>
          </m:sub>
        </m:sSub>
      </m:oMath>
      <w:r w:rsidRPr="004E72A6">
        <w:rPr>
          <w:rFonts w:asciiTheme="minorHAnsi" w:eastAsia="Calibri" w:hAnsiTheme="minorHAnsi" w:cstheme="minorHAnsi"/>
        </w:rPr>
        <w:t>.</w:t>
      </w:r>
    </w:p>
    <w:p w14:paraId="0B77B2AB"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rPr>
        <w:t xml:space="preserve">Subcuenta del Fideicomiso de Administración en la que el Fiduciario transferirá y mantendrá retenidos los recursos en dólares correspondientes al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rPr>
        <w:t xml:space="preserve">, </w:t>
      </w:r>
      <w:r w:rsidRPr="004E72A6">
        <w:rPr>
          <w:rFonts w:asciiTheme="minorHAnsi" w:eastAsia="Calibri" w:hAnsiTheme="minorHAnsi" w:cstheme="minorHAnsi"/>
          <w:lang w:val="es-PE"/>
        </w:rPr>
        <w:t>cuyo pago haya sido afectado conforme a lo dispuesto en el numeral 41 del Apéndice 1 del Anexo 11 del Contrato de Concesión, como consecuencia de un retraso en el inicio del Periodo Operativo del respectivo Componente, imputable al CONCEDENTE.</w:t>
      </w:r>
    </w:p>
    <w:p w14:paraId="0A0E02FF" w14:textId="77777777" w:rsidR="004E72A6" w:rsidRPr="004E72A6" w:rsidRDefault="004E72A6" w:rsidP="004E72A6">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 xml:space="preserve">Los montos de las cuotas trimestrales del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afectadas serán determinados conforme al cronograma de pagos original y transferidos desde la Subcuenta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correspondiente al </w:t>
      </w:r>
      <w:r w:rsidRPr="004E72A6">
        <w:rPr>
          <w:rFonts w:asciiTheme="minorHAnsi" w:eastAsia="Calibri" w:hAnsiTheme="minorHAnsi" w:cstheme="minorHAnsi"/>
          <w:lang w:val="es-PE"/>
        </w:rPr>
        <w:lastRenderedPageBreak/>
        <w:t xml:space="preserve">Componente j hacia su respectiva Subcuenta Reserva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lang w:val="es-PE"/>
        </w:rPr>
        <w:t>, conforme a las instrucciones del CONCEDENTE.</w:t>
      </w:r>
    </w:p>
    <w:p w14:paraId="3550322C" w14:textId="20322073" w:rsidR="00A94D80" w:rsidRPr="004E72A6" w:rsidRDefault="004E72A6" w:rsidP="008D1FFF">
      <w:pPr>
        <w:widowControl/>
        <w:spacing w:before="240" w:after="160" w:line="276" w:lineRule="auto"/>
        <w:ind w:left="709"/>
        <w:jc w:val="both"/>
        <w:rPr>
          <w:rFonts w:asciiTheme="minorHAnsi" w:eastAsia="Calibri" w:hAnsiTheme="minorHAnsi" w:cstheme="minorHAnsi"/>
          <w:lang w:val="es-PE"/>
        </w:rPr>
      </w:pPr>
      <w:r w:rsidRPr="004E72A6">
        <w:rPr>
          <w:rFonts w:asciiTheme="minorHAnsi" w:eastAsia="Calibri" w:hAnsiTheme="minorHAnsi" w:cstheme="minorHAnsi"/>
          <w:lang w:val="es-PE"/>
        </w:rPr>
        <w:t xml:space="preserve">Los recursos permanecerán en esta subcuenta de reserva hasta que se acredite el inicio del Periodo Operativo del Componente j correspondiente. A partir de la acreditación, el CONCEDENTE instruirá al Fiduciario la liberación de los fondos retenidos en la Subcuenta Reserva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lang w:val="es-PE"/>
        </w:rPr>
        <w:t xml:space="preserve"> hacia la Subcuenta </w:t>
      </w:r>
      <m:oMath>
        <m:sSub>
          <m:sSubPr>
            <m:ctrlPr>
              <w:rPr>
                <w:rFonts w:ascii="Cambria Math" w:eastAsia="Cambria Math" w:hAnsi="Cambria Math" w:cstheme="minorHAnsi"/>
              </w:rPr>
            </m:ctrlPr>
          </m:sSubPr>
          <m:e>
            <m:r>
              <w:rPr>
                <w:rFonts w:ascii="Cambria Math" w:eastAsia="Cambria Math" w:hAnsi="Cambria Math" w:cstheme="minorHAnsi"/>
              </w:rPr>
              <m:t>IGV</m:t>
            </m:r>
          </m:e>
          <m:sub>
            <m:r>
              <w:rPr>
                <w:rFonts w:ascii="Cambria Math" w:eastAsia="Cambria Math" w:hAnsi="Cambria Math" w:cstheme="minorHAnsi"/>
              </w:rPr>
              <m:t>j</m:t>
            </m:r>
          </m:sub>
        </m:sSub>
      </m:oMath>
      <w:r w:rsidRPr="004E72A6">
        <w:rPr>
          <w:rFonts w:asciiTheme="minorHAnsi" w:eastAsia="Calibri" w:hAnsiTheme="minorHAnsi" w:cstheme="minorHAnsi"/>
          <w:lang w:val="es-PE"/>
        </w:rPr>
        <w:t>, conforme a un nuevo cronograma solo para el pago de las cuotas afectadas, de acuerdo con lo establecido en el Contrato de Concesión.</w:t>
      </w:r>
    </w:p>
    <w:p w14:paraId="5E2E2958" w14:textId="2119B799"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de Cofinanciamiento en Soles: </w:t>
      </w:r>
      <w:r w:rsidRPr="00285D58">
        <w:rPr>
          <w:rFonts w:asciiTheme="minorHAnsi" w:eastAsia="Calibri" w:hAnsiTheme="minorHAnsi" w:cstheme="minorHAnsi"/>
        </w:rPr>
        <w:t>Esta cuenta tiene por finalidad recaudar los pagos del PPD2, teniendo como fuente los depósitos por Cofinanciamiento y, de corresponder la transferencia de los Ingresos tarifarios en Soles de la subcuenta</w:t>
      </w:r>
      <w:r w:rsidRPr="00285D58">
        <w:rPr>
          <w:rFonts w:asciiTheme="minorHAnsi" w:hAnsiTheme="minorHAnsi" w:cstheme="minorHAnsi"/>
        </w:rPr>
        <w:t xml:space="preserve"> </w:t>
      </w:r>
      <w:r w:rsidRPr="00285D58">
        <w:rPr>
          <w:rFonts w:asciiTheme="minorHAnsi" w:eastAsia="Calibri" w:hAnsiTheme="minorHAnsi" w:cstheme="minorHAnsi"/>
        </w:rPr>
        <w:t xml:space="preserve"> Ingresos tarifarios en Soles, de conformidad con lo establecido en el Contrato de Concesión y en las Leyes y Disposiciones Aplicables.</w:t>
      </w:r>
    </w:p>
    <w:p w14:paraId="2BF506F0"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PPD1, la Subcuenta PPD2 y la Subcuenta IGV.</w:t>
      </w:r>
    </w:p>
    <w:p w14:paraId="7217E33A"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La prelación para la distribución de los recursos de la Cuenta de Cofinanciamiento será la siguiente: i) los compromisos de la Subcuenta PPD2; (ii) Subcuenta de IGV; y, de ser el caso, (iii) otras cuentas que se utilicen en el Fideicomiso de Administración.</w:t>
      </w:r>
    </w:p>
    <w:p w14:paraId="19751133"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En caso de culminar la vigencia del Fideicomiso de Administración, y de existir saldo remanente al final de la Concesión en la Cuenta de Cofinanciamiento, los recursos serán transferidos a favor del CONCEDENTE.</w:t>
      </w:r>
    </w:p>
    <w:p w14:paraId="3B217F02" w14:textId="77777777" w:rsidR="004A2CCE" w:rsidRPr="00285D58" w:rsidRDefault="004A2CCE"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b.1. Subcuenta del PPD2</w:t>
      </w:r>
    </w:p>
    <w:p w14:paraId="0F125362"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en Soles que servirán para el pago del PPD2 neto de deducciones y penalidades, según lo especificado en el Anexo 11 del Contrato de Concesión.</w:t>
      </w:r>
    </w:p>
    <w:p w14:paraId="4D15A068"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Los pagos del PPD2, se realizarán conforme a lo establecido en el Anexo 11 del Contrato de Concesión, desde el Acta de Inicio de la Operación de cada Componente y hasta la Terminación del Contrato de Concesión.</w:t>
      </w:r>
    </w:p>
    <w:p w14:paraId="51B78C66" w14:textId="77777777" w:rsidR="004A2CCE" w:rsidRPr="00285D58" w:rsidRDefault="004A2CCE"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El CONCEDENTE dará las instrucciones al Fiduciario para que este cumpla con transferir los flujos necesarios para efectuar los pagos del PPD2, derivados del Inicio de la Operación de cualquiera de los </w:t>
      </w:r>
      <w:r w:rsidRPr="00285D58">
        <w:rPr>
          <w:rFonts w:asciiTheme="minorHAnsi" w:eastAsia="Calibri" w:hAnsiTheme="minorHAnsi" w:cstheme="minorHAnsi"/>
          <w:color w:val="000000"/>
        </w:rPr>
        <w:t>Componentes</w:t>
      </w:r>
      <w:r w:rsidRPr="00285D58">
        <w:rPr>
          <w:rFonts w:asciiTheme="minorHAnsi" w:eastAsia="Calibri" w:hAnsiTheme="minorHAnsi" w:cstheme="minorHAnsi"/>
        </w:rPr>
        <w:t>.</w:t>
      </w:r>
    </w:p>
    <w:p w14:paraId="0991FE00" w14:textId="77777777" w:rsidR="004A2CCE" w:rsidRPr="00285D58" w:rsidRDefault="004A2CCE" w:rsidP="008D1FFF">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b.2. Subcuenta IGV</w:t>
      </w:r>
    </w:p>
    <w:p w14:paraId="40C9EA6A" w14:textId="77777777" w:rsidR="004A2CCE" w:rsidRPr="00285D58" w:rsidRDefault="004A2CCE"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PPD2.</w:t>
      </w:r>
    </w:p>
    <w:p w14:paraId="5F1F42EE" w14:textId="77777777" w:rsidR="00E86953" w:rsidRPr="00285D58" w:rsidRDefault="00E86953" w:rsidP="00A3732C">
      <w:pPr>
        <w:widowControl/>
        <w:numPr>
          <w:ilvl w:val="0"/>
          <w:numId w:val="58"/>
        </w:numPr>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lastRenderedPageBreak/>
        <w:t xml:space="preserve">Cuenta de PPO: </w:t>
      </w:r>
      <w:r w:rsidRPr="00285D58">
        <w:rPr>
          <w:rFonts w:asciiTheme="minorHAnsi" w:eastAsia="Calibri" w:hAnsiTheme="minorHAnsi" w:cstheme="minorHAnsi"/>
          <w:bCs/>
        </w:rPr>
        <w:t>E</w:t>
      </w:r>
      <w:r w:rsidRPr="00285D58">
        <w:rPr>
          <w:rFonts w:asciiTheme="minorHAnsi" w:eastAsia="Calibri" w:hAnsiTheme="minorHAnsi" w:cstheme="minorHAnsi"/>
        </w:rPr>
        <w:t>sta cuenta tiene por finalidad recaudar los pagos del PPO, teniendo como fuente los depósitos por Cofinanciamiento en Dólares, de conformidad con lo establecido en el Contrato de Concesión y en las Leyes y Disposiciones Aplicables.</w:t>
      </w:r>
    </w:p>
    <w:p w14:paraId="4D57A0B1" w14:textId="77777777"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De esta cuenta, el Fiduciario distribuirá oportunamente los recursos necesarios a la Subcuenta PPO y la Subcuenta IGV del PPO.</w:t>
      </w:r>
    </w:p>
    <w:p w14:paraId="35BC8649" w14:textId="77777777" w:rsidR="00E86953" w:rsidRPr="00285D58" w:rsidRDefault="00E86953" w:rsidP="008D1FFF">
      <w:pPr>
        <w:widowControl/>
        <w:spacing w:before="240" w:line="276" w:lineRule="auto"/>
        <w:ind w:left="720"/>
        <w:jc w:val="both"/>
        <w:rPr>
          <w:rFonts w:asciiTheme="minorHAnsi" w:eastAsia="Calibri" w:hAnsiTheme="minorHAnsi" w:cstheme="minorHAnsi"/>
        </w:rPr>
      </w:pPr>
      <w:r w:rsidRPr="00285D58">
        <w:rPr>
          <w:rFonts w:asciiTheme="minorHAnsi" w:eastAsia="Calibri" w:hAnsiTheme="minorHAnsi" w:cstheme="minorHAnsi"/>
          <w:u w:val="single"/>
        </w:rPr>
        <w:t>c.1. Subcuenta PPO</w:t>
      </w:r>
    </w:p>
    <w:p w14:paraId="061F0D07"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transferirá los recursos en Dólares que servirán para el pago del PPO.</w:t>
      </w:r>
    </w:p>
    <w:p w14:paraId="70438B26"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Los pagos del PPO, se realizarán conforme a lo establecido en el Apéndice 1 del Anexo 11 del Contrato de Concesión.</w:t>
      </w:r>
    </w:p>
    <w:p w14:paraId="574D51C4" w14:textId="77777777" w:rsidR="006C38C0" w:rsidRPr="00285D58" w:rsidRDefault="006C38C0" w:rsidP="006C38C0">
      <w:pPr>
        <w:widowControl/>
        <w:spacing w:before="240" w:line="276" w:lineRule="auto"/>
        <w:ind w:left="709"/>
        <w:jc w:val="both"/>
        <w:rPr>
          <w:rFonts w:asciiTheme="minorHAnsi" w:eastAsia="Calibri" w:hAnsiTheme="minorHAnsi" w:cstheme="minorHAnsi"/>
        </w:rPr>
      </w:pPr>
      <w:r w:rsidRPr="00285D58">
        <w:rPr>
          <w:rFonts w:asciiTheme="minorHAnsi" w:eastAsia="Calibri" w:hAnsiTheme="minorHAnsi" w:cstheme="minorHAnsi"/>
        </w:rPr>
        <w:t>El CONCEDENTE dará las instrucciones al Fiduciario para que este cumpla con transferir los flujos necesarios para efectuar los pagos del PPO.</w:t>
      </w:r>
    </w:p>
    <w:p w14:paraId="6CCC6458" w14:textId="6D725C56" w:rsidR="00E86953" w:rsidRPr="00285D58" w:rsidRDefault="00E86953" w:rsidP="006C38C0">
      <w:pPr>
        <w:widowControl/>
        <w:spacing w:before="240" w:line="276" w:lineRule="auto"/>
        <w:ind w:left="709"/>
        <w:jc w:val="both"/>
        <w:rPr>
          <w:rFonts w:asciiTheme="minorHAnsi" w:eastAsia="Calibri" w:hAnsiTheme="minorHAnsi" w:cstheme="minorHAnsi"/>
          <w:u w:val="single"/>
        </w:rPr>
      </w:pPr>
      <w:r w:rsidRPr="00285D58">
        <w:rPr>
          <w:rFonts w:asciiTheme="minorHAnsi" w:eastAsia="Calibri" w:hAnsiTheme="minorHAnsi" w:cstheme="minorHAnsi"/>
          <w:u w:val="single"/>
        </w:rPr>
        <w:t>c.2. Subcuenta IGV</w:t>
      </w:r>
    </w:p>
    <w:p w14:paraId="783274A9" w14:textId="77777777" w:rsidR="00E86953" w:rsidRPr="00285D58" w:rsidRDefault="00E86953" w:rsidP="008D1FFF">
      <w:pPr>
        <w:widowControl/>
        <w:spacing w:before="240" w:after="160" w:line="276" w:lineRule="auto"/>
        <w:ind w:left="709"/>
        <w:jc w:val="both"/>
        <w:rPr>
          <w:rFonts w:asciiTheme="minorHAnsi" w:eastAsia="Calibri" w:hAnsiTheme="minorHAnsi" w:cstheme="minorHAnsi"/>
        </w:rPr>
      </w:pPr>
      <w:r w:rsidRPr="00285D58">
        <w:rPr>
          <w:rFonts w:asciiTheme="minorHAnsi" w:eastAsia="Calibri" w:hAnsiTheme="minorHAnsi" w:cstheme="minorHAnsi"/>
        </w:rPr>
        <w:t>Subcuenta del Fideicomiso de Administración en la que el Fiduciario depositará los recursos necesarios del IGV aplicable al PPO.</w:t>
      </w:r>
    </w:p>
    <w:p w14:paraId="42B26F81" w14:textId="14B06481" w:rsidR="00E86953" w:rsidRPr="00285D58" w:rsidRDefault="00E86953" w:rsidP="00A3732C">
      <w:pPr>
        <w:widowControl/>
        <w:numPr>
          <w:ilvl w:val="0"/>
          <w:numId w:val="58"/>
        </w:numPr>
        <w:spacing w:after="160" w:line="276" w:lineRule="auto"/>
        <w:jc w:val="both"/>
        <w:rPr>
          <w:rFonts w:asciiTheme="minorHAnsi" w:eastAsia="Calibri" w:hAnsiTheme="minorHAnsi" w:cstheme="minorHAnsi"/>
          <w:b/>
        </w:rPr>
      </w:pPr>
      <w:r w:rsidRPr="00285D58">
        <w:rPr>
          <w:rFonts w:asciiTheme="minorHAnsi" w:eastAsia="Calibri" w:hAnsiTheme="minorHAnsi" w:cstheme="minorHAnsi"/>
          <w:b/>
        </w:rPr>
        <w:t>Cuenta Ingresos Tarifarios:</w:t>
      </w:r>
      <w:r w:rsidRPr="00285D58">
        <w:rPr>
          <w:rFonts w:asciiTheme="minorHAnsi" w:eastAsia="Calibri" w:hAnsiTheme="minorHAnsi" w:cstheme="minorHAnsi"/>
          <w:color w:val="222222"/>
        </w:rPr>
        <w:t xml:space="preserve"> </w:t>
      </w:r>
      <w:r w:rsidR="006C38C0" w:rsidRPr="00285D58">
        <w:rPr>
          <w:rFonts w:asciiTheme="minorHAnsi" w:eastAsia="Calibri" w:hAnsiTheme="minorHAnsi" w:cstheme="minorHAnsi"/>
        </w:rPr>
        <w:t xml:space="preserve">Cuenta del Fideicomiso de Administración en la que el CONCESIONARIO depositará los Ingresos por Tarifa sin IGV. </w:t>
      </w:r>
      <w:r w:rsidR="00265EBE" w:rsidRPr="00285D58">
        <w:rPr>
          <w:rFonts w:asciiTheme="minorHAnsi" w:eastAsia="Calibri" w:hAnsiTheme="minorHAnsi" w:cstheme="minorHAnsi"/>
        </w:rPr>
        <w:t xml:space="preserve">Estos ingresos serán destinados prioritariamente al pago del PPD1. </w:t>
      </w:r>
      <w:r w:rsidR="006C38C0" w:rsidRPr="00285D58">
        <w:rPr>
          <w:rFonts w:asciiTheme="minorHAnsi" w:eastAsia="Calibri" w:hAnsiTheme="minorHAnsi" w:cstheme="minorHAnsi"/>
        </w:rPr>
        <w:t xml:space="preserve">El Fiduciario realizará las operaciones cambiarias de Soles a Dólares que sean necesarias para transferir la recaudación en Soles de la subcuenta Ingresos Tarifarios en Soles, a su equivalente en Dólares, a la cuenta Cofinanciamiento en Dólares hasta por un monto máximo equivalente al PPD1 trimestral. Esta transferencia se realizará el último </w:t>
      </w:r>
      <w:r w:rsidR="00242093" w:rsidRPr="00285D58">
        <w:rPr>
          <w:rFonts w:asciiTheme="minorHAnsi" w:eastAsia="Calibri" w:hAnsiTheme="minorHAnsi" w:cstheme="minorHAnsi"/>
        </w:rPr>
        <w:t>D</w:t>
      </w:r>
      <w:r w:rsidR="006C38C0" w:rsidRPr="00285D58">
        <w:rPr>
          <w:rFonts w:asciiTheme="minorHAnsi" w:eastAsia="Calibri" w:hAnsiTheme="minorHAnsi" w:cstheme="minorHAnsi"/>
        </w:rPr>
        <w:t>ía de cada mes.</w:t>
      </w:r>
    </w:p>
    <w:p w14:paraId="526C884C" w14:textId="4A44A3DE" w:rsidR="00E86953" w:rsidRPr="00285D58" w:rsidRDefault="00E86953"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 xml:space="preserve">d.1 Subcuenta </w:t>
      </w:r>
      <w:r w:rsidR="00D55B7A" w:rsidRPr="00285D58">
        <w:rPr>
          <w:rFonts w:asciiTheme="minorHAnsi" w:eastAsia="Calibri" w:hAnsiTheme="minorHAnsi" w:cstheme="minorHAnsi"/>
          <w:u w:val="single"/>
        </w:rPr>
        <w:t>de Ingresos</w:t>
      </w:r>
      <w:r w:rsidRPr="00285D58">
        <w:rPr>
          <w:rFonts w:asciiTheme="minorHAnsi" w:eastAsia="Calibri" w:hAnsiTheme="minorHAnsi" w:cstheme="minorHAnsi"/>
          <w:u w:val="single"/>
        </w:rPr>
        <w:t xml:space="preserve"> Tarifarios en Dólares</w:t>
      </w:r>
    </w:p>
    <w:p w14:paraId="28B59CAF" w14:textId="3A26D1F8"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Subcuenta del Fideicomiso de Administración en la que el CONCESIONARIO depositará los Ingresos por Tarifa en Dólares </w:t>
      </w:r>
      <w:r w:rsidR="00465136" w:rsidRPr="00285D58">
        <w:rPr>
          <w:rFonts w:asciiTheme="minorHAnsi" w:eastAsia="Calibri" w:hAnsiTheme="minorHAnsi" w:cstheme="minorHAnsi"/>
        </w:rPr>
        <w:t>sin</w:t>
      </w:r>
      <w:r w:rsidRPr="00285D58">
        <w:rPr>
          <w:rFonts w:asciiTheme="minorHAnsi" w:eastAsia="Calibri" w:hAnsiTheme="minorHAnsi" w:cstheme="minorHAnsi"/>
        </w:rPr>
        <w:t xml:space="preserve"> IGV, según lo especificado en la Cláusula 9.</w:t>
      </w:r>
      <w:r w:rsidR="00465136" w:rsidRPr="00285D58">
        <w:rPr>
          <w:rFonts w:asciiTheme="minorHAnsi" w:eastAsia="Calibri" w:hAnsiTheme="minorHAnsi" w:cstheme="minorHAnsi"/>
        </w:rPr>
        <w:t>9</w:t>
      </w:r>
      <w:r w:rsidRPr="00285D58">
        <w:rPr>
          <w:rFonts w:asciiTheme="minorHAnsi" w:eastAsia="Calibri" w:hAnsiTheme="minorHAnsi" w:cstheme="minorHAnsi"/>
        </w:rPr>
        <w:t xml:space="preserve"> del Contrato de Concesión.</w:t>
      </w:r>
    </w:p>
    <w:p w14:paraId="5A48AD94" w14:textId="77777777" w:rsidR="00E86953" w:rsidRPr="00285D58" w:rsidRDefault="00E86953" w:rsidP="008D1FFF">
      <w:pPr>
        <w:widowControl/>
        <w:spacing w:before="240" w:line="276" w:lineRule="auto"/>
        <w:ind w:left="720"/>
        <w:jc w:val="both"/>
        <w:rPr>
          <w:rFonts w:asciiTheme="minorHAnsi" w:eastAsia="Calibri" w:hAnsiTheme="minorHAnsi" w:cstheme="minorHAnsi"/>
          <w:u w:val="single"/>
        </w:rPr>
      </w:pPr>
      <w:r w:rsidRPr="00285D58">
        <w:rPr>
          <w:rFonts w:asciiTheme="minorHAnsi" w:eastAsia="Calibri" w:hAnsiTheme="minorHAnsi" w:cstheme="minorHAnsi"/>
          <w:u w:val="single"/>
        </w:rPr>
        <w:t>d.2. Subcuenta de Ingresos Tarifarios en Soles</w:t>
      </w:r>
    </w:p>
    <w:p w14:paraId="3137F5F6" w14:textId="24C65E57" w:rsidR="00E86953" w:rsidRPr="00285D58" w:rsidRDefault="00E86953" w:rsidP="008D1FFF">
      <w:pPr>
        <w:widowControl/>
        <w:spacing w:before="240" w:after="16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Subcuenta del Fideicomiso de Administración en la que el CONCESIONARIO depositará los Ingresos por Tarifa en Soles </w:t>
      </w:r>
      <w:r w:rsidR="00465136" w:rsidRPr="00285D58">
        <w:rPr>
          <w:rFonts w:asciiTheme="minorHAnsi" w:eastAsia="Calibri" w:hAnsiTheme="minorHAnsi" w:cstheme="minorHAnsi"/>
        </w:rPr>
        <w:t>sin</w:t>
      </w:r>
      <w:r w:rsidRPr="00285D58">
        <w:rPr>
          <w:rFonts w:asciiTheme="minorHAnsi" w:eastAsia="Calibri" w:hAnsiTheme="minorHAnsi" w:cstheme="minorHAnsi"/>
        </w:rPr>
        <w:t xml:space="preserve"> IGV, según lo especificado en la Cláusula 9.</w:t>
      </w:r>
      <w:r w:rsidR="00465136" w:rsidRPr="00285D58">
        <w:rPr>
          <w:rFonts w:asciiTheme="minorHAnsi" w:eastAsia="Calibri" w:hAnsiTheme="minorHAnsi" w:cstheme="minorHAnsi"/>
        </w:rPr>
        <w:t>9</w:t>
      </w:r>
      <w:r w:rsidRPr="00285D58">
        <w:rPr>
          <w:rFonts w:asciiTheme="minorHAnsi" w:eastAsia="Calibri" w:hAnsiTheme="minorHAnsi" w:cstheme="minorHAnsi"/>
        </w:rPr>
        <w:t xml:space="preserve"> del Contrato de Concesión.</w:t>
      </w:r>
    </w:p>
    <w:p w14:paraId="1D32C8FD" w14:textId="4A2CD679" w:rsidR="004A2CCE" w:rsidRPr="00285D58" w:rsidRDefault="004A2CCE"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Supervisión: </w:t>
      </w:r>
      <w:r w:rsidR="008D721B" w:rsidRPr="00285D58">
        <w:rPr>
          <w:rFonts w:asciiTheme="minorHAnsi" w:eastAsia="Calibri" w:hAnsiTheme="minorHAnsi" w:cstheme="minorHAnsi"/>
        </w:rPr>
        <w:t xml:space="preserve">Cuenta </w:t>
      </w:r>
      <w:r w:rsidRPr="00285D58">
        <w:rPr>
          <w:rFonts w:asciiTheme="minorHAnsi" w:eastAsia="Calibri" w:hAnsiTheme="minorHAnsi" w:cstheme="minorHAnsi"/>
        </w:rPr>
        <w:t xml:space="preserve">del Fideicomiso de Administración en la que el CONCESIONARIO depositará los recursos que servirán para el pago del Supervisor, incluido </w:t>
      </w:r>
      <w:r w:rsidRPr="00285D58">
        <w:rPr>
          <w:rFonts w:asciiTheme="minorHAnsi" w:eastAsia="Calibri" w:hAnsiTheme="minorHAnsi" w:cstheme="minorHAnsi"/>
        </w:rPr>
        <w:lastRenderedPageBreak/>
        <w:t>el IGV, de acuerdo con el Capítulo XIV del Contrato de Concesión. El CONCEDENTE dará las instrucciones al Fiduciario para que éste efectúe el pago correspondiente al Supervisor, de acuerdo con lo estipulado en el contrato de supervisión.</w:t>
      </w:r>
    </w:p>
    <w:p w14:paraId="0BDD855E" w14:textId="3D4A8D71" w:rsidR="007A088C" w:rsidRPr="00285D58" w:rsidRDefault="007A088C" w:rsidP="00A3732C">
      <w:pPr>
        <w:widowControl/>
        <w:numPr>
          <w:ilvl w:val="0"/>
          <w:numId w:val="58"/>
        </w:numPr>
        <w:spacing w:before="240"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Solución de Controversias: </w:t>
      </w:r>
      <w:r w:rsidR="008D721B" w:rsidRPr="00285D58">
        <w:rPr>
          <w:rFonts w:asciiTheme="minorHAnsi" w:eastAsia="Calibri" w:hAnsiTheme="minorHAnsi" w:cstheme="minorHAnsi"/>
        </w:rPr>
        <w:t xml:space="preserve">Cuenta del Fideicomiso de Administración en la que </w:t>
      </w:r>
      <w:r w:rsidR="003A25DE" w:rsidRPr="00285D58">
        <w:rPr>
          <w:rFonts w:asciiTheme="minorHAnsi" w:eastAsia="Calibri" w:hAnsiTheme="minorHAnsi" w:cstheme="minorHAnsi"/>
        </w:rPr>
        <w:t>el Concesionario</w:t>
      </w:r>
      <w:r w:rsidR="008D721B" w:rsidRPr="00285D58">
        <w:rPr>
          <w:rFonts w:asciiTheme="minorHAnsi" w:eastAsia="Calibri" w:hAnsiTheme="minorHAnsi" w:cstheme="minorHAnsi"/>
        </w:rPr>
        <w:t xml:space="preserve"> </w:t>
      </w:r>
      <w:r w:rsidRPr="00285D58">
        <w:rPr>
          <w:rFonts w:asciiTheme="minorHAnsi" w:eastAsia="Calibri" w:hAnsiTheme="minorHAnsi" w:cstheme="minorHAnsi"/>
        </w:rPr>
        <w:t xml:space="preserve">depositará los recursos que servirán para </w:t>
      </w:r>
      <w:r w:rsidR="008D721B" w:rsidRPr="00285D58">
        <w:rPr>
          <w:rFonts w:asciiTheme="minorHAnsi" w:eastAsia="Calibri" w:hAnsiTheme="minorHAnsi" w:cstheme="minorHAnsi"/>
        </w:rPr>
        <w:t>remuneración de la Junta de Resolución de Disputas</w:t>
      </w:r>
      <w:r w:rsidRPr="00285D58">
        <w:rPr>
          <w:rFonts w:asciiTheme="minorHAnsi" w:eastAsia="Calibri" w:hAnsiTheme="minorHAnsi" w:cstheme="minorHAnsi"/>
        </w:rPr>
        <w:t xml:space="preserve">, incluido </w:t>
      </w:r>
      <w:r w:rsidR="008D721B" w:rsidRPr="00285D58">
        <w:rPr>
          <w:rFonts w:asciiTheme="minorHAnsi" w:eastAsia="Calibri" w:hAnsiTheme="minorHAnsi" w:cstheme="minorHAnsi"/>
        </w:rPr>
        <w:t>impuestos</w:t>
      </w:r>
      <w:r w:rsidRPr="00285D58">
        <w:rPr>
          <w:rFonts w:asciiTheme="minorHAnsi" w:eastAsia="Calibri" w:hAnsiTheme="minorHAnsi" w:cstheme="minorHAnsi"/>
        </w:rPr>
        <w:t>, de acuerdo con el Capítulo XV</w:t>
      </w:r>
      <w:r w:rsidR="008D721B" w:rsidRPr="00285D58">
        <w:rPr>
          <w:rFonts w:asciiTheme="minorHAnsi" w:eastAsia="Calibri" w:hAnsiTheme="minorHAnsi" w:cstheme="minorHAnsi"/>
        </w:rPr>
        <w:t>II</w:t>
      </w:r>
      <w:r w:rsidRPr="00285D58">
        <w:rPr>
          <w:rFonts w:asciiTheme="minorHAnsi" w:eastAsia="Calibri" w:hAnsiTheme="minorHAnsi" w:cstheme="minorHAnsi"/>
        </w:rPr>
        <w:t xml:space="preserve"> del Contrato de Concesión. El CONCEDENTE dará las instrucciones al Fiduciario para que éste efectúe el pago correspondiente </w:t>
      </w:r>
      <w:r w:rsidR="008D721B" w:rsidRPr="00285D58">
        <w:rPr>
          <w:rFonts w:asciiTheme="minorHAnsi" w:eastAsia="Calibri" w:hAnsiTheme="minorHAnsi" w:cstheme="minorHAnsi"/>
        </w:rPr>
        <w:t>a la Junta de Resolución de Disputas</w:t>
      </w:r>
      <w:r w:rsidRPr="00285D58">
        <w:rPr>
          <w:rFonts w:asciiTheme="minorHAnsi" w:eastAsia="Calibri" w:hAnsiTheme="minorHAnsi" w:cstheme="minorHAnsi"/>
        </w:rPr>
        <w:t xml:space="preserve">, de acuerdo con lo estipulado en el </w:t>
      </w:r>
      <w:r w:rsidR="008D721B" w:rsidRPr="00285D58">
        <w:rPr>
          <w:rFonts w:asciiTheme="minorHAnsi" w:eastAsia="Calibri" w:hAnsiTheme="minorHAnsi" w:cstheme="minorHAnsi"/>
        </w:rPr>
        <w:t>C</w:t>
      </w:r>
      <w:r w:rsidRPr="00285D58">
        <w:rPr>
          <w:rFonts w:asciiTheme="minorHAnsi" w:eastAsia="Calibri" w:hAnsiTheme="minorHAnsi" w:cstheme="minorHAnsi"/>
        </w:rPr>
        <w:t xml:space="preserve">ontrato </w:t>
      </w:r>
      <w:r w:rsidR="008D721B" w:rsidRPr="00285D58">
        <w:rPr>
          <w:rFonts w:asciiTheme="minorHAnsi" w:eastAsia="Calibri" w:hAnsiTheme="minorHAnsi" w:cstheme="minorHAnsi"/>
        </w:rPr>
        <w:t>Tripartito</w:t>
      </w:r>
      <w:r w:rsidRPr="00285D58">
        <w:rPr>
          <w:rFonts w:asciiTheme="minorHAnsi" w:eastAsia="Calibri" w:hAnsiTheme="minorHAnsi" w:cstheme="minorHAnsi"/>
        </w:rPr>
        <w:t>.</w:t>
      </w:r>
    </w:p>
    <w:p w14:paraId="40555BA4" w14:textId="461D9B7F"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Garantías: </w:t>
      </w:r>
      <w:r w:rsidRPr="00285D58">
        <w:rPr>
          <w:rFonts w:asciiTheme="minorHAnsi" w:eastAsia="Calibri" w:hAnsiTheme="minorHAnsi" w:cstheme="minorHAnsi"/>
        </w:rPr>
        <w:t>Cuenta del Fideicomiso de Administración en la que se depositarán los recursos provenientes de la ejecución total de las Garantías de Fiel Cumplimiento del Contrato, si es que hubiese.</w:t>
      </w:r>
    </w:p>
    <w:p w14:paraId="25A9723B" w14:textId="77777777"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Penalidades: </w:t>
      </w:r>
      <w:r w:rsidRPr="00285D58">
        <w:rPr>
          <w:rFonts w:asciiTheme="minorHAnsi" w:eastAsia="Calibri" w:hAnsiTheme="minorHAnsi" w:cstheme="minorHAnsi"/>
        </w:rPr>
        <w:t>Cuenta del Fideicomiso de Administración en la que se depositarán los recursos provenientes de la aplicación de penalidades según lo dispuesto en el Contrato de Concesión.</w:t>
      </w:r>
    </w:p>
    <w:p w14:paraId="708FF821" w14:textId="77777777" w:rsidR="004A2CCE" w:rsidRPr="00285D58" w:rsidRDefault="004A2CCE" w:rsidP="00A3732C">
      <w:pPr>
        <w:widowControl/>
        <w:numPr>
          <w:ilvl w:val="0"/>
          <w:numId w:val="58"/>
        </w:numPr>
        <w:spacing w:after="160" w:line="276" w:lineRule="auto"/>
        <w:jc w:val="both"/>
        <w:rPr>
          <w:rFonts w:asciiTheme="minorHAnsi" w:eastAsia="Calibri" w:hAnsiTheme="minorHAnsi" w:cstheme="minorHAnsi"/>
        </w:rPr>
      </w:pPr>
      <w:r w:rsidRPr="00285D58">
        <w:rPr>
          <w:rFonts w:asciiTheme="minorHAnsi" w:eastAsia="Calibri" w:hAnsiTheme="minorHAnsi" w:cstheme="minorHAnsi"/>
          <w:b/>
        </w:rPr>
        <w:t xml:space="preserve">Cuenta Seguros: </w:t>
      </w:r>
      <w:r w:rsidRPr="00285D58">
        <w:rPr>
          <w:rFonts w:asciiTheme="minorHAnsi" w:eastAsia="Calibri" w:hAnsiTheme="minorHAnsi" w:cstheme="minorHAnsi"/>
        </w:rPr>
        <w:t xml:space="preserve">Cuenta del Fideicomiso de Administración en la que se depositarán los recursos provenientes de la aplicación de los seguros. </w:t>
      </w:r>
    </w:p>
    <w:p w14:paraId="1538D685" w14:textId="00481897" w:rsidR="003C3A5F" w:rsidRPr="00285D58" w:rsidRDefault="003C3A5F"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existan excedentes en la Cuenta Supervisión luego del pago al Supervisor o recursos disponibles en la Cuenta Penalidades o recursos en la Cuenta Ingresos Tarifarios, estos serán transferidos al CONCEDENTE.</w:t>
      </w:r>
    </w:p>
    <w:p w14:paraId="049147D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Liberación de responsabilidad del Fiduciario</w:t>
      </w:r>
    </w:p>
    <w:p w14:paraId="547CC277"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ningún caso el Fiduciario será responsable frente al Fideicomitente y al Fideicomisario, por la falta de recursos disponibles en cada una de las cuentas del Fideicomiso de Administración.</w:t>
      </w:r>
    </w:p>
    <w:p w14:paraId="513D2925"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Instrucciones adicionales</w:t>
      </w:r>
    </w:p>
    <w:p w14:paraId="3260491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la ocurrencia de algún evento que impida el correcto cumplimiento de las instrucciones ya establecidas en el contrato de Fideicomiso de Administración, se autorizará al CONCEDENTE para la emisión al Fiduciario de las instrucciones adicionales necesarias para el correcto cumplimiento de las obligaciones previstas.</w:t>
      </w:r>
    </w:p>
    <w:p w14:paraId="32E07FE6"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Terminación del Fideicomiso de Administración</w:t>
      </w:r>
    </w:p>
    <w:p w14:paraId="43AFE8EA" w14:textId="77777777" w:rsidR="003C3A5F" w:rsidRPr="00285D58" w:rsidRDefault="003C3A5F" w:rsidP="003C3A5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terminará a los dos (2) años posteriores a la fecha del vencimiento del plazo de la Concesión; así como, por aquellas otras causas usualmente previstas en contratos de fideicomisos similares en el Perú y en la Ley de Bancos del Perú o norma que la modifique o sustituya.</w:t>
      </w:r>
    </w:p>
    <w:p w14:paraId="760C386E" w14:textId="4E872210" w:rsidR="003C3A5F" w:rsidRPr="00285D58" w:rsidRDefault="003C3A5F" w:rsidP="003C3A5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lastRenderedPageBreak/>
        <w:t>En caso se produzca la terminación anticipada del Contrato de Concesión, el Fideicomiso de Administración se mantendrá vigente hasta por el plazo de seis (6) meses posteriores al último pago del PPD1 según lo establecido en el Literal b) de la Cláusula 16.11.4.</w:t>
      </w:r>
    </w:p>
    <w:p w14:paraId="75996B3B"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Renuncia del Fiduciario</w:t>
      </w:r>
    </w:p>
    <w:p w14:paraId="19B3A6AE"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renuncia del Fiduciario se aplicarán las reglas de la Ley de Bancos del Perú o norma que la modifique o sustituya.</w:t>
      </w:r>
    </w:p>
    <w:p w14:paraId="1C0E1896"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Honorarios del Fiduciario</w:t>
      </w:r>
    </w:p>
    <w:p w14:paraId="63D1EEE2"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Los honorarios del Fiduciario serán de cuenta y cargo del CONCESIONARIO.</w:t>
      </w:r>
    </w:p>
    <w:p w14:paraId="07C63D61"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Leyes y Disposiciones Aplicables</w:t>
      </w:r>
    </w:p>
    <w:p w14:paraId="5B2D6D95" w14:textId="7207C5B8"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marco normativo aplicable al Fideicomiso de Administración será el </w:t>
      </w:r>
      <w:r w:rsidR="00D55B7A" w:rsidRPr="00285D58">
        <w:rPr>
          <w:rFonts w:asciiTheme="minorHAnsi" w:eastAsia="Calibri" w:hAnsiTheme="minorHAnsi" w:cstheme="minorHAnsi"/>
        </w:rPr>
        <w:t>peruano</w:t>
      </w:r>
      <w:r w:rsidRPr="00285D58">
        <w:rPr>
          <w:rFonts w:asciiTheme="minorHAnsi" w:eastAsia="Calibri" w:hAnsiTheme="minorHAnsi" w:cstheme="minorHAnsi"/>
        </w:rPr>
        <w:t>.</w:t>
      </w:r>
    </w:p>
    <w:p w14:paraId="78D1C19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t>Plazo de constitución del Fideicomiso de Administración</w:t>
      </w:r>
    </w:p>
    <w:p w14:paraId="59A9159D" w14:textId="60A6283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CONCEDENTE deberá pronunciarse respecto del proyecto de contrato de Fideicomiso de Administración entregado por el CONCESIONARIO en la Fecha de Cierre, previa opinión del Supervisor, en el plazo máximo de treinta (30) Días Calendario.</w:t>
      </w:r>
    </w:p>
    <w:p w14:paraId="46AF0F96" w14:textId="18B6A270" w:rsidR="004A2CCE" w:rsidRPr="00285D58" w:rsidRDefault="00D55B7A"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En caso de que</w:t>
      </w:r>
      <w:r w:rsidR="004A2CCE" w:rsidRPr="00285D58">
        <w:rPr>
          <w:rFonts w:asciiTheme="minorHAnsi" w:eastAsia="Calibri" w:hAnsiTheme="minorHAnsi" w:cstheme="minorHAnsi"/>
        </w:rPr>
        <w:t xml:space="preserve"> el CONCEDENTE formule observaciones, el CONCESIONARIO deberá subsanarlas en un plazo no mayor de quince (15) Días Calendario de recibida la notificación de observaciones, debiendo remitir las subsanaciones al CONCEDENTE con copia al Supervisor. En este caso el CONCEDENTE dispondrá de un plazo máximo de quince (15) Días Calendario para su pronunciamiento.</w:t>
      </w:r>
    </w:p>
    <w:p w14:paraId="44F5C861"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 xml:space="preserve">Transcurridos los plazos a los que se refieren los párrafos anteriores, según sea el caso, el proyecto de contrato de Fideicomiso de Administración será remitido para opinión del Ministerio de Economía y Finanzas, de conformidad con lo dispuesto en el artículo 116  del </w:t>
      </w:r>
      <w:r w:rsidRPr="00285D58">
        <w:rPr>
          <w:rFonts w:asciiTheme="minorHAnsi" w:hAnsiTheme="minorHAnsi" w:cstheme="minorHAnsi"/>
          <w:lang w:val="es-PE"/>
        </w:rPr>
        <w:t>Texto Único Ordenado del Decreto Legislativo N° 1362, aprobado por Decreto Supremo N° 195-2023-EF</w:t>
      </w:r>
      <w:r w:rsidRPr="00285D58">
        <w:rPr>
          <w:rFonts w:asciiTheme="minorHAnsi" w:eastAsia="Calibri" w:hAnsiTheme="minorHAnsi" w:cstheme="minorHAnsi"/>
        </w:rPr>
        <w:t>. Contando con la opinión favorable del Ministerio de Economía y Finanzas, las partes procederán con la correspondiente suscripción del contrato de fideicomiso.</w:t>
      </w:r>
    </w:p>
    <w:p w14:paraId="241517BE"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Posteriormente, el CONCESIONARIO deberá remitir al CONCEDENTE, el contrato de Fideicomiso de Administración suscrito por sus representantes debidamente acreditados para la correspondiente suscripción por parte del CONCEDENTE. El CONCESIONARIO deberá realizar las gestiones que conlleve la legalización notarial e inscripción del contrato en los Registros Públicos.</w:t>
      </w:r>
    </w:p>
    <w:p w14:paraId="583C9A15"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Fideicomiso de Administración deberá estar constituido como máximo a la fecha de acreditación del Cierre Financiero.</w:t>
      </w:r>
    </w:p>
    <w:p w14:paraId="27EFEB1A" w14:textId="77777777"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contrato de Fideicomiso de Administración podrá permitir la inclusión de aquellas estipulaciones que requieran los Acreedores Permitidos siempre que no se contrapongan a los lineamientos señalados en el presente Anexo y en el Contrato de Concesión.</w:t>
      </w:r>
    </w:p>
    <w:p w14:paraId="3A1B0542" w14:textId="77777777" w:rsidR="004A2CCE" w:rsidRPr="00285D58" w:rsidRDefault="004A2CCE" w:rsidP="00A3732C">
      <w:pPr>
        <w:keepNext/>
        <w:keepLines/>
        <w:widowControl/>
        <w:numPr>
          <w:ilvl w:val="2"/>
          <w:numId w:val="56"/>
        </w:numPr>
        <w:spacing w:before="240" w:after="120" w:line="276" w:lineRule="auto"/>
        <w:ind w:left="426" w:hanging="426"/>
        <w:jc w:val="both"/>
        <w:rPr>
          <w:rFonts w:asciiTheme="minorHAnsi" w:eastAsia="Calibri" w:hAnsiTheme="minorHAnsi" w:cstheme="minorHAnsi"/>
          <w:b/>
        </w:rPr>
      </w:pPr>
      <w:r w:rsidRPr="00285D58">
        <w:rPr>
          <w:rFonts w:asciiTheme="minorHAnsi" w:eastAsia="Calibri" w:hAnsiTheme="minorHAnsi" w:cstheme="minorHAnsi"/>
          <w:b/>
        </w:rPr>
        <w:lastRenderedPageBreak/>
        <w:t>Registro y comunicaciones</w:t>
      </w:r>
    </w:p>
    <w:p w14:paraId="196E6A0E" w14:textId="3A8B1BC0" w:rsidR="004A2CCE" w:rsidRPr="00285D58" w:rsidRDefault="004A2CCE" w:rsidP="008D1FFF">
      <w:pPr>
        <w:widowControl/>
        <w:spacing w:after="160" w:line="276" w:lineRule="auto"/>
        <w:jc w:val="both"/>
        <w:rPr>
          <w:rFonts w:asciiTheme="minorHAnsi" w:eastAsia="Calibri" w:hAnsiTheme="minorHAnsi" w:cstheme="minorHAnsi"/>
        </w:rPr>
      </w:pPr>
      <w:r w:rsidRPr="00285D58">
        <w:rPr>
          <w:rFonts w:asciiTheme="minorHAnsi" w:eastAsia="Calibri" w:hAnsiTheme="minorHAnsi" w:cstheme="minorHAnsi"/>
        </w:rPr>
        <w:t>El contrato de Fideicomiso de Administración podrá contener un registro de los titulares de derecho de cobro conforme al procedimiento y forma que se establecerán en el contrato de Fideicomiso de Administración.</w:t>
      </w:r>
    </w:p>
    <w:p w14:paraId="3BE74FD6" w14:textId="5596A888"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2" w:name="_heading=h.48pi1tg" w:colFirst="0" w:colLast="0"/>
      <w:bookmarkStart w:id="333" w:name="_Toc193979297"/>
      <w:bookmarkEnd w:id="332"/>
      <w:r w:rsidRPr="00285D58">
        <w:rPr>
          <w:rFonts w:asciiTheme="minorHAnsi" w:eastAsia="Calibri" w:hAnsiTheme="minorHAnsi" w:cstheme="minorHAnsi"/>
          <w:b/>
          <w:color w:val="1F4E79"/>
          <w:sz w:val="22"/>
          <w:szCs w:val="22"/>
        </w:rPr>
        <w:t>ANEXO 11- APÉNDICE 3 - PROCEDIMIENTO DE CÁLCULO DE DEDUCCIONES</w:t>
      </w:r>
      <w:bookmarkEnd w:id="333"/>
    </w:p>
    <w:p w14:paraId="33EE99C9" w14:textId="77777777" w:rsidR="004A2CCE" w:rsidRPr="00285D58" w:rsidRDefault="004A2CCE" w:rsidP="00A3732C">
      <w:pPr>
        <w:keepNext/>
        <w:keepLines/>
        <w:widowControl/>
        <w:numPr>
          <w:ilvl w:val="0"/>
          <w:numId w:val="62"/>
        </w:numPr>
        <w:spacing w:before="240" w:after="120" w:line="276" w:lineRule="auto"/>
        <w:jc w:val="both"/>
        <w:rPr>
          <w:rFonts w:asciiTheme="minorHAnsi" w:eastAsia="Calibri" w:hAnsiTheme="minorHAnsi" w:cstheme="minorHAnsi"/>
          <w:b/>
        </w:rPr>
      </w:pPr>
      <w:r w:rsidRPr="00285D58">
        <w:rPr>
          <w:rFonts w:asciiTheme="minorHAnsi" w:eastAsia="Calibri" w:hAnsiTheme="minorHAnsi" w:cstheme="minorHAnsi"/>
          <w:b/>
        </w:rPr>
        <w:t>Puntaje trimestral de los indicadores</w:t>
      </w:r>
    </w:p>
    <w:p w14:paraId="638E9413" w14:textId="77777777" w:rsidR="004A2CCE" w:rsidRPr="00285D58" w:rsidRDefault="004A2CCE" w:rsidP="00A3732C">
      <w:pPr>
        <w:widowControl/>
        <w:numPr>
          <w:ilvl w:val="0"/>
          <w:numId w:val="65"/>
        </w:numPr>
        <w:spacing w:line="276" w:lineRule="auto"/>
        <w:jc w:val="both"/>
        <w:rPr>
          <w:rFonts w:asciiTheme="minorHAnsi" w:eastAsia="Calibri" w:hAnsiTheme="minorHAnsi" w:cstheme="minorHAnsi"/>
        </w:rPr>
      </w:pPr>
      <w:r w:rsidRPr="00285D58">
        <w:rPr>
          <w:rFonts w:asciiTheme="minorHAnsi" w:eastAsia="Calibri" w:hAnsiTheme="minorHAnsi" w:cstheme="minorHAnsi"/>
        </w:rPr>
        <w:t xml:space="preserve">El Pago por Disponibilidad Deducible (PPD1_DE y PPD2_DE) de cada </w:t>
      </w:r>
      <w:r w:rsidRPr="00285D58">
        <w:rPr>
          <w:rFonts w:asciiTheme="minorHAnsi" w:eastAsia="Calibri" w:hAnsiTheme="minorHAnsi" w:cstheme="minorHAnsi"/>
          <w:color w:val="000000"/>
        </w:rPr>
        <w:t xml:space="preserve">Componente </w:t>
      </w:r>
      <w:r w:rsidRPr="00285D58">
        <w:rPr>
          <w:rFonts w:asciiTheme="minorHAnsi" w:eastAsia="Calibri" w:hAnsiTheme="minorHAnsi" w:cstheme="minorHAnsi"/>
        </w:rPr>
        <w:t>será trimestral, por lo que se deberá estimar para cada indicador de los Niveles de Servicio un Puntaje trimestral.</w:t>
      </w:r>
    </w:p>
    <w:p w14:paraId="2375AF89" w14:textId="77777777" w:rsidR="004A2CCE" w:rsidRPr="00285D58" w:rsidRDefault="004A2CCE" w:rsidP="008D1FFF">
      <w:pPr>
        <w:spacing w:before="240" w:after="240" w:line="276" w:lineRule="auto"/>
        <w:ind w:left="720"/>
        <w:jc w:val="both"/>
        <w:rPr>
          <w:rFonts w:asciiTheme="minorHAnsi" w:eastAsia="Calibri" w:hAnsiTheme="minorHAnsi" w:cstheme="minorHAnsi"/>
        </w:rPr>
      </w:pPr>
      <w:r w:rsidRPr="00285D58">
        <w:rPr>
          <w:rFonts w:asciiTheme="minorHAnsi" w:eastAsia="Calibri" w:hAnsiTheme="minorHAnsi" w:cstheme="minorHAnsi"/>
        </w:rPr>
        <w:t xml:space="preserve">El Pago por Disponibilidad Deducible, corresponde al definido en el numeral 11 del Apéndice 1 del presente Anexo. </w:t>
      </w:r>
    </w:p>
    <w:p w14:paraId="74DBE1B9" w14:textId="77777777" w:rsidR="004A2CCE" w:rsidRPr="00285D58" w:rsidRDefault="004A2CCE" w:rsidP="008D1FFF">
      <w:pPr>
        <w:spacing w:line="276" w:lineRule="auto"/>
        <w:ind w:left="714"/>
        <w:jc w:val="both"/>
        <w:rPr>
          <w:rFonts w:asciiTheme="minorHAnsi" w:eastAsia="Calibri" w:hAnsiTheme="minorHAnsi" w:cstheme="minorHAnsi"/>
        </w:rPr>
      </w:pPr>
      <w:r w:rsidRPr="00285D58">
        <w:rPr>
          <w:rFonts w:asciiTheme="minorHAnsi" w:eastAsia="Calibri" w:hAnsiTheme="minorHAnsi" w:cstheme="minorHAnsi"/>
        </w:rPr>
        <w:t>El Puntaje trimestral de cada indicador se obtendrá según la siguiente fórmula:</w:t>
      </w:r>
    </w:p>
    <w:p w14:paraId="326F76EF" w14:textId="77777777" w:rsidR="004A2CCE" w:rsidRPr="00285D58" w:rsidRDefault="004A2CCE" w:rsidP="008D1FFF">
      <w:pPr>
        <w:spacing w:line="276" w:lineRule="auto"/>
        <w:ind w:left="714"/>
        <w:jc w:val="both"/>
        <w:rPr>
          <w:rFonts w:asciiTheme="minorHAnsi" w:eastAsia="Calibri" w:hAnsiTheme="minorHAnsi" w:cstheme="minorHAnsi"/>
        </w:rPr>
      </w:pPr>
    </w:p>
    <w:p w14:paraId="79328B0F" w14:textId="77777777" w:rsidR="004A2CCE" w:rsidRPr="00285D58" w:rsidRDefault="00000000" w:rsidP="008D1FFF">
      <w:pPr>
        <w:spacing w:line="276" w:lineRule="auto"/>
        <w:ind w:left="720"/>
        <w:jc w:val="center"/>
        <w:rPr>
          <w:rFonts w:asciiTheme="minorHAnsi" w:eastAsia="Calibri" w:hAnsiTheme="minorHAnsi" w:cstheme="minorHAnsi"/>
        </w:rPr>
      </w:pPr>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r>
              <w:rPr>
                <w:rFonts w:ascii="Cambria Math" w:eastAsia="Cambria Math" w:hAnsi="Cambria Math" w:cstheme="minorHAnsi"/>
              </w:rPr>
              <m:t>Promedio (IdxServ_ind</m:t>
            </m:r>
          </m:e>
          <m:sub>
            <m:r>
              <w:rPr>
                <w:rFonts w:ascii="Cambria Math" w:eastAsia="Cambria Math" w:hAnsi="Cambria Math" w:cstheme="minorHAnsi"/>
              </w:rPr>
              <m:t>f,j,i,s</m:t>
            </m:r>
          </m:sub>
        </m:sSub>
      </m:oMath>
      <w:r w:rsidR="004A2CCE" w:rsidRPr="00285D58">
        <w:rPr>
          <w:rFonts w:asciiTheme="minorHAnsi" w:eastAsia="Calibri" w:hAnsiTheme="minorHAnsi" w:cstheme="minorHAnsi"/>
        </w:rPr>
        <w:t>)</w:t>
      </w:r>
    </w:p>
    <w:p w14:paraId="230DAF4B" w14:textId="77777777" w:rsidR="004A2CCE" w:rsidRPr="00285D58" w:rsidRDefault="004A2CCE" w:rsidP="008D1FFF">
      <w:pPr>
        <w:spacing w:after="200" w:line="276" w:lineRule="auto"/>
        <w:ind w:firstLine="851"/>
        <w:jc w:val="both"/>
        <w:rPr>
          <w:rFonts w:asciiTheme="minorHAnsi" w:eastAsia="Calibri" w:hAnsiTheme="minorHAnsi" w:cstheme="minorHAnsi"/>
          <w:color w:val="000000"/>
        </w:rPr>
      </w:pPr>
      <w:r w:rsidRPr="00285D58">
        <w:rPr>
          <w:rFonts w:asciiTheme="minorHAnsi" w:eastAsia="Calibri" w:hAnsiTheme="minorHAnsi" w:cstheme="minorHAnsi"/>
          <w:color w:val="000000"/>
        </w:rPr>
        <w:t>Donde:</w:t>
      </w:r>
    </w:p>
    <w:tbl>
      <w:tblPr>
        <w:tblStyle w:val="146"/>
        <w:tblW w:w="754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26"/>
        <w:gridCol w:w="5416"/>
      </w:tblGrid>
      <w:tr w:rsidR="004A2CCE" w:rsidRPr="00285D58" w14:paraId="727A0713" w14:textId="77777777" w:rsidTr="00242093">
        <w:trPr>
          <w:cantSplit/>
          <w:jc w:val="center"/>
        </w:trPr>
        <w:tc>
          <w:tcPr>
            <w:tcW w:w="2126" w:type="dxa"/>
            <w:shd w:val="clear" w:color="auto" w:fill="auto"/>
          </w:tcPr>
          <w:p w14:paraId="5F0A9900" w14:textId="77777777" w:rsidR="004A2CCE" w:rsidRPr="00285D58" w:rsidRDefault="00000000" w:rsidP="008D1FFF">
            <w:pPr>
              <w:spacing w:line="276" w:lineRule="auto"/>
              <w:rPr>
                <w:rFonts w:asciiTheme="minorHAnsi" w:eastAsia="Cambria Math" w:hAnsiTheme="minorHAnsi" w:cstheme="minorHAnsi"/>
                <w:smallCaps w:val="0"/>
              </w:rPr>
            </w:pPr>
            <m:oMathPara>
              <m:oMath>
                <m:sSub>
                  <m:sSubPr>
                    <m:ctrlPr>
                      <w:rPr>
                        <w:rFonts w:ascii="Cambria Math" w:eastAsia="Cambria Math" w:hAnsi="Cambria Math" w:cstheme="minorHAnsi"/>
                        <w:smallCaps w:val="0"/>
                      </w:rPr>
                    </m:ctrlPr>
                  </m:sSubPr>
                  <m:e>
                    <m:r>
                      <w:rPr>
                        <w:rFonts w:ascii="Cambria Math" w:eastAsia="Cambria Math" w:hAnsi="Cambria Math" w:cstheme="minorHAnsi"/>
                      </w:rPr>
                      <m:t>IdxServ_ind</m:t>
                    </m:r>
                  </m:e>
                  <m:sub>
                    <m:r>
                      <w:rPr>
                        <w:rFonts w:ascii="Cambria Math" w:eastAsia="Cambria Math" w:hAnsi="Cambria Math" w:cstheme="minorHAnsi"/>
                      </w:rPr>
                      <m:t>t,j,i,s:</m:t>
                    </m:r>
                  </m:sub>
                </m:sSub>
              </m:oMath>
            </m:oMathPara>
          </w:p>
        </w:tc>
        <w:tc>
          <w:tcPr>
            <w:tcW w:w="5416" w:type="dxa"/>
            <w:shd w:val="clear" w:color="auto" w:fill="auto"/>
          </w:tcPr>
          <w:p w14:paraId="349C7D27" w14:textId="77777777" w:rsidR="004A2CCE" w:rsidRPr="00285D58" w:rsidRDefault="004A2CCE" w:rsidP="008D1FFF">
            <w:pPr>
              <w:widowControl/>
              <w:spacing w:line="276" w:lineRule="auto"/>
              <w:ind w:left="161"/>
              <w:rPr>
                <w:rFonts w:asciiTheme="minorHAnsi" w:eastAsia="Calibri" w:hAnsiTheme="minorHAnsi" w:cstheme="minorHAnsi"/>
                <w:smallCaps w:val="0"/>
              </w:rPr>
            </w:pPr>
            <w:r w:rsidRPr="00285D58">
              <w:rPr>
                <w:rFonts w:asciiTheme="minorHAnsi" w:eastAsia="Calibri" w:hAnsiTheme="minorHAnsi" w:cstheme="minorHAnsi"/>
              </w:rPr>
              <w:t>Puntaje para el Componente «j» en el trimestre «t» para el Indicador «i» del Nivel de Servicio «s».</w:t>
            </w:r>
          </w:p>
        </w:tc>
      </w:tr>
      <w:tr w:rsidR="004A2CCE" w:rsidRPr="00285D58" w14:paraId="6503FCB4" w14:textId="77777777" w:rsidTr="00242093">
        <w:trPr>
          <w:cantSplit/>
          <w:jc w:val="center"/>
        </w:trPr>
        <w:tc>
          <w:tcPr>
            <w:tcW w:w="2126" w:type="dxa"/>
            <w:shd w:val="clear" w:color="auto" w:fill="auto"/>
          </w:tcPr>
          <w:p w14:paraId="4E6E4FCC" w14:textId="77777777" w:rsidR="004A2CCE" w:rsidRPr="00285D58" w:rsidRDefault="00000000" w:rsidP="008D1FFF">
            <w:pPr>
              <w:spacing w:line="276" w:lineRule="auto"/>
              <w:rPr>
                <w:rFonts w:asciiTheme="minorHAnsi" w:eastAsia="Cambria Math" w:hAnsiTheme="minorHAnsi" w:cstheme="minorHAnsi"/>
                <w:smallCaps w:val="0"/>
              </w:rPr>
            </w:pPr>
            <m:oMathPara>
              <m:oMath>
                <m:sSub>
                  <m:sSubPr>
                    <m:ctrlPr>
                      <w:rPr>
                        <w:rFonts w:ascii="Cambria Math" w:eastAsia="Cambria Math" w:hAnsi="Cambria Math" w:cstheme="minorHAnsi"/>
                        <w:smallCaps w:val="0"/>
                      </w:rPr>
                    </m:ctrlPr>
                  </m:sSubPr>
                  <m:e>
                    <m:r>
                      <w:rPr>
                        <w:rFonts w:ascii="Cambria Math" w:eastAsia="Cambria Math" w:hAnsi="Cambria Math" w:cstheme="minorHAnsi"/>
                      </w:rPr>
                      <m:t>IdxServ_ind</m:t>
                    </m:r>
                  </m:e>
                  <m:sub>
                    <m:r>
                      <w:rPr>
                        <w:rFonts w:ascii="Cambria Math" w:eastAsia="Cambria Math" w:hAnsi="Cambria Math" w:cstheme="minorHAnsi"/>
                      </w:rPr>
                      <m:t>f,j,i,s:</m:t>
                    </m:r>
                  </m:sub>
                </m:sSub>
              </m:oMath>
            </m:oMathPara>
          </w:p>
        </w:tc>
        <w:tc>
          <w:tcPr>
            <w:tcW w:w="5416" w:type="dxa"/>
            <w:shd w:val="clear" w:color="auto" w:fill="auto"/>
          </w:tcPr>
          <w:p w14:paraId="78F83486" w14:textId="77777777" w:rsidR="004A2CCE" w:rsidRPr="00285D58" w:rsidRDefault="004A2CCE" w:rsidP="008D1FFF">
            <w:pPr>
              <w:widowControl/>
              <w:spacing w:line="276" w:lineRule="auto"/>
              <w:ind w:left="161"/>
              <w:rPr>
                <w:rFonts w:asciiTheme="minorHAnsi" w:eastAsia="Calibri" w:hAnsiTheme="minorHAnsi" w:cstheme="minorHAnsi"/>
                <w:smallCaps w:val="0"/>
              </w:rPr>
            </w:pPr>
            <w:r w:rsidRPr="00285D58">
              <w:rPr>
                <w:rFonts w:asciiTheme="minorHAnsi" w:eastAsia="Calibri" w:hAnsiTheme="minorHAnsi" w:cstheme="minorHAnsi"/>
              </w:rPr>
              <w:t>Puntaje para el Componente «j» en el periodo de medición «f» para el Indicador «i» del Nivel de Servicio «s».</w:t>
            </w:r>
          </w:p>
        </w:tc>
      </w:tr>
    </w:tbl>
    <w:p w14:paraId="65026153" w14:textId="77777777" w:rsidR="004A2CCE" w:rsidRPr="00285D58" w:rsidRDefault="004A2CCE" w:rsidP="008D1FFF">
      <w:pPr>
        <w:spacing w:line="276" w:lineRule="auto"/>
        <w:ind w:left="567"/>
        <w:jc w:val="both"/>
        <w:rPr>
          <w:rFonts w:asciiTheme="minorHAnsi" w:eastAsia="Calibri" w:hAnsiTheme="minorHAnsi" w:cstheme="minorHAnsi"/>
          <w:b/>
          <w:smallCaps/>
        </w:rPr>
      </w:pPr>
    </w:p>
    <w:p w14:paraId="275CA87C" w14:textId="77777777" w:rsidR="004A2CCE" w:rsidRPr="00285D58" w:rsidRDefault="004A2CCE" w:rsidP="008D1FFF">
      <w:pPr>
        <w:spacing w:after="200" w:line="276" w:lineRule="auto"/>
        <w:ind w:left="851"/>
        <w:jc w:val="both"/>
        <w:rPr>
          <w:rFonts w:asciiTheme="minorHAnsi" w:eastAsia="Calibri" w:hAnsiTheme="minorHAnsi" w:cstheme="minorHAnsi"/>
          <w:color w:val="000000"/>
        </w:rPr>
      </w:pPr>
      <w:r w:rsidRPr="00285D58">
        <w:rPr>
          <w:rFonts w:asciiTheme="minorHAnsi" w:eastAsia="Calibri" w:hAnsiTheme="minorHAnsi" w:cstheme="minorHAnsi"/>
          <w:color w:val="000000"/>
        </w:rPr>
        <w:t>En caso de indicadores con frecuencia de medición trimestral el puntaje se obtendrá de la siguiente manera:</w:t>
      </w:r>
    </w:p>
    <w:p w14:paraId="28B87623" w14:textId="77777777" w:rsidR="004A2CCE" w:rsidRPr="00285D58" w:rsidRDefault="00000000" w:rsidP="008D1FFF">
      <w:pPr>
        <w:spacing w:line="276" w:lineRule="auto"/>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f,j,i,s</m:t>
              </m:r>
            </m:sub>
          </m:sSub>
        </m:oMath>
      </m:oMathPara>
    </w:p>
    <w:p w14:paraId="4798F56E" w14:textId="77777777" w:rsidR="004A2CCE" w:rsidRPr="00285D58" w:rsidRDefault="004A2CCE" w:rsidP="00A3732C">
      <w:pPr>
        <w:keepNext/>
        <w:keepLines/>
        <w:widowControl/>
        <w:numPr>
          <w:ilvl w:val="0"/>
          <w:numId w:val="62"/>
        </w:numPr>
        <w:spacing w:before="120" w:after="120" w:line="276" w:lineRule="auto"/>
        <w:jc w:val="both"/>
        <w:rPr>
          <w:rFonts w:asciiTheme="minorHAnsi" w:eastAsia="Calibri" w:hAnsiTheme="minorHAnsi" w:cstheme="minorHAnsi"/>
          <w:b/>
        </w:rPr>
      </w:pPr>
      <w:r w:rsidRPr="00285D58">
        <w:rPr>
          <w:rFonts w:asciiTheme="minorHAnsi" w:eastAsia="Calibri" w:hAnsiTheme="minorHAnsi" w:cstheme="minorHAnsi"/>
          <w:b/>
        </w:rPr>
        <w:t>Puntaje trimestral de los indicadores</w:t>
      </w:r>
    </w:p>
    <w:p w14:paraId="520C5932" w14:textId="77777777" w:rsidR="004A2CCE" w:rsidRPr="00285D58" w:rsidRDefault="004A2CCE" w:rsidP="00A3732C">
      <w:pPr>
        <w:widowControl/>
        <w:numPr>
          <w:ilvl w:val="0"/>
          <w:numId w:val="65"/>
        </w:numPr>
        <w:spacing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 xml:space="preserve">El resultado de las acciones que realiza el Supervisor para la obtención del Índice de Servicio del </w:t>
      </w:r>
      <w:r w:rsidRPr="00285D58">
        <w:rPr>
          <w:rFonts w:asciiTheme="minorHAnsi" w:eastAsia="Calibri" w:hAnsiTheme="minorHAnsi" w:cstheme="minorHAnsi"/>
          <w:color w:val="000000"/>
        </w:rPr>
        <w:t>Componente</w:t>
      </w:r>
      <w:r w:rsidRPr="00285D58">
        <w:rPr>
          <w:rFonts w:asciiTheme="minorHAnsi" w:eastAsia="Calibri" w:hAnsiTheme="minorHAnsi" w:cstheme="minorHAnsi"/>
        </w:rPr>
        <w:t xml:space="preserve"> «j» en el trimestre «t» (IdxServ</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resulta de la ponderación del índice de servicio de cada uno de los servicios, considerando su peso respectivo.</w:t>
      </w:r>
    </w:p>
    <w:p w14:paraId="3EC6C402" w14:textId="77777777" w:rsidR="004A2CCE" w:rsidRPr="00285D58" w:rsidRDefault="004A2CCE" w:rsidP="008D1FFF">
      <w:pPr>
        <w:widowControl/>
        <w:spacing w:line="276" w:lineRule="auto"/>
        <w:ind w:left="714"/>
        <w:jc w:val="both"/>
        <w:rPr>
          <w:rFonts w:asciiTheme="minorHAnsi" w:eastAsia="Calibri" w:hAnsiTheme="minorHAnsi" w:cstheme="minorHAnsi"/>
        </w:rPr>
      </w:pPr>
    </w:p>
    <w:p w14:paraId="6A5A4954" w14:textId="77777777" w:rsidR="004A2CCE" w:rsidRPr="00285D58" w:rsidRDefault="004A2CCE" w:rsidP="00A3732C">
      <w:pPr>
        <w:widowControl/>
        <w:numPr>
          <w:ilvl w:val="0"/>
          <w:numId w:val="65"/>
        </w:numPr>
        <w:spacing w:after="160"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Así, la estimación del IdxServ</w:t>
      </w:r>
      <w:r w:rsidRPr="00285D58">
        <w:rPr>
          <w:rFonts w:asciiTheme="minorHAnsi" w:eastAsia="Calibri" w:hAnsiTheme="minorHAnsi" w:cstheme="minorHAnsi"/>
          <w:vertAlign w:val="subscript"/>
        </w:rPr>
        <w:t>j,t</w:t>
      </w:r>
      <w:r w:rsidRPr="00285D58">
        <w:rPr>
          <w:rFonts w:asciiTheme="minorHAnsi" w:eastAsia="Calibri" w:hAnsiTheme="minorHAnsi" w:cstheme="minorHAnsi"/>
        </w:rPr>
        <w:t xml:space="preserve"> se realiza en función a la siguiente fórmula:</w:t>
      </w:r>
    </w:p>
    <w:p w14:paraId="24BC1C18" w14:textId="77777777" w:rsidR="004A2CCE" w:rsidRPr="00285D58" w:rsidRDefault="00000000" w:rsidP="008D1FFF">
      <w:pPr>
        <w:spacing w:line="276" w:lineRule="auto"/>
        <w:jc w:val="both"/>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m:t>
              </m:r>
            </m:e>
            <m:sub>
              <m:r>
                <w:rPr>
                  <w:rFonts w:ascii="Cambria Math" w:eastAsia="Cambria Math" w:hAnsi="Cambria Math" w:cstheme="minorHAnsi"/>
                </w:rPr>
                <m:t>t,j,i,s</m:t>
              </m:r>
            </m:sub>
          </m:sSub>
          <m:r>
            <w:rPr>
              <w:rFonts w:ascii="Cambria Math" w:eastAsia="Cambria Math" w:hAnsi="Cambria Math" w:cstheme="minorHAnsi"/>
            </w:rPr>
            <m:t>=</m:t>
          </m:r>
          <m:sSub>
            <m:sSubPr>
              <m:ctrlPr>
                <w:rPr>
                  <w:rFonts w:ascii="Cambria Math" w:eastAsia="Cambria Math" w:hAnsi="Cambria Math" w:cstheme="minorHAnsi"/>
                </w:rPr>
              </m:ctrlPr>
            </m:sSubPr>
            <m:e>
              <m:nary>
                <m:naryPr>
                  <m:chr m:val="∑"/>
                  <m:ctrlPr>
                    <w:rPr>
                      <w:rFonts w:ascii="Cambria Math" w:eastAsia="Cambria Math" w:hAnsi="Cambria Math" w:cstheme="minorHAnsi"/>
                    </w:rPr>
                  </m:ctrlPr>
                </m:naryPr>
                <m:sub>
                  <m:r>
                    <w:rPr>
                      <w:rFonts w:ascii="Cambria Math" w:eastAsia="Cambria Math" w:hAnsi="Cambria Math" w:cstheme="minorHAnsi"/>
                    </w:rPr>
                    <m:t>i=1</m:t>
                  </m:r>
                </m:sub>
                <m:sup>
                  <m:r>
                    <w:rPr>
                      <w:rFonts w:ascii="Cambria Math" w:eastAsia="Cambria Math" w:hAnsi="Cambria Math" w:cstheme="minorHAnsi"/>
                    </w:rPr>
                    <m:t>i</m:t>
                  </m:r>
                </m:sup>
                <m:e/>
              </m:nary>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r>
                <w:rPr>
                  <w:rFonts w:ascii="Cambria Math" w:eastAsia="Cambria Math" w:hAnsi="Cambria Math" w:cstheme="minorHAnsi"/>
                </w:rPr>
                <m:t>*Peso_Ind</m:t>
              </m:r>
            </m:e>
            <m:sub>
              <m:r>
                <w:rPr>
                  <w:rFonts w:ascii="Cambria Math" w:eastAsia="Cambria Math" w:hAnsi="Cambria Math" w:cstheme="minorHAnsi"/>
                </w:rPr>
                <m:t>s,i</m:t>
              </m:r>
            </m:sub>
          </m:sSub>
        </m:oMath>
      </m:oMathPara>
    </w:p>
    <w:p w14:paraId="5F8E92DE" w14:textId="77777777" w:rsidR="004A2CCE" w:rsidRPr="00285D58" w:rsidRDefault="004A2CCE" w:rsidP="008D1FFF">
      <w:pPr>
        <w:spacing w:line="276" w:lineRule="auto"/>
        <w:ind w:left="720"/>
        <w:jc w:val="both"/>
        <w:rPr>
          <w:rFonts w:asciiTheme="minorHAnsi" w:eastAsia="Calibri" w:hAnsiTheme="minorHAnsi" w:cstheme="minorHAnsi"/>
        </w:rPr>
      </w:pPr>
    </w:p>
    <w:p w14:paraId="7BA539CB" w14:textId="77777777" w:rsidR="004A2CCE" w:rsidRPr="00285D58" w:rsidRDefault="004A2CCE" w:rsidP="008D1FFF">
      <w:pPr>
        <w:spacing w:after="200" w:line="276" w:lineRule="auto"/>
        <w:ind w:left="720"/>
        <w:jc w:val="both"/>
        <w:rPr>
          <w:rFonts w:asciiTheme="minorHAnsi" w:eastAsia="Calibri" w:hAnsiTheme="minorHAnsi" w:cstheme="minorHAnsi"/>
          <w:color w:val="000000"/>
        </w:rPr>
      </w:pPr>
      <w:r w:rsidRPr="00285D58">
        <w:rPr>
          <w:rFonts w:asciiTheme="minorHAnsi" w:eastAsia="Calibri" w:hAnsiTheme="minorHAnsi" w:cstheme="minorHAnsi"/>
          <w:color w:val="000000"/>
        </w:rPr>
        <w:t>Donde:</w:t>
      </w:r>
    </w:p>
    <w:tbl>
      <w:tblPr>
        <w:tblStyle w:val="145"/>
        <w:tblW w:w="754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01"/>
        <w:gridCol w:w="5841"/>
      </w:tblGrid>
      <w:tr w:rsidR="004A2CCE" w:rsidRPr="00285D58" w14:paraId="7CEEECBF" w14:textId="77777777" w:rsidTr="00242093">
        <w:trPr>
          <w:cantSplit/>
          <w:jc w:val="center"/>
        </w:trPr>
        <w:tc>
          <w:tcPr>
            <w:tcW w:w="1701" w:type="dxa"/>
            <w:shd w:val="clear" w:color="auto" w:fill="auto"/>
          </w:tcPr>
          <w:p w14:paraId="0CA71736" w14:textId="77777777" w:rsidR="004A2CCE" w:rsidRPr="00285D58" w:rsidRDefault="00000000" w:rsidP="008D1FFF">
            <w:pPr>
              <w:spacing w:line="276" w:lineRule="auto"/>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IdxServ_ind</m:t>
                    </m:r>
                  </m:e>
                  <m:sub>
                    <m:r>
                      <w:rPr>
                        <w:rFonts w:ascii="Cambria Math" w:eastAsia="Cambria Math" w:hAnsi="Cambria Math" w:cstheme="minorHAnsi"/>
                      </w:rPr>
                      <m:t>t,j,i,s:</m:t>
                    </m:r>
                  </m:sub>
                </m:sSub>
              </m:oMath>
            </m:oMathPara>
          </w:p>
        </w:tc>
        <w:tc>
          <w:tcPr>
            <w:tcW w:w="5841" w:type="dxa"/>
            <w:shd w:val="clear" w:color="auto" w:fill="auto"/>
          </w:tcPr>
          <w:p w14:paraId="01322CD7" w14:textId="77777777" w:rsidR="004A2CCE" w:rsidRPr="00285D58" w:rsidRDefault="004A2CCE" w:rsidP="008D1FFF">
            <w:pPr>
              <w:widowControl/>
              <w:spacing w:line="276" w:lineRule="auto"/>
              <w:rPr>
                <w:rFonts w:asciiTheme="minorHAnsi" w:eastAsia="Calibri" w:hAnsiTheme="minorHAnsi" w:cstheme="minorHAnsi"/>
                <w:smallCaps w:val="0"/>
              </w:rPr>
            </w:pPr>
            <w:r w:rsidRPr="00285D58">
              <w:rPr>
                <w:rFonts w:asciiTheme="minorHAnsi" w:eastAsia="Calibri" w:hAnsiTheme="minorHAnsi" w:cstheme="minorHAnsi"/>
              </w:rPr>
              <w:t>Puntaje para el Componente «j» en el trimestre «t» para el Indicador «i» del Nivel de Servicio «s».</w:t>
            </w:r>
          </w:p>
        </w:tc>
      </w:tr>
      <w:tr w:rsidR="004A2CCE" w:rsidRPr="00285D58" w14:paraId="2CE25388" w14:textId="77777777" w:rsidTr="00242093">
        <w:trPr>
          <w:cantSplit/>
          <w:jc w:val="center"/>
        </w:trPr>
        <w:tc>
          <w:tcPr>
            <w:tcW w:w="1701" w:type="dxa"/>
            <w:shd w:val="clear" w:color="auto" w:fill="auto"/>
          </w:tcPr>
          <w:p w14:paraId="74FD67E0" w14:textId="77777777" w:rsidR="004A2CCE" w:rsidRPr="00285D58" w:rsidRDefault="00000000" w:rsidP="008D1FFF">
            <w:pPr>
              <w:spacing w:line="276" w:lineRule="auto"/>
              <w:rPr>
                <w:rFonts w:asciiTheme="minorHAnsi" w:eastAsia="Cambria Math" w:hAnsiTheme="minorHAnsi" w:cstheme="minorHAnsi"/>
              </w:rPr>
            </w:pPr>
            <m:oMathPara>
              <m:oMath>
                <m:sSub>
                  <m:sSubPr>
                    <m:ctrlPr>
                      <w:rPr>
                        <w:rFonts w:ascii="Cambria Math" w:eastAsia="Cambria Math" w:hAnsi="Cambria Math" w:cstheme="minorHAnsi"/>
                      </w:rPr>
                    </m:ctrlPr>
                  </m:sSubPr>
                  <m:e>
                    <m:r>
                      <w:rPr>
                        <w:rFonts w:ascii="Cambria Math" w:eastAsia="Cambria Math" w:hAnsi="Cambria Math" w:cstheme="minorHAnsi"/>
                      </w:rPr>
                      <m:t>Peso</m:t>
                    </m:r>
                  </m:e>
                  <m:sub>
                    <m:r>
                      <w:rPr>
                        <w:rFonts w:ascii="Cambria Math" w:eastAsia="Cambria Math" w:hAnsi="Cambria Math" w:cstheme="minorHAnsi"/>
                      </w:rPr>
                      <m:t>s,i:</m:t>
                    </m:r>
                  </m:sub>
                </m:sSub>
              </m:oMath>
            </m:oMathPara>
          </w:p>
        </w:tc>
        <w:tc>
          <w:tcPr>
            <w:tcW w:w="5841" w:type="dxa"/>
            <w:shd w:val="clear" w:color="auto" w:fill="auto"/>
          </w:tcPr>
          <w:p w14:paraId="3886F7EF" w14:textId="77777777" w:rsidR="004A2CCE" w:rsidRPr="00285D58" w:rsidRDefault="004A2CCE" w:rsidP="008D1FFF">
            <w:pPr>
              <w:widowControl/>
              <w:spacing w:line="276" w:lineRule="auto"/>
              <w:rPr>
                <w:rFonts w:asciiTheme="minorHAnsi" w:eastAsia="Calibri" w:hAnsiTheme="minorHAnsi" w:cstheme="minorHAnsi"/>
                <w:smallCaps w:val="0"/>
              </w:rPr>
            </w:pPr>
            <w:r w:rsidRPr="00285D58">
              <w:rPr>
                <w:rFonts w:asciiTheme="minorHAnsi" w:eastAsia="Calibri" w:hAnsiTheme="minorHAnsi" w:cstheme="minorHAnsi"/>
              </w:rPr>
              <w:t>Peso del Indicador «i» del Nivel de Servicio «s».</w:t>
            </w:r>
          </w:p>
        </w:tc>
      </w:tr>
    </w:tbl>
    <w:p w14:paraId="01AB5BBB" w14:textId="77777777" w:rsidR="004A2CCE" w:rsidRPr="00285D58" w:rsidRDefault="004A2CCE" w:rsidP="008D1FFF">
      <w:pPr>
        <w:spacing w:line="276" w:lineRule="auto"/>
        <w:ind w:left="714"/>
        <w:jc w:val="both"/>
        <w:rPr>
          <w:rFonts w:asciiTheme="minorHAnsi" w:eastAsia="Calibri" w:hAnsiTheme="minorHAnsi" w:cstheme="minorHAnsi"/>
        </w:rPr>
      </w:pPr>
    </w:p>
    <w:p w14:paraId="25EAC7D0" w14:textId="77777777" w:rsidR="004A2CCE" w:rsidRPr="00285D58" w:rsidRDefault="004A2CCE" w:rsidP="00A3732C">
      <w:pPr>
        <w:widowControl/>
        <w:numPr>
          <w:ilvl w:val="0"/>
          <w:numId w:val="65"/>
        </w:numPr>
        <w:spacing w:after="160" w:line="276" w:lineRule="auto"/>
        <w:ind w:left="714" w:hanging="357"/>
        <w:jc w:val="both"/>
        <w:rPr>
          <w:rFonts w:asciiTheme="minorHAnsi" w:eastAsia="Calibri" w:hAnsiTheme="minorHAnsi" w:cstheme="minorHAnsi"/>
        </w:rPr>
      </w:pPr>
      <w:r w:rsidRPr="00285D58">
        <w:rPr>
          <w:rFonts w:asciiTheme="minorHAnsi" w:eastAsia="Calibri" w:hAnsiTheme="minorHAnsi" w:cstheme="minorHAnsi"/>
        </w:rPr>
        <w:t xml:space="preserve">Para cada Nivel de Servicio se asignará un peso a los indicadores que lo conforman, el cual deberá utilizarse para el cálculo del Índice de Servicio para cada </w:t>
      </w:r>
      <w:r w:rsidRPr="00285D58">
        <w:rPr>
          <w:rFonts w:asciiTheme="minorHAnsi" w:eastAsia="Calibri" w:hAnsiTheme="minorHAnsi" w:cstheme="minorHAnsi"/>
          <w:color w:val="000000"/>
        </w:rPr>
        <w:t xml:space="preserve">Componente </w:t>
      </w:r>
      <w:r w:rsidRPr="00285D58">
        <w:rPr>
          <w:rFonts w:asciiTheme="minorHAnsi" w:eastAsia="Calibri" w:hAnsiTheme="minorHAnsi" w:cstheme="minorHAnsi"/>
        </w:rPr>
        <w:t>de cada servicio (</w:t>
      </w:r>
      <w:r w:rsidRPr="00285D58">
        <w:rPr>
          <w:rFonts w:ascii="Cambria Math" w:eastAsia="Cambria Math" w:hAnsi="Cambria Math" w:cs="Cambria Math"/>
        </w:rPr>
        <w:t>𝐼𝑑𝑥𝑆𝑒𝑟𝑣</w:t>
      </w:r>
      <w:r w:rsidRPr="00285D58">
        <w:rPr>
          <w:rFonts w:asciiTheme="minorHAnsi" w:eastAsia="Calibri" w:hAnsiTheme="minorHAnsi" w:cstheme="minorHAnsi"/>
        </w:rPr>
        <w:t>_</w:t>
      </w:r>
      <w:r w:rsidRPr="00285D58">
        <w:rPr>
          <w:rFonts w:ascii="Cambria Math" w:eastAsia="Cambria Math" w:hAnsi="Cambria Math" w:cs="Cambria Math"/>
        </w:rPr>
        <w:t>𝐼𝑛𝑑</w:t>
      </w:r>
      <w:r w:rsidRPr="00285D58">
        <w:rPr>
          <w:rFonts w:ascii="Cambria Math" w:eastAsia="Cambria Math" w:hAnsi="Cambria Math" w:cs="Cambria Math"/>
          <w:vertAlign w:val="subscript"/>
        </w:rPr>
        <w:t>𝑡</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𝑗</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𝑖</w:t>
      </w:r>
      <w:r w:rsidRPr="00285D58">
        <w:rPr>
          <w:rFonts w:asciiTheme="minorHAnsi" w:eastAsia="Calibri" w:hAnsiTheme="minorHAnsi" w:cstheme="minorHAnsi"/>
          <w:vertAlign w:val="subscript"/>
        </w:rPr>
        <w:t>,</w:t>
      </w:r>
      <w:r w:rsidRPr="00285D58">
        <w:rPr>
          <w:rFonts w:ascii="Cambria Math" w:eastAsia="Cambria Math" w:hAnsi="Cambria Math" w:cs="Cambria Math"/>
          <w:vertAlign w:val="subscript"/>
        </w:rPr>
        <w:t>𝑠</w:t>
      </w:r>
      <w:r w:rsidRPr="00285D58">
        <w:rPr>
          <w:rFonts w:asciiTheme="minorHAnsi" w:eastAsia="Calibri" w:hAnsiTheme="minorHAnsi" w:cstheme="minorHAnsi"/>
        </w:rPr>
        <w:t>).</w:t>
      </w:r>
    </w:p>
    <w:tbl>
      <w:tblPr>
        <w:tblStyle w:val="144"/>
        <w:tblW w:w="7932"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830"/>
        <w:gridCol w:w="3833"/>
        <w:gridCol w:w="1269"/>
      </w:tblGrid>
      <w:tr w:rsidR="004A2CCE" w:rsidRPr="00285D58" w14:paraId="2EAE6CE7" w14:textId="77777777" w:rsidTr="00242093">
        <w:trPr>
          <w:cantSplit/>
          <w:jc w:val="center"/>
        </w:trPr>
        <w:tc>
          <w:tcPr>
            <w:tcW w:w="2830" w:type="dxa"/>
            <w:shd w:val="clear" w:color="auto" w:fill="auto"/>
          </w:tcPr>
          <w:p w14:paraId="3B0036DB" w14:textId="77777777" w:rsidR="004A2CCE" w:rsidRPr="00285D58" w:rsidRDefault="004A2CCE" w:rsidP="008D1FFF">
            <w:pPr>
              <w:widowControl/>
              <w:spacing w:line="276" w:lineRule="auto"/>
              <w:ind w:left="22"/>
              <w:rPr>
                <w:rFonts w:asciiTheme="minorHAnsi" w:eastAsia="Calibri" w:hAnsiTheme="minorHAnsi" w:cstheme="minorHAnsi"/>
                <w:b/>
                <w:smallCaps w:val="0"/>
              </w:rPr>
            </w:pPr>
            <w:r w:rsidRPr="00285D58">
              <w:rPr>
                <w:rFonts w:asciiTheme="minorHAnsi" w:eastAsia="Calibri" w:hAnsiTheme="minorHAnsi" w:cstheme="minorHAnsi"/>
                <w:b/>
              </w:rPr>
              <w:t>Nivel de servicio</w:t>
            </w:r>
          </w:p>
        </w:tc>
        <w:tc>
          <w:tcPr>
            <w:tcW w:w="3833" w:type="dxa"/>
            <w:shd w:val="clear" w:color="auto" w:fill="auto"/>
          </w:tcPr>
          <w:p w14:paraId="12453432" w14:textId="77777777" w:rsidR="004A2CCE" w:rsidRPr="00285D58" w:rsidRDefault="004A2CCE" w:rsidP="008D1FFF">
            <w:pPr>
              <w:widowControl/>
              <w:spacing w:line="276" w:lineRule="auto"/>
              <w:ind w:left="38"/>
              <w:rPr>
                <w:rFonts w:asciiTheme="minorHAnsi" w:eastAsia="Calibri" w:hAnsiTheme="minorHAnsi" w:cstheme="minorHAnsi"/>
                <w:b/>
                <w:smallCaps w:val="0"/>
              </w:rPr>
            </w:pPr>
            <w:r w:rsidRPr="00285D58">
              <w:rPr>
                <w:rFonts w:asciiTheme="minorHAnsi" w:eastAsia="Calibri" w:hAnsiTheme="minorHAnsi" w:cstheme="minorHAnsi"/>
                <w:b/>
              </w:rPr>
              <w:t>Indicador</w:t>
            </w:r>
          </w:p>
        </w:tc>
        <w:tc>
          <w:tcPr>
            <w:tcW w:w="1269" w:type="dxa"/>
            <w:shd w:val="clear" w:color="auto" w:fill="auto"/>
          </w:tcPr>
          <w:p w14:paraId="03F02454" w14:textId="77777777" w:rsidR="004A2CCE" w:rsidRPr="00285D58" w:rsidRDefault="004A2CCE" w:rsidP="008D1FFF">
            <w:pPr>
              <w:widowControl/>
              <w:spacing w:line="276" w:lineRule="auto"/>
              <w:ind w:left="38" w:hanging="38"/>
              <w:rPr>
                <w:rFonts w:asciiTheme="minorHAnsi" w:eastAsia="Calibri" w:hAnsiTheme="minorHAnsi" w:cstheme="minorHAnsi"/>
                <w:b/>
                <w:smallCaps w:val="0"/>
              </w:rPr>
            </w:pPr>
            <w:r w:rsidRPr="00285D58">
              <w:rPr>
                <w:rFonts w:asciiTheme="minorHAnsi" w:eastAsia="Calibri" w:hAnsiTheme="minorHAnsi" w:cstheme="minorHAnsi"/>
                <w:b/>
              </w:rPr>
              <w:t>Peso</w:t>
            </w:r>
          </w:p>
        </w:tc>
      </w:tr>
      <w:tr w:rsidR="004A2CCE" w:rsidRPr="00285D58" w14:paraId="1A47A77F" w14:textId="77777777" w:rsidTr="00242093">
        <w:trPr>
          <w:cantSplit/>
          <w:jc w:val="center"/>
        </w:trPr>
        <w:tc>
          <w:tcPr>
            <w:tcW w:w="2830" w:type="dxa"/>
            <w:vMerge w:val="restart"/>
            <w:shd w:val="clear" w:color="auto" w:fill="auto"/>
          </w:tcPr>
          <w:p w14:paraId="7494B135"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 la disponibilidad</w:t>
            </w:r>
          </w:p>
        </w:tc>
        <w:tc>
          <w:tcPr>
            <w:tcW w:w="3833" w:type="dxa"/>
            <w:shd w:val="clear" w:color="auto" w:fill="auto"/>
          </w:tcPr>
          <w:p w14:paraId="075F2F8D"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Factores de evaluación de la disponibilidad del servicio (Fiabilidad, Reparabilidad, Factor de disponibilidad)</w:t>
            </w:r>
          </w:p>
        </w:tc>
        <w:tc>
          <w:tcPr>
            <w:tcW w:w="1269" w:type="dxa"/>
            <w:shd w:val="clear" w:color="auto" w:fill="auto"/>
          </w:tcPr>
          <w:p w14:paraId="69AFD9E9"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4886D2EF" w14:textId="77777777" w:rsidTr="00242093">
        <w:trPr>
          <w:cantSplit/>
          <w:jc w:val="center"/>
        </w:trPr>
        <w:tc>
          <w:tcPr>
            <w:tcW w:w="2830" w:type="dxa"/>
            <w:vMerge/>
            <w:shd w:val="clear" w:color="auto" w:fill="auto"/>
          </w:tcPr>
          <w:p w14:paraId="49F18389" w14:textId="77777777" w:rsidR="004A2CCE" w:rsidRPr="00285D58" w:rsidRDefault="004A2CCE" w:rsidP="008D1FFF">
            <w:pPr>
              <w:pBdr>
                <w:top w:val="nil"/>
                <w:left w:val="nil"/>
                <w:bottom w:val="nil"/>
                <w:right w:val="nil"/>
                <w:between w:val="nil"/>
              </w:pBdr>
              <w:spacing w:before="0" w:line="276" w:lineRule="auto"/>
              <w:ind w:left="0"/>
              <w:jc w:val="center"/>
              <w:rPr>
                <w:rFonts w:asciiTheme="minorHAnsi" w:eastAsia="Calibri" w:hAnsiTheme="minorHAnsi" w:cstheme="minorHAnsi"/>
                <w:smallCaps w:val="0"/>
              </w:rPr>
            </w:pPr>
          </w:p>
        </w:tc>
        <w:tc>
          <w:tcPr>
            <w:tcW w:w="3833" w:type="dxa"/>
            <w:shd w:val="clear" w:color="auto" w:fill="auto"/>
          </w:tcPr>
          <w:p w14:paraId="514FF4C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Factor Mínimo del Nivel se Servicio sobre disponibilidad</w:t>
            </w:r>
          </w:p>
        </w:tc>
        <w:tc>
          <w:tcPr>
            <w:tcW w:w="1269" w:type="dxa"/>
            <w:shd w:val="clear" w:color="auto" w:fill="auto"/>
          </w:tcPr>
          <w:p w14:paraId="036EB0F1"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0A8AC79B" w14:textId="77777777" w:rsidTr="00242093">
        <w:trPr>
          <w:cantSplit/>
          <w:jc w:val="center"/>
        </w:trPr>
        <w:tc>
          <w:tcPr>
            <w:tcW w:w="2830" w:type="dxa"/>
            <w:shd w:val="clear" w:color="auto" w:fill="auto"/>
          </w:tcPr>
          <w:p w14:paraId="7756FC4E"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al tiempo de espera</w:t>
            </w:r>
          </w:p>
        </w:tc>
        <w:tc>
          <w:tcPr>
            <w:tcW w:w="3833" w:type="dxa"/>
            <w:shd w:val="clear" w:color="auto" w:fill="auto"/>
          </w:tcPr>
          <w:p w14:paraId="5F1A223D"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p>
        </w:tc>
        <w:tc>
          <w:tcPr>
            <w:tcW w:w="1269" w:type="dxa"/>
            <w:shd w:val="clear" w:color="auto" w:fill="auto"/>
          </w:tcPr>
          <w:p w14:paraId="08A05934"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70D19B82" w14:textId="77777777" w:rsidTr="00242093">
        <w:trPr>
          <w:cantSplit/>
          <w:jc w:val="center"/>
        </w:trPr>
        <w:tc>
          <w:tcPr>
            <w:tcW w:w="2830" w:type="dxa"/>
            <w:vMerge w:val="restart"/>
            <w:shd w:val="clear" w:color="auto" w:fill="auto"/>
          </w:tcPr>
          <w:p w14:paraId="09184321"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Relativos a la calidad del servicio</w:t>
            </w:r>
          </w:p>
        </w:tc>
        <w:tc>
          <w:tcPr>
            <w:tcW w:w="3833" w:type="dxa"/>
            <w:shd w:val="clear" w:color="auto" w:fill="auto"/>
          </w:tcPr>
          <w:p w14:paraId="02D3F6D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Relativos a la satisfacción del servicio</w:t>
            </w:r>
          </w:p>
        </w:tc>
        <w:tc>
          <w:tcPr>
            <w:tcW w:w="1269" w:type="dxa"/>
            <w:shd w:val="clear" w:color="auto" w:fill="auto"/>
          </w:tcPr>
          <w:p w14:paraId="18B19C9B"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p>
        </w:tc>
      </w:tr>
      <w:tr w:rsidR="004A2CCE" w:rsidRPr="00285D58" w14:paraId="12EA4289" w14:textId="77777777" w:rsidTr="00242093">
        <w:trPr>
          <w:cantSplit/>
          <w:jc w:val="center"/>
        </w:trPr>
        <w:tc>
          <w:tcPr>
            <w:tcW w:w="2830" w:type="dxa"/>
            <w:vMerge/>
            <w:shd w:val="clear" w:color="auto" w:fill="auto"/>
          </w:tcPr>
          <w:p w14:paraId="3447B9B9" w14:textId="77777777" w:rsidR="004A2CCE" w:rsidRPr="00285D58" w:rsidRDefault="004A2CCE" w:rsidP="008D1FFF">
            <w:pPr>
              <w:widowControl/>
              <w:spacing w:line="276" w:lineRule="auto"/>
              <w:ind w:left="22"/>
              <w:jc w:val="center"/>
              <w:rPr>
                <w:rFonts w:asciiTheme="minorHAnsi" w:eastAsia="Calibri" w:hAnsiTheme="minorHAnsi" w:cstheme="minorHAnsi"/>
                <w:smallCaps w:val="0"/>
              </w:rPr>
            </w:pPr>
          </w:p>
        </w:tc>
        <w:tc>
          <w:tcPr>
            <w:tcW w:w="3833" w:type="dxa"/>
            <w:shd w:val="clear" w:color="auto" w:fill="auto"/>
          </w:tcPr>
          <w:p w14:paraId="3EACAC79" w14:textId="77777777"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Relativos al índice de reclamación</w:t>
            </w:r>
          </w:p>
        </w:tc>
        <w:tc>
          <w:tcPr>
            <w:tcW w:w="1269" w:type="dxa"/>
            <w:shd w:val="clear" w:color="auto" w:fill="auto"/>
          </w:tcPr>
          <w:p w14:paraId="016175A1"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r w:rsidR="004A2CCE" w:rsidRPr="00285D58" w14:paraId="5CDE06E1" w14:textId="77777777" w:rsidTr="00242093">
        <w:trPr>
          <w:cantSplit/>
          <w:jc w:val="center"/>
        </w:trPr>
        <w:tc>
          <w:tcPr>
            <w:tcW w:w="2830" w:type="dxa"/>
            <w:shd w:val="clear" w:color="auto" w:fill="auto"/>
          </w:tcPr>
          <w:p w14:paraId="40073938" w14:textId="6161C116" w:rsidR="004A2CCE" w:rsidRPr="00285D58" w:rsidRDefault="004A2CCE" w:rsidP="008D1FFF">
            <w:pPr>
              <w:widowControl/>
              <w:spacing w:line="276" w:lineRule="auto"/>
              <w:ind w:left="22"/>
              <w:jc w:val="center"/>
              <w:rPr>
                <w:rFonts w:asciiTheme="minorHAnsi" w:eastAsia="Calibri" w:hAnsiTheme="minorHAnsi" w:cstheme="minorHAnsi"/>
                <w:smallCaps w:val="0"/>
              </w:rPr>
            </w:pPr>
            <w:r w:rsidRPr="00285D58">
              <w:rPr>
                <w:rFonts w:asciiTheme="minorHAnsi" w:eastAsia="Calibri" w:hAnsiTheme="minorHAnsi" w:cstheme="minorHAnsi"/>
              </w:rPr>
              <w:t>…</w:t>
            </w:r>
          </w:p>
        </w:tc>
        <w:tc>
          <w:tcPr>
            <w:tcW w:w="3833" w:type="dxa"/>
            <w:shd w:val="clear" w:color="auto" w:fill="auto"/>
          </w:tcPr>
          <w:p w14:paraId="702AE834" w14:textId="7E395389" w:rsidR="004A2CCE" w:rsidRPr="00285D58" w:rsidRDefault="004A2CCE" w:rsidP="008D1FFF">
            <w:pPr>
              <w:widowControl/>
              <w:spacing w:line="276" w:lineRule="auto"/>
              <w:ind w:left="38"/>
              <w:jc w:val="center"/>
              <w:rPr>
                <w:rFonts w:asciiTheme="minorHAnsi" w:eastAsia="Calibri" w:hAnsiTheme="minorHAnsi" w:cstheme="minorHAnsi"/>
                <w:smallCaps w:val="0"/>
              </w:rPr>
            </w:pPr>
            <w:r w:rsidRPr="00285D58">
              <w:rPr>
                <w:rFonts w:asciiTheme="minorHAnsi" w:eastAsia="Calibri" w:hAnsiTheme="minorHAnsi" w:cstheme="minorHAnsi"/>
              </w:rPr>
              <w:t>…</w:t>
            </w:r>
          </w:p>
        </w:tc>
        <w:tc>
          <w:tcPr>
            <w:tcW w:w="1269" w:type="dxa"/>
            <w:shd w:val="clear" w:color="auto" w:fill="auto"/>
          </w:tcPr>
          <w:p w14:paraId="391B06BB" w14:textId="77777777" w:rsidR="004A2CCE" w:rsidRPr="00285D58" w:rsidRDefault="004A2CCE" w:rsidP="008D1FFF">
            <w:pPr>
              <w:widowControl/>
              <w:spacing w:line="276" w:lineRule="auto"/>
              <w:ind w:left="38" w:hanging="38"/>
              <w:jc w:val="center"/>
              <w:rPr>
                <w:rFonts w:asciiTheme="minorHAnsi" w:eastAsia="Calibri" w:hAnsiTheme="minorHAnsi" w:cstheme="minorHAnsi"/>
                <w:smallCaps w:val="0"/>
              </w:rPr>
            </w:pPr>
            <w:r w:rsidRPr="00285D58">
              <w:rPr>
                <w:rFonts w:asciiTheme="minorHAnsi" w:eastAsia="Calibri" w:hAnsiTheme="minorHAnsi" w:cstheme="minorHAnsi"/>
              </w:rPr>
              <w:t>…</w:t>
            </w:r>
          </w:p>
        </w:tc>
      </w:tr>
    </w:tbl>
    <w:p w14:paraId="06E011EC" w14:textId="77777777" w:rsidR="004A2CCE" w:rsidRPr="00285D58" w:rsidRDefault="004A2CCE" w:rsidP="008D1FFF">
      <w:pPr>
        <w:spacing w:line="276" w:lineRule="auto"/>
        <w:ind w:left="714"/>
        <w:jc w:val="both"/>
        <w:rPr>
          <w:rFonts w:asciiTheme="minorHAnsi" w:eastAsia="Calibri" w:hAnsiTheme="minorHAnsi" w:cstheme="minorHAnsi"/>
        </w:rPr>
      </w:pPr>
    </w:p>
    <w:p w14:paraId="1DC543BA" w14:textId="7846BA35" w:rsidR="004A2CCE" w:rsidRPr="00285D58" w:rsidRDefault="004A2CCE" w:rsidP="008D1FFF">
      <w:pPr>
        <w:widowControl/>
        <w:spacing w:after="160" w:line="276" w:lineRule="auto"/>
        <w:ind w:left="714"/>
        <w:jc w:val="both"/>
        <w:rPr>
          <w:rFonts w:asciiTheme="minorHAnsi" w:eastAsia="Calibri" w:hAnsiTheme="minorHAnsi" w:cstheme="minorHAnsi"/>
        </w:rPr>
      </w:pPr>
      <w:r w:rsidRPr="00285D58">
        <w:rPr>
          <w:rFonts w:asciiTheme="minorHAnsi" w:eastAsia="Calibri" w:hAnsiTheme="minorHAnsi" w:cstheme="minorHAnsi"/>
        </w:rPr>
        <w:t>El IdxServ</w:t>
      </w:r>
      <w:r w:rsidRPr="00285D58">
        <w:rPr>
          <w:rFonts w:asciiTheme="minorHAnsi" w:eastAsia="Calibri" w:hAnsiTheme="minorHAnsi" w:cstheme="minorHAnsi"/>
          <w:vertAlign w:val="subscript"/>
        </w:rPr>
        <w:t>t,j,i,s</w:t>
      </w:r>
      <w:r w:rsidRPr="00285D58">
        <w:rPr>
          <w:rFonts w:asciiTheme="minorHAnsi" w:eastAsia="Calibri" w:hAnsiTheme="minorHAnsi" w:cstheme="minorHAnsi"/>
        </w:rPr>
        <w:t xml:space="preserve"> es una variable relevante cuyo valor impacta en la aplicación de las Deducciones y, en consecuencia, en el mecanismo de pago en función al PPD.</w:t>
      </w:r>
    </w:p>
    <w:p w14:paraId="1DC7E9DB" w14:textId="287C76A4" w:rsidR="004A2CCE" w:rsidRPr="00285D58" w:rsidRDefault="004A2CCE" w:rsidP="008D1FFF">
      <w:pPr>
        <w:widowControl/>
        <w:spacing w:after="160" w:line="276" w:lineRule="auto"/>
        <w:ind w:left="714"/>
        <w:jc w:val="both"/>
        <w:rPr>
          <w:rFonts w:asciiTheme="minorHAnsi" w:eastAsia="Calibri" w:hAnsiTheme="minorHAnsi" w:cstheme="minorHAnsi"/>
        </w:rPr>
      </w:pPr>
      <w:r w:rsidRPr="00285D58">
        <w:rPr>
          <w:rFonts w:asciiTheme="minorHAnsi" w:eastAsia="Calibri" w:hAnsiTheme="minorHAnsi" w:cstheme="minorHAnsi"/>
        </w:rPr>
        <w:t xml:space="preserve">En función a la calificación de los Niveles de Servicio de cada </w:t>
      </w:r>
      <w:r w:rsidRPr="00285D58">
        <w:rPr>
          <w:rFonts w:asciiTheme="minorHAnsi" w:eastAsia="Calibri" w:hAnsiTheme="minorHAnsi" w:cstheme="minorHAnsi"/>
          <w:color w:val="000000"/>
        </w:rPr>
        <w:t>Componente j</w:t>
      </w:r>
      <w:r w:rsidRPr="00285D58">
        <w:rPr>
          <w:rFonts w:asciiTheme="minorHAnsi" w:eastAsia="Calibri" w:hAnsiTheme="minorHAnsi" w:cstheme="minorHAnsi"/>
        </w:rPr>
        <w:t xml:space="preserve"> para el trimestre t, se calculará la Deducción al PPD que corresponda en dicho trimestre. </w:t>
      </w:r>
    </w:p>
    <w:p w14:paraId="3D3EF2EE" w14:textId="77777777" w:rsidR="004A2CCE" w:rsidRPr="00285D58" w:rsidRDefault="004A2CCE" w:rsidP="008D1FFF">
      <w:pPr>
        <w:keepNext/>
        <w:keepLines/>
        <w:spacing w:before="360" w:after="80" w:line="276" w:lineRule="auto"/>
        <w:ind w:left="709"/>
        <w:jc w:val="both"/>
        <w:rPr>
          <w:rFonts w:asciiTheme="minorHAnsi" w:eastAsia="Calibri" w:hAnsiTheme="minorHAnsi" w:cstheme="minorHAnsi"/>
          <w:b/>
        </w:rPr>
        <w:sectPr w:rsidR="004A2CCE" w:rsidRPr="00285D58">
          <w:headerReference w:type="even" r:id="rId124"/>
          <w:headerReference w:type="default" r:id="rId125"/>
          <w:footerReference w:type="even" r:id="rId126"/>
          <w:footerReference w:type="default" r:id="rId127"/>
          <w:headerReference w:type="first" r:id="rId128"/>
          <w:footerReference w:type="first" r:id="rId129"/>
          <w:type w:val="continuous"/>
          <w:pgSz w:w="12240" w:h="15840"/>
          <w:pgMar w:top="1417" w:right="1701" w:bottom="1417" w:left="1701" w:header="360" w:footer="360" w:gutter="0"/>
          <w:cols w:space="720"/>
        </w:sectPr>
      </w:pPr>
    </w:p>
    <w:p w14:paraId="32FA6635" w14:textId="38AE4271" w:rsidR="004A2CCE" w:rsidRPr="00285D58" w:rsidRDefault="004A2CCE" w:rsidP="008D1FFF">
      <w:pPr>
        <w:pStyle w:val="Ttulo2"/>
        <w:spacing w:before="1" w:line="276" w:lineRule="auto"/>
        <w:jc w:val="both"/>
        <w:rPr>
          <w:rFonts w:asciiTheme="minorHAnsi" w:eastAsia="Calibri" w:hAnsiTheme="minorHAnsi" w:cstheme="minorHAnsi"/>
          <w:b/>
          <w:color w:val="1F4E79"/>
          <w:sz w:val="22"/>
          <w:szCs w:val="22"/>
        </w:rPr>
      </w:pPr>
      <w:bookmarkStart w:id="334" w:name="_heading=h.2nusc19" w:colFirst="0" w:colLast="0"/>
      <w:bookmarkStart w:id="335" w:name="_Toc193979298"/>
      <w:bookmarkEnd w:id="334"/>
      <w:r w:rsidRPr="00285D58">
        <w:rPr>
          <w:rFonts w:asciiTheme="minorHAnsi" w:eastAsia="Calibri" w:hAnsiTheme="minorHAnsi" w:cstheme="minorHAnsi"/>
          <w:b/>
          <w:color w:val="1F4E79"/>
          <w:sz w:val="22"/>
          <w:szCs w:val="22"/>
        </w:rPr>
        <w:lastRenderedPageBreak/>
        <w:t>ANEXO 11- APÉNDICE 4 - MODELO DEL INFORME DE LIQUIDACIÓN</w:t>
      </w:r>
      <w:bookmarkEnd w:id="335"/>
    </w:p>
    <w:p w14:paraId="4B2FDF9D" w14:textId="670EA74C" w:rsidR="004A2CCE" w:rsidRPr="00285D58" w:rsidRDefault="00C81BF7" w:rsidP="00E82B67">
      <w:pPr>
        <w:autoSpaceDE w:val="0"/>
        <w:autoSpaceDN w:val="0"/>
        <w:adjustRightInd w:val="0"/>
        <w:spacing w:line="276" w:lineRule="auto"/>
        <w:jc w:val="center"/>
        <w:rPr>
          <w:rFonts w:asciiTheme="minorHAnsi" w:hAnsiTheme="minorHAnsi" w:cstheme="minorHAnsi"/>
          <w:b/>
          <w:bCs/>
          <w:lang w:val="es-PE"/>
        </w:rPr>
      </w:pPr>
      <w:bookmarkStart w:id="336" w:name="_Toc174098027"/>
      <w:bookmarkStart w:id="337" w:name="_Toc180162687"/>
      <w:bookmarkStart w:id="338" w:name="_Toc182581508"/>
      <w:bookmarkStart w:id="339" w:name="_Toc182582291"/>
      <w:r w:rsidRPr="00285D58">
        <w:rPr>
          <w:rFonts w:asciiTheme="minorHAnsi" w:hAnsiTheme="minorHAnsi" w:cstheme="minorHAnsi"/>
          <w:b/>
          <w:bCs/>
          <w:lang w:val="es-PE"/>
        </w:rPr>
        <w:t>INFORME DE PAGOS POR DISPONIBILIDAD DEL TRIMESTRE N° T-20XX</w:t>
      </w:r>
      <w:bookmarkEnd w:id="336"/>
      <w:bookmarkEnd w:id="337"/>
      <w:bookmarkEnd w:id="338"/>
      <w:bookmarkEnd w:id="339"/>
    </w:p>
    <w:p w14:paraId="27A77F15" w14:textId="77777777" w:rsidR="00C81BF7" w:rsidRPr="00285D58" w:rsidRDefault="00C81BF7" w:rsidP="008D1FFF">
      <w:pPr>
        <w:autoSpaceDE w:val="0"/>
        <w:autoSpaceDN w:val="0"/>
        <w:adjustRightInd w:val="0"/>
        <w:spacing w:line="276" w:lineRule="auto"/>
        <w:rPr>
          <w:rFonts w:asciiTheme="minorHAnsi" w:hAnsiTheme="minorHAnsi" w:cstheme="minorHAnsi"/>
          <w:b/>
          <w:bCs/>
          <w:lang w:val="es-PE"/>
        </w:rPr>
      </w:pPr>
      <w:bookmarkStart w:id="340" w:name="_heading=h.1302m92" w:colFirst="0" w:colLast="0"/>
      <w:bookmarkEnd w:id="340"/>
    </w:p>
    <w:p w14:paraId="06A25425" w14:textId="1D32244E"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REFERENCIAS</w:t>
      </w:r>
    </w:p>
    <w:p w14:paraId="1C82B535"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(Listado de documentos aprobados por las partes y tomados como base para la elaboración del</w:t>
      </w:r>
    </w:p>
    <w:p w14:paraId="5D6E7AB5"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presente informe).</w:t>
      </w:r>
    </w:p>
    <w:p w14:paraId="72666464"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5D264D15"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ANTECEDENTES</w:t>
      </w:r>
    </w:p>
    <w:p w14:paraId="2168091B"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(Descripción general de los TdR del Contrato de Supervisión).</w:t>
      </w:r>
    </w:p>
    <w:p w14:paraId="2F32088E"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2D7F0ED2"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PAGO DEL PPD DEL TRIMESTRE N° t</w:t>
      </w:r>
    </w:p>
    <w:p w14:paraId="7E6862F4" w14:textId="77777777" w:rsidR="004A2CCE" w:rsidRPr="00285D58" w:rsidRDefault="004A2CCE" w:rsidP="008D1FFF">
      <w:pPr>
        <w:autoSpaceDE w:val="0"/>
        <w:autoSpaceDN w:val="0"/>
        <w:adjustRightInd w:val="0"/>
        <w:spacing w:before="240" w:line="276" w:lineRule="auto"/>
        <w:jc w:val="both"/>
        <w:rPr>
          <w:rFonts w:asciiTheme="minorHAnsi" w:hAnsiTheme="minorHAnsi" w:cstheme="minorHAnsi"/>
          <w:lang w:val="es-PE"/>
        </w:rPr>
      </w:pPr>
      <w:r w:rsidRPr="00285D58">
        <w:rPr>
          <w:rFonts w:asciiTheme="minorHAnsi" w:hAnsiTheme="minorHAnsi" w:cstheme="minorHAnsi"/>
          <w:lang w:val="es-PE"/>
        </w:rPr>
        <w:t>Está sección obtiene como resultado el Pago por Disponibilidad del presente trimestre utilizando</w:t>
      </w:r>
    </w:p>
    <w:p w14:paraId="05A93496" w14:textId="77777777" w:rsidR="004A2CCE" w:rsidRPr="00285D58" w:rsidRDefault="004A2CCE" w:rsidP="008D1FFF">
      <w:pPr>
        <w:autoSpaceDE w:val="0"/>
        <w:autoSpaceDN w:val="0"/>
        <w:adjustRightInd w:val="0"/>
        <w:spacing w:line="276" w:lineRule="auto"/>
        <w:jc w:val="both"/>
        <w:rPr>
          <w:rFonts w:asciiTheme="minorHAnsi" w:hAnsiTheme="minorHAnsi" w:cstheme="minorHAnsi"/>
          <w:lang w:val="es-PE"/>
        </w:rPr>
      </w:pPr>
      <w:r w:rsidRPr="00285D58">
        <w:rPr>
          <w:rFonts w:asciiTheme="minorHAnsi" w:hAnsiTheme="minorHAnsi" w:cstheme="minorHAnsi"/>
          <w:lang w:val="es-PE"/>
        </w:rPr>
        <w:t>como input el saldo a liquidar del trimestre anterior</w:t>
      </w:r>
      <w:r w:rsidRPr="00285D58">
        <w:rPr>
          <w:rFonts w:asciiTheme="minorHAnsi" w:hAnsiTheme="minorHAnsi" w:cstheme="minorHAnsi"/>
          <w:sz w:val="20"/>
          <w:szCs w:val="20"/>
          <w:lang w:val="es-PE"/>
        </w:rPr>
        <w:t xml:space="preserve">, </w:t>
      </w:r>
      <w:r w:rsidRPr="00285D58">
        <w:rPr>
          <w:rFonts w:asciiTheme="minorHAnsi" w:hAnsiTheme="minorHAnsi" w:cstheme="minorHAnsi"/>
          <w:lang w:val="es-PE"/>
        </w:rPr>
        <w:t>obtenido del Informe de Liquidación del Trimestre N° t-1-20XX</w:t>
      </w:r>
      <w:r w:rsidRPr="00285D58">
        <w:rPr>
          <w:rStyle w:val="Refdenotaalpie"/>
          <w:rFonts w:asciiTheme="minorHAnsi" w:hAnsiTheme="minorHAnsi" w:cstheme="minorHAnsi"/>
          <w:lang w:val="es-PE"/>
        </w:rPr>
        <w:footnoteReference w:id="10"/>
      </w:r>
      <w:r w:rsidRPr="00285D58">
        <w:rPr>
          <w:rFonts w:asciiTheme="minorHAnsi" w:hAnsiTheme="minorHAnsi" w:cstheme="minorHAnsi"/>
          <w:lang w:val="es-PE"/>
        </w:rPr>
        <w:t>.</w:t>
      </w:r>
    </w:p>
    <w:p w14:paraId="47532167" w14:textId="77777777" w:rsidR="004A2CCE" w:rsidRPr="00285D58" w:rsidRDefault="004A2CCE" w:rsidP="008D1FFF">
      <w:pPr>
        <w:autoSpaceDE w:val="0"/>
        <w:autoSpaceDN w:val="0"/>
        <w:adjustRightInd w:val="0"/>
        <w:spacing w:line="276" w:lineRule="auto"/>
        <w:jc w:val="both"/>
        <w:rPr>
          <w:rFonts w:asciiTheme="minorHAnsi" w:hAnsiTheme="minorHAnsi" w:cstheme="minorHAnsi"/>
          <w:lang w:val="es-PE"/>
        </w:rPr>
      </w:pPr>
    </w:p>
    <w:p w14:paraId="5B354E20"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r w:rsidRPr="00285D58">
        <w:rPr>
          <w:rFonts w:asciiTheme="minorHAnsi" w:hAnsiTheme="minorHAnsi" w:cstheme="minorHAnsi"/>
          <w:i/>
          <w:iCs/>
          <w:lang w:val="es-PE"/>
        </w:rPr>
        <w:t>Régimen de Pago por Disponibilidad del trimestre N° t</w:t>
      </w:r>
    </w:p>
    <w:p w14:paraId="2702F612" w14:textId="77777777" w:rsidR="004A2CCE" w:rsidRPr="00285D58" w:rsidRDefault="004A2CCE" w:rsidP="008D1FFF">
      <w:pPr>
        <w:autoSpaceDE w:val="0"/>
        <w:autoSpaceDN w:val="0"/>
        <w:adjustRightInd w:val="0"/>
        <w:spacing w:line="276" w:lineRule="auto"/>
        <w:rPr>
          <w:rFonts w:asciiTheme="minorHAnsi" w:hAnsiTheme="minorHAnsi" w:cstheme="minorHAnsi"/>
          <w:i/>
          <w:iCs/>
          <w:lang w:val="es-PE"/>
        </w:rPr>
      </w:pPr>
    </w:p>
    <w:p w14:paraId="37A6DF37" w14:textId="77777777" w:rsidR="004A2CCE" w:rsidRPr="00285D58" w:rsidRDefault="004A2CCE" w:rsidP="008D1FFF">
      <w:pPr>
        <w:autoSpaceDE w:val="0"/>
        <w:autoSpaceDN w:val="0"/>
        <w:adjustRightInd w:val="0"/>
        <w:spacing w:line="276" w:lineRule="auto"/>
        <w:rPr>
          <w:rFonts w:asciiTheme="minorHAnsi" w:hAnsiTheme="minorHAnsi" w:cstheme="minorHAnsi"/>
          <w:b/>
          <w:bCs/>
          <w:sz w:val="16"/>
          <w:szCs w:val="16"/>
          <w:lang w:val="es-PE"/>
        </w:rPr>
      </w:pPr>
      <w:r w:rsidRPr="00285D58">
        <w:rPr>
          <w:rFonts w:asciiTheme="minorHAnsi" w:hAnsiTheme="minorHAnsi" w:cstheme="minorHAnsi"/>
          <w:b/>
          <w:bCs/>
          <w:lang w:val="es-PE"/>
        </w:rPr>
        <w:t>DETALLE DEL PPD1</w:t>
      </w:r>
      <w:r w:rsidRPr="00285D58">
        <w:rPr>
          <w:rFonts w:asciiTheme="minorHAnsi" w:hAnsiTheme="minorHAnsi" w:cstheme="minorHAnsi"/>
          <w:b/>
          <w:bCs/>
          <w:vertAlign w:val="subscript"/>
          <w:lang w:val="es-PE"/>
        </w:rPr>
        <w:t>j,t</w:t>
      </w:r>
    </w:p>
    <w:p w14:paraId="17CE102F" w14:textId="77777777" w:rsidR="004A2CCE" w:rsidRPr="00285D58" w:rsidRDefault="004A2CCE" w:rsidP="008D1FFF">
      <w:pPr>
        <w:autoSpaceDE w:val="0"/>
        <w:autoSpaceDN w:val="0"/>
        <w:adjustRightInd w:val="0"/>
        <w:spacing w:line="276" w:lineRule="auto"/>
        <w:rPr>
          <w:rFonts w:asciiTheme="minorHAnsi" w:hAnsiTheme="minorHAnsi" w:cstheme="minorHAnsi"/>
          <w:vertAlign w:val="subscript"/>
          <w:lang w:val="es-PE"/>
        </w:rPr>
      </w:pPr>
    </w:p>
    <w:p w14:paraId="574F8E53"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De acuerdo a la Oferta Económica y al Contrato de Concesión, se tiene:</w:t>
      </w:r>
    </w:p>
    <w:p w14:paraId="2213E949"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tbl>
      <w:tblPr>
        <w:tblStyle w:val="Tablaconcuadrcula171"/>
        <w:tblW w:w="0" w:type="auto"/>
        <w:tblInd w:w="576" w:type="dxa"/>
        <w:tblLook w:val="04A0" w:firstRow="1" w:lastRow="0" w:firstColumn="1" w:lastColumn="0" w:noHBand="0" w:noVBand="1"/>
      </w:tblPr>
      <w:tblGrid>
        <w:gridCol w:w="4522"/>
        <w:gridCol w:w="3204"/>
      </w:tblGrid>
      <w:tr w:rsidR="004A2CCE" w:rsidRPr="00285D58" w14:paraId="26DFE4C8" w14:textId="77777777" w:rsidTr="00242093">
        <w:trPr>
          <w:trHeight w:val="354"/>
        </w:trPr>
        <w:tc>
          <w:tcPr>
            <w:tcW w:w="4522" w:type="dxa"/>
          </w:tcPr>
          <w:p w14:paraId="70E954E8"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Oferta</w:t>
            </w:r>
          </w:p>
        </w:tc>
        <w:tc>
          <w:tcPr>
            <w:tcW w:w="3204" w:type="dxa"/>
            <w:shd w:val="clear" w:color="auto" w:fill="F2F2F2" w:themeFill="background1" w:themeFillShade="F2"/>
          </w:tcPr>
          <w:p w14:paraId="426B3BB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0E11AB7C" w14:textId="77777777" w:rsidTr="00242093">
        <w:trPr>
          <w:trHeight w:val="280"/>
        </w:trPr>
        <w:tc>
          <w:tcPr>
            <w:tcW w:w="4522" w:type="dxa"/>
          </w:tcPr>
          <w:p w14:paraId="765890B0"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PPD1 correspondiente al Componente j= Norte</w:t>
            </w:r>
          </w:p>
        </w:tc>
        <w:tc>
          <w:tcPr>
            <w:tcW w:w="3204" w:type="dxa"/>
            <w:shd w:val="clear" w:color="auto" w:fill="F2F2F2" w:themeFill="background1" w:themeFillShade="F2"/>
          </w:tcPr>
          <w:p w14:paraId="3EB3AD71"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28139F02" w14:textId="77777777" w:rsidTr="00242093">
        <w:trPr>
          <w:trHeight w:val="207"/>
        </w:trPr>
        <w:tc>
          <w:tcPr>
            <w:tcW w:w="4522" w:type="dxa"/>
          </w:tcPr>
          <w:p w14:paraId="56EC68F2"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PPD1 correspondiente al Componente j= Sur</w:t>
            </w:r>
          </w:p>
        </w:tc>
        <w:tc>
          <w:tcPr>
            <w:tcW w:w="3204" w:type="dxa"/>
            <w:shd w:val="clear" w:color="auto" w:fill="F2F2F2" w:themeFill="background1" w:themeFillShade="F2"/>
          </w:tcPr>
          <w:p w14:paraId="4682EEE5"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34E92B48" w14:textId="77777777" w:rsidTr="00242093">
        <w:trPr>
          <w:trHeight w:val="207"/>
        </w:trPr>
        <w:tc>
          <w:tcPr>
            <w:tcW w:w="4522" w:type="dxa"/>
          </w:tcPr>
          <w:p w14:paraId="13C7E513"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eastAsia="Calibri" w:hAnsiTheme="minorHAnsi" w:cstheme="minorHAnsi"/>
                <w:sz w:val="22"/>
                <w:szCs w:val="22"/>
                <w:lang w:val="es-PE" w:eastAsia="en-US"/>
              </w:rPr>
              <w:t xml:space="preserve">Factor de ajuste correspondiente al </w:t>
            </w:r>
            <w:r w:rsidRPr="00285D58">
              <w:rPr>
                <w:rFonts w:asciiTheme="minorHAnsi" w:eastAsia="Calibri" w:hAnsiTheme="minorHAnsi" w:cstheme="minorHAnsi"/>
                <w:i/>
                <w:iCs/>
                <w:sz w:val="22"/>
                <w:szCs w:val="22"/>
                <w:lang w:val="es-PE" w:eastAsia="en-US"/>
              </w:rPr>
              <w:t>Componente j= Norte</w:t>
            </w:r>
          </w:p>
        </w:tc>
        <w:tc>
          <w:tcPr>
            <w:tcW w:w="3204" w:type="dxa"/>
            <w:shd w:val="clear" w:color="auto" w:fill="F2F2F2" w:themeFill="background1" w:themeFillShade="F2"/>
          </w:tcPr>
          <w:p w14:paraId="76ABB91B"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04D267C0" w14:textId="77777777" w:rsidTr="00242093">
        <w:trPr>
          <w:trHeight w:val="207"/>
        </w:trPr>
        <w:tc>
          <w:tcPr>
            <w:tcW w:w="4522" w:type="dxa"/>
          </w:tcPr>
          <w:p w14:paraId="702E4757"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eastAsia="Calibri" w:hAnsiTheme="minorHAnsi" w:cstheme="minorHAnsi"/>
                <w:sz w:val="22"/>
                <w:szCs w:val="22"/>
                <w:lang w:val="es-PE" w:eastAsia="en-US"/>
              </w:rPr>
              <w:t xml:space="preserve">Factor de ajuste correspondiente al </w:t>
            </w:r>
            <w:r w:rsidRPr="00285D58">
              <w:rPr>
                <w:rFonts w:asciiTheme="minorHAnsi" w:eastAsia="Calibri" w:hAnsiTheme="minorHAnsi" w:cstheme="minorHAnsi"/>
                <w:i/>
                <w:iCs/>
                <w:sz w:val="22"/>
                <w:szCs w:val="22"/>
                <w:lang w:val="es-PE" w:eastAsia="en-US"/>
              </w:rPr>
              <w:t>Componente j= Sur</w:t>
            </w:r>
          </w:p>
        </w:tc>
        <w:tc>
          <w:tcPr>
            <w:tcW w:w="3204" w:type="dxa"/>
            <w:shd w:val="clear" w:color="auto" w:fill="F2F2F2" w:themeFill="background1" w:themeFillShade="F2"/>
          </w:tcPr>
          <w:p w14:paraId="3A73BACF"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60E067A7" w14:textId="77777777" w:rsidTr="00242093">
        <w:trPr>
          <w:trHeight w:val="207"/>
        </w:trPr>
        <w:tc>
          <w:tcPr>
            <w:tcW w:w="4522" w:type="dxa"/>
          </w:tcPr>
          <w:p w14:paraId="16E2EE58" w14:textId="77777777" w:rsidR="004A2CCE" w:rsidRPr="00285D58" w:rsidRDefault="004A2CCE" w:rsidP="008D1FFF">
            <w:pPr>
              <w:widowControl/>
              <w:spacing w:after="16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sz w:val="22"/>
                <w:szCs w:val="22"/>
                <w:lang w:val="es-PE" w:eastAsia="en-US"/>
              </w:rPr>
              <w:t>Porcentaje del PPD1 que no está afecto a Deducciones</w:t>
            </w:r>
          </w:p>
        </w:tc>
        <w:tc>
          <w:tcPr>
            <w:tcW w:w="3204" w:type="dxa"/>
            <w:shd w:val="clear" w:color="auto" w:fill="F2F2F2" w:themeFill="background1" w:themeFillShade="F2"/>
          </w:tcPr>
          <w:p w14:paraId="1ADE6549"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bl>
    <w:p w14:paraId="1BF54C1C"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C758ADE"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345D1F12"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PPD1_ND</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31204E7F" w14:textId="77777777" w:rsidTr="00D51BDE">
        <w:tc>
          <w:tcPr>
            <w:tcW w:w="2003" w:type="dxa"/>
            <w:vAlign w:val="center"/>
          </w:tcPr>
          <w:p w14:paraId="737DC6C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3B3EFCC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7A746BA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5F53E90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0B8872E" w14:textId="77777777" w:rsidTr="00242093">
        <w:tc>
          <w:tcPr>
            <w:tcW w:w="2003" w:type="dxa"/>
          </w:tcPr>
          <w:p w14:paraId="3F702F8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j,t</w:t>
            </w:r>
          </w:p>
        </w:tc>
        <w:tc>
          <w:tcPr>
            <w:tcW w:w="1701" w:type="dxa"/>
          </w:tcPr>
          <w:p w14:paraId="4DDB721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6B5548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5783C9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1226B6E5"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72433818"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lastRenderedPageBreak/>
        <w:t>Respecto al PPD1_DE</w:t>
      </w:r>
    </w:p>
    <w:p w14:paraId="17CBE6CF"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Pago por Disponibilidad</w:t>
      </w:r>
      <w:r w:rsidRPr="00285D58">
        <w:rPr>
          <w:rFonts w:asciiTheme="minorHAnsi" w:eastAsia="Aptos" w:hAnsiTheme="minorHAnsi" w:cstheme="minorHAnsi"/>
          <w:lang w:val="es-PE" w:eastAsia="en-US"/>
        </w:rPr>
        <w:t xml:space="preserve">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2892071F" w14:textId="77777777" w:rsidTr="00D51BDE">
        <w:tc>
          <w:tcPr>
            <w:tcW w:w="2003" w:type="dxa"/>
            <w:vAlign w:val="center"/>
          </w:tcPr>
          <w:p w14:paraId="046250DF"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4AC51AE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06A704D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5071608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9052FE1" w14:textId="77777777" w:rsidTr="00242093">
        <w:tc>
          <w:tcPr>
            <w:tcW w:w="2003" w:type="dxa"/>
          </w:tcPr>
          <w:p w14:paraId="0527FA7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69BF942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5A33A2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1FA43B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670AA77F"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EC8AE65"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Deducción Referencial</w:t>
      </w:r>
      <w:r w:rsidRPr="00285D58">
        <w:rPr>
          <w:rFonts w:asciiTheme="minorHAnsi" w:eastAsia="Aptos" w:hAnsiTheme="minorHAnsi" w:cstheme="minorHAnsi"/>
          <w:lang w:val="es-PE" w:eastAsia="en-US"/>
        </w:rPr>
        <w:t xml:space="preserve">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12A2A0BA" w14:textId="77777777" w:rsidTr="00D51BDE">
        <w:tc>
          <w:tcPr>
            <w:tcW w:w="2003" w:type="dxa"/>
            <w:vAlign w:val="center"/>
          </w:tcPr>
          <w:p w14:paraId="13D72AD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vAlign w:val="center"/>
          </w:tcPr>
          <w:p w14:paraId="40924A6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vAlign w:val="center"/>
          </w:tcPr>
          <w:p w14:paraId="473D06E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vAlign w:val="center"/>
          </w:tcPr>
          <w:p w14:paraId="0B3F336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09B7C1E" w14:textId="77777777" w:rsidTr="00242093">
        <w:tc>
          <w:tcPr>
            <w:tcW w:w="2003" w:type="dxa"/>
          </w:tcPr>
          <w:p w14:paraId="03FCB18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1034279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BE0B77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6EBD6C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7F54CFC"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58974154"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 xml:space="preserve">Saldo por Liquidar del PPD1, correspondiente a la liquidación del trimestre anterior </w:t>
      </w:r>
      <w:r w:rsidRPr="00285D58">
        <w:rPr>
          <w:rFonts w:asciiTheme="minorHAnsi" w:eastAsia="Aptos" w:hAnsiTheme="minorHAnsi" w:cstheme="minorHAnsi"/>
          <w:lang w:val="es-PE" w:eastAsia="en-US"/>
        </w:rPr>
        <w:t xml:space="preserve">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E283D7C" w14:textId="77777777" w:rsidTr="00242093">
        <w:tc>
          <w:tcPr>
            <w:tcW w:w="2003" w:type="dxa"/>
          </w:tcPr>
          <w:p w14:paraId="3DB20EEE"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72F38B0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428E80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305A2AC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75A0846" w14:textId="77777777" w:rsidTr="00242093">
        <w:tc>
          <w:tcPr>
            <w:tcW w:w="2003" w:type="dxa"/>
          </w:tcPr>
          <w:p w14:paraId="38CB771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1701" w:type="dxa"/>
          </w:tcPr>
          <w:p w14:paraId="70A3A9C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1B538F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058524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63FC3706"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5DD7D9F6" w14:textId="77777777" w:rsidR="004A2CCE" w:rsidRPr="00285D58" w:rsidRDefault="004A2CCE" w:rsidP="00A3732C">
      <w:pPr>
        <w:pStyle w:val="Prrafodelista"/>
        <w:numPr>
          <w:ilvl w:val="2"/>
          <w:numId w:val="230"/>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PPD_DE del trimestre N°t del año XXXX del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ACBB4FE" w14:textId="77777777" w:rsidTr="00242093">
        <w:tc>
          <w:tcPr>
            <w:tcW w:w="2003" w:type="dxa"/>
          </w:tcPr>
          <w:p w14:paraId="3CD1AB1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29CE9A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8BC2E7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64E742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C73566C" w14:textId="77777777" w:rsidTr="00242093">
        <w:tc>
          <w:tcPr>
            <w:tcW w:w="2003" w:type="dxa"/>
          </w:tcPr>
          <w:p w14:paraId="53EB5B8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07230910"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661F551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B0F7E7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8A66407" w14:textId="77777777" w:rsidTr="00242093">
        <w:tc>
          <w:tcPr>
            <w:tcW w:w="2003" w:type="dxa"/>
          </w:tcPr>
          <w:p w14:paraId="6FC75A1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4DD894C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Dólares </w:t>
            </w:r>
          </w:p>
        </w:tc>
        <w:tc>
          <w:tcPr>
            <w:tcW w:w="2817" w:type="dxa"/>
          </w:tcPr>
          <w:p w14:paraId="08D151F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142543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331C46E" w14:textId="77777777" w:rsidTr="00242093">
        <w:tc>
          <w:tcPr>
            <w:tcW w:w="2003" w:type="dxa"/>
          </w:tcPr>
          <w:p w14:paraId="32583F67"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j,t-1</w:t>
            </w:r>
          </w:p>
        </w:tc>
        <w:tc>
          <w:tcPr>
            <w:tcW w:w="1701" w:type="dxa"/>
          </w:tcPr>
          <w:p w14:paraId="7E852A9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5C0747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341ED1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6198A62" w14:textId="77777777" w:rsidTr="00242093">
        <w:tc>
          <w:tcPr>
            <w:tcW w:w="2003" w:type="dxa"/>
          </w:tcPr>
          <w:p w14:paraId="47497C7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PPD1_DE</w:t>
            </w:r>
            <w:r w:rsidRPr="00285D58">
              <w:rPr>
                <w:rFonts w:asciiTheme="minorHAnsi" w:hAnsiTheme="minorHAnsi" w:cstheme="minorHAnsi"/>
                <w:b/>
                <w:bCs/>
                <w:i/>
                <w:iCs/>
                <w:sz w:val="22"/>
                <w:szCs w:val="22"/>
                <w:vertAlign w:val="subscript"/>
                <w:lang w:val="es-PE" w:eastAsia="en-US"/>
              </w:rPr>
              <w:t>j,t</w:t>
            </w:r>
          </w:p>
        </w:tc>
        <w:tc>
          <w:tcPr>
            <w:tcW w:w="1701" w:type="dxa"/>
          </w:tcPr>
          <w:p w14:paraId="6938A62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Dólares</w:t>
            </w:r>
          </w:p>
        </w:tc>
        <w:tc>
          <w:tcPr>
            <w:tcW w:w="2817" w:type="dxa"/>
          </w:tcPr>
          <w:p w14:paraId="3D4B774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32C508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CDE8E72"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410B71C6"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6F1881E8"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Resumen del PPD1</w:t>
      </w:r>
      <w:r w:rsidRPr="00285D58">
        <w:rPr>
          <w:rFonts w:asciiTheme="minorHAnsi" w:eastAsiaTheme="minorHAnsi" w:hAnsiTheme="minorHAnsi" w:cstheme="minorHAnsi"/>
          <w:b/>
          <w:bCs/>
          <w:vertAlign w:val="subscript"/>
          <w:lang w:val="es-PE" w:eastAsia="en-US"/>
          <w14:ligatures w14:val="standardContextual"/>
        </w:rPr>
        <w:t>j,t</w:t>
      </w:r>
      <w:r w:rsidRPr="00285D58">
        <w:rPr>
          <w:rFonts w:asciiTheme="minorHAnsi" w:eastAsiaTheme="minorHAnsi" w:hAnsiTheme="minorHAnsi" w:cstheme="minorHAnsi"/>
          <w:b/>
          <w:bCs/>
          <w:lang w:val="es-PE" w:eastAsia="en-US"/>
          <w14:ligatures w14:val="standardContextual"/>
        </w:rPr>
        <w:t xml:space="preserve"> en el trimestre N° t del año XXXX del Componente j</w:t>
      </w:r>
    </w:p>
    <w:p w14:paraId="1A3C9E57"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tbl>
      <w:tblPr>
        <w:tblStyle w:val="Tablaconcuadrcula171"/>
        <w:tblW w:w="5043" w:type="pct"/>
        <w:tblInd w:w="500" w:type="dxa"/>
        <w:tblLook w:val="04A0" w:firstRow="1" w:lastRow="0" w:firstColumn="1" w:lastColumn="0" w:noHBand="0" w:noVBand="1"/>
      </w:tblPr>
      <w:tblGrid>
        <w:gridCol w:w="1627"/>
        <w:gridCol w:w="1381"/>
        <w:gridCol w:w="2017"/>
        <w:gridCol w:w="1871"/>
        <w:gridCol w:w="1671"/>
      </w:tblGrid>
      <w:tr w:rsidR="004A2CCE" w:rsidRPr="00285D58" w14:paraId="4ED06635" w14:textId="77777777" w:rsidTr="00242093">
        <w:tc>
          <w:tcPr>
            <w:tcW w:w="950" w:type="pct"/>
          </w:tcPr>
          <w:p w14:paraId="2293293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806" w:type="pct"/>
          </w:tcPr>
          <w:p w14:paraId="02A163B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1177" w:type="pct"/>
          </w:tcPr>
          <w:p w14:paraId="047A846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092" w:type="pct"/>
          </w:tcPr>
          <w:p w14:paraId="6B3603A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c>
          <w:tcPr>
            <w:tcW w:w="976" w:type="pct"/>
          </w:tcPr>
          <w:p w14:paraId="1236791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Total</w:t>
            </w:r>
          </w:p>
        </w:tc>
      </w:tr>
      <w:tr w:rsidR="004A2CCE" w:rsidRPr="00285D58" w14:paraId="4C26D26E" w14:textId="77777777" w:rsidTr="00242093">
        <w:tc>
          <w:tcPr>
            <w:tcW w:w="950" w:type="pct"/>
          </w:tcPr>
          <w:p w14:paraId="2BEDECF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PPD1_ND</w:t>
            </w:r>
            <w:r w:rsidRPr="00285D58">
              <w:rPr>
                <w:rFonts w:asciiTheme="minorHAnsi" w:hAnsiTheme="minorHAnsi" w:cstheme="minorHAnsi"/>
                <w:i/>
                <w:iCs/>
                <w:sz w:val="22"/>
                <w:szCs w:val="22"/>
                <w:vertAlign w:val="subscript"/>
                <w:lang w:val="es-PE" w:eastAsia="en-US"/>
              </w:rPr>
              <w:t>j,t</w:t>
            </w:r>
          </w:p>
        </w:tc>
        <w:tc>
          <w:tcPr>
            <w:tcW w:w="806" w:type="pct"/>
          </w:tcPr>
          <w:p w14:paraId="61A7FD1E"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A655B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C343EC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B5A241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7D1E95B0" w14:textId="77777777" w:rsidTr="00242093">
        <w:tc>
          <w:tcPr>
            <w:tcW w:w="950" w:type="pct"/>
          </w:tcPr>
          <w:p w14:paraId="0863A49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w:t>
            </w:r>
            <w:r w:rsidRPr="00285D58">
              <w:rPr>
                <w:rFonts w:asciiTheme="minorHAnsi" w:hAnsiTheme="minorHAnsi" w:cstheme="minorHAnsi"/>
                <w:i/>
                <w:iCs/>
                <w:sz w:val="22"/>
                <w:szCs w:val="22"/>
                <w:vertAlign w:val="subscript"/>
                <w:lang w:val="es-PE" w:eastAsia="en-US"/>
              </w:rPr>
              <w:t>j,t t</w:t>
            </w:r>
          </w:p>
        </w:tc>
        <w:tc>
          <w:tcPr>
            <w:tcW w:w="806" w:type="pct"/>
          </w:tcPr>
          <w:p w14:paraId="71AE44D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Dólares </w:t>
            </w:r>
          </w:p>
        </w:tc>
        <w:tc>
          <w:tcPr>
            <w:tcW w:w="1177" w:type="pct"/>
          </w:tcPr>
          <w:p w14:paraId="4594D6D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A028FA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4F4DF78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84D3BD3" w14:textId="77777777" w:rsidTr="00242093">
        <w:tc>
          <w:tcPr>
            <w:tcW w:w="950" w:type="pct"/>
          </w:tcPr>
          <w:p w14:paraId="19618D5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w:t>
            </w:r>
            <w:r w:rsidRPr="00285D58">
              <w:rPr>
                <w:rFonts w:asciiTheme="minorHAnsi" w:hAnsiTheme="minorHAnsi" w:cstheme="minorHAnsi"/>
                <w:i/>
                <w:iCs/>
                <w:sz w:val="22"/>
                <w:szCs w:val="22"/>
                <w:vertAlign w:val="subscript"/>
                <w:lang w:val="es-PE" w:eastAsia="en-US"/>
              </w:rPr>
              <w:t>j,t</w:t>
            </w:r>
          </w:p>
        </w:tc>
        <w:tc>
          <w:tcPr>
            <w:tcW w:w="806" w:type="pct"/>
          </w:tcPr>
          <w:p w14:paraId="4E789ED2"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71B21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18C8C62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6965FAA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1982247" w14:textId="77777777" w:rsidTr="00242093">
        <w:tc>
          <w:tcPr>
            <w:tcW w:w="950" w:type="pct"/>
          </w:tcPr>
          <w:p w14:paraId="15FCC3C1"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IGV</w:t>
            </w:r>
          </w:p>
        </w:tc>
        <w:tc>
          <w:tcPr>
            <w:tcW w:w="806" w:type="pct"/>
          </w:tcPr>
          <w:p w14:paraId="1CEE7C23"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1177" w:type="pct"/>
          </w:tcPr>
          <w:p w14:paraId="041D06F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8A0C05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FFB38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CEF00E0" w14:textId="77777777" w:rsidTr="00242093">
        <w:tc>
          <w:tcPr>
            <w:tcW w:w="950" w:type="pct"/>
          </w:tcPr>
          <w:p w14:paraId="2467F9F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TOTAL</w:t>
            </w:r>
          </w:p>
        </w:tc>
        <w:tc>
          <w:tcPr>
            <w:tcW w:w="806" w:type="pct"/>
          </w:tcPr>
          <w:p w14:paraId="43ECB84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Dólares</w:t>
            </w:r>
          </w:p>
        </w:tc>
        <w:tc>
          <w:tcPr>
            <w:tcW w:w="1177" w:type="pct"/>
          </w:tcPr>
          <w:p w14:paraId="6B66E6F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5B87EA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1DED71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480151BD"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75A99A9F"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DETALLE DEL PPD2</w:t>
      </w:r>
      <w:r w:rsidRPr="00285D58">
        <w:rPr>
          <w:rFonts w:asciiTheme="minorHAnsi" w:hAnsiTheme="minorHAnsi" w:cstheme="minorHAnsi"/>
          <w:b/>
          <w:bCs/>
          <w:vertAlign w:val="subscript"/>
          <w:lang w:val="es-PE"/>
        </w:rPr>
        <w:t>J,T</w:t>
      </w:r>
    </w:p>
    <w:p w14:paraId="069DB33C" w14:textId="77777777" w:rsidR="004A2CCE" w:rsidRPr="00285D58" w:rsidRDefault="004A2CCE" w:rsidP="008D1FFF">
      <w:pPr>
        <w:autoSpaceDE w:val="0"/>
        <w:autoSpaceDN w:val="0"/>
        <w:adjustRightInd w:val="0"/>
        <w:spacing w:line="276" w:lineRule="auto"/>
        <w:rPr>
          <w:rFonts w:asciiTheme="minorHAnsi" w:hAnsiTheme="minorHAnsi" w:cstheme="minorHAnsi"/>
          <w:vertAlign w:val="subscript"/>
          <w:lang w:val="es-PE"/>
        </w:rPr>
      </w:pPr>
    </w:p>
    <w:p w14:paraId="6AF1C6CE"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De acuerdo a la Oferta Económica y al Contrato de Concesión, se tiene:</w:t>
      </w:r>
    </w:p>
    <w:p w14:paraId="5864CE03"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E4028A0"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tbl>
      <w:tblPr>
        <w:tblStyle w:val="Tablaconcuadrcula171"/>
        <w:tblW w:w="0" w:type="auto"/>
        <w:tblInd w:w="576" w:type="dxa"/>
        <w:tblLook w:val="04A0" w:firstRow="1" w:lastRow="0" w:firstColumn="1" w:lastColumn="0" w:noHBand="0" w:noVBand="1"/>
      </w:tblPr>
      <w:tblGrid>
        <w:gridCol w:w="4522"/>
        <w:gridCol w:w="3204"/>
      </w:tblGrid>
      <w:tr w:rsidR="004A2CCE" w:rsidRPr="00285D58" w14:paraId="4589A9BC" w14:textId="77777777" w:rsidTr="00242093">
        <w:trPr>
          <w:trHeight w:val="354"/>
        </w:trPr>
        <w:tc>
          <w:tcPr>
            <w:tcW w:w="4522" w:type="dxa"/>
          </w:tcPr>
          <w:p w14:paraId="6E634C4D"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Oferta</w:t>
            </w:r>
          </w:p>
        </w:tc>
        <w:tc>
          <w:tcPr>
            <w:tcW w:w="3204" w:type="dxa"/>
            <w:shd w:val="clear" w:color="auto" w:fill="FFF2CC" w:themeFill="accent4" w:themeFillTint="33"/>
          </w:tcPr>
          <w:p w14:paraId="72731F6E"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15D99753" w14:textId="77777777" w:rsidTr="00242093">
        <w:trPr>
          <w:trHeight w:val="280"/>
        </w:trPr>
        <w:tc>
          <w:tcPr>
            <w:tcW w:w="4522" w:type="dxa"/>
          </w:tcPr>
          <w:p w14:paraId="4D4164FE"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PPD2 correspondiente al Componente j= Norte</w:t>
            </w:r>
          </w:p>
        </w:tc>
        <w:tc>
          <w:tcPr>
            <w:tcW w:w="3204" w:type="dxa"/>
            <w:shd w:val="clear" w:color="auto" w:fill="FFF2CC" w:themeFill="accent4" w:themeFillTint="33"/>
          </w:tcPr>
          <w:p w14:paraId="60CC39FD"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71A26A13" w14:textId="77777777" w:rsidTr="00242093">
        <w:trPr>
          <w:trHeight w:val="207"/>
        </w:trPr>
        <w:tc>
          <w:tcPr>
            <w:tcW w:w="4522" w:type="dxa"/>
          </w:tcPr>
          <w:p w14:paraId="578EFAA8" w14:textId="77777777" w:rsidR="004A2CCE" w:rsidRPr="00285D58" w:rsidRDefault="004A2CCE" w:rsidP="008D1FFF">
            <w:pPr>
              <w:widowControl/>
              <w:spacing w:after="160" w:line="276" w:lineRule="auto"/>
              <w:jc w:val="center"/>
              <w:rPr>
                <w:rFonts w:asciiTheme="minorHAnsi" w:hAnsiTheme="minorHAnsi" w:cstheme="minorHAnsi"/>
                <w:i/>
                <w:iCs/>
                <w:sz w:val="22"/>
                <w:szCs w:val="22"/>
                <w:lang w:val="es-PE" w:eastAsia="en-US"/>
              </w:rPr>
            </w:pPr>
            <w:r w:rsidRPr="00285D58">
              <w:rPr>
                <w:rFonts w:asciiTheme="minorHAnsi" w:eastAsia="Calibri" w:hAnsiTheme="minorHAnsi" w:cstheme="minorHAnsi"/>
                <w:i/>
                <w:iCs/>
                <w:sz w:val="22"/>
                <w:szCs w:val="22"/>
                <w:lang w:val="es-PE" w:eastAsia="en-US"/>
              </w:rPr>
              <w:t>Proporción del PPD2 correspondiente al Componente j= Sur</w:t>
            </w:r>
          </w:p>
        </w:tc>
        <w:tc>
          <w:tcPr>
            <w:tcW w:w="3204" w:type="dxa"/>
            <w:shd w:val="clear" w:color="auto" w:fill="FFF2CC" w:themeFill="accent4" w:themeFillTint="33"/>
          </w:tcPr>
          <w:p w14:paraId="2332DF04"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r w:rsidR="004A2CCE" w:rsidRPr="00285D58" w14:paraId="6500F1F5" w14:textId="77777777" w:rsidTr="00242093">
        <w:trPr>
          <w:trHeight w:val="207"/>
        </w:trPr>
        <w:tc>
          <w:tcPr>
            <w:tcW w:w="4522" w:type="dxa"/>
          </w:tcPr>
          <w:p w14:paraId="7ECC61FF" w14:textId="77777777" w:rsidR="004A2CCE" w:rsidRPr="00285D58" w:rsidRDefault="004A2CCE" w:rsidP="008D1FFF">
            <w:pPr>
              <w:widowControl/>
              <w:spacing w:after="160" w:line="276" w:lineRule="auto"/>
              <w:jc w:val="center"/>
              <w:rPr>
                <w:rFonts w:asciiTheme="minorHAnsi" w:eastAsia="Calibri" w:hAnsiTheme="minorHAnsi" w:cstheme="minorHAnsi"/>
                <w:i/>
                <w:iCs/>
                <w:sz w:val="22"/>
                <w:szCs w:val="22"/>
                <w:lang w:val="es-PE" w:eastAsia="en-US"/>
              </w:rPr>
            </w:pPr>
            <w:r w:rsidRPr="00285D58">
              <w:rPr>
                <w:rFonts w:asciiTheme="minorHAnsi" w:hAnsiTheme="minorHAnsi" w:cstheme="minorHAnsi"/>
                <w:sz w:val="22"/>
                <w:szCs w:val="22"/>
                <w:lang w:val="es-PE" w:eastAsia="en-US"/>
              </w:rPr>
              <w:t>Porcentaje por aplicarse al PPD2 para el pago al Supervisor</w:t>
            </w:r>
          </w:p>
        </w:tc>
        <w:tc>
          <w:tcPr>
            <w:tcW w:w="3204" w:type="dxa"/>
            <w:shd w:val="clear" w:color="auto" w:fill="FFF2CC" w:themeFill="accent4" w:themeFillTint="33"/>
          </w:tcPr>
          <w:p w14:paraId="01D860A9" w14:textId="77777777" w:rsidR="004A2CCE" w:rsidRPr="00285D58" w:rsidRDefault="004A2CCE" w:rsidP="008D1FFF">
            <w:pPr>
              <w:widowControl/>
              <w:spacing w:after="160" w:line="276" w:lineRule="auto"/>
              <w:jc w:val="both"/>
              <w:rPr>
                <w:rFonts w:asciiTheme="minorHAnsi" w:hAnsiTheme="minorHAnsi" w:cstheme="minorHAnsi"/>
                <w:sz w:val="22"/>
                <w:szCs w:val="22"/>
                <w:lang w:val="es-PE" w:eastAsia="en-US"/>
              </w:rPr>
            </w:pPr>
          </w:p>
        </w:tc>
      </w:tr>
    </w:tbl>
    <w:p w14:paraId="704F378B"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lang w:val="es-PE" w:eastAsia="en-US"/>
          <w14:ligatures w14:val="standardContextual"/>
        </w:rPr>
      </w:pPr>
    </w:p>
    <w:p w14:paraId="2A12C3C9"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PPD2 del año i de cada componente</w:t>
      </w:r>
    </w:p>
    <w:p w14:paraId="2CEDCC43"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tbl>
      <w:tblPr>
        <w:tblStyle w:val="Tablaconcuadrcula171"/>
        <w:tblW w:w="6521" w:type="dxa"/>
        <w:jc w:val="center"/>
        <w:tblLook w:val="04A0" w:firstRow="1" w:lastRow="0" w:firstColumn="1" w:lastColumn="0" w:noHBand="0" w:noVBand="1"/>
      </w:tblPr>
      <w:tblGrid>
        <w:gridCol w:w="2853"/>
        <w:gridCol w:w="1701"/>
        <w:gridCol w:w="1967"/>
      </w:tblGrid>
      <w:tr w:rsidR="004A2CCE" w:rsidRPr="00285D58" w14:paraId="48742398" w14:textId="77777777" w:rsidTr="00242093">
        <w:trPr>
          <w:jc w:val="center"/>
        </w:trPr>
        <w:tc>
          <w:tcPr>
            <w:tcW w:w="2853" w:type="dxa"/>
          </w:tcPr>
          <w:p w14:paraId="39C202C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Ítem</w:t>
            </w:r>
          </w:p>
        </w:tc>
        <w:tc>
          <w:tcPr>
            <w:tcW w:w="1701" w:type="dxa"/>
          </w:tcPr>
          <w:p w14:paraId="62F251D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IPC</w:t>
            </w:r>
          </w:p>
        </w:tc>
        <w:tc>
          <w:tcPr>
            <w:tcW w:w="1967" w:type="dxa"/>
          </w:tcPr>
          <w:p w14:paraId="053B212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Fuente</w:t>
            </w:r>
          </w:p>
        </w:tc>
      </w:tr>
      <w:tr w:rsidR="004A2CCE" w:rsidRPr="00285D58" w14:paraId="2D0D077E" w14:textId="77777777" w:rsidTr="00242093">
        <w:trPr>
          <w:jc w:val="center"/>
        </w:trPr>
        <w:tc>
          <w:tcPr>
            <w:tcW w:w="2853" w:type="dxa"/>
          </w:tcPr>
          <w:p w14:paraId="2A86682B"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 xml:space="preserve">Fecha de </w:t>
            </w:r>
            <w:r w:rsidRPr="00285D58">
              <w:rPr>
                <w:rFonts w:asciiTheme="minorHAnsi" w:hAnsiTheme="minorHAnsi" w:cstheme="minorHAnsi"/>
                <w:sz w:val="22"/>
                <w:szCs w:val="22"/>
                <w:lang w:val="es-PE"/>
              </w:rPr>
              <w:t>Buena Pro.</w:t>
            </w:r>
          </w:p>
        </w:tc>
        <w:tc>
          <w:tcPr>
            <w:tcW w:w="1701" w:type="dxa"/>
          </w:tcPr>
          <w:p w14:paraId="01570D5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67" w:type="dxa"/>
          </w:tcPr>
          <w:p w14:paraId="03A6B2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r>
      <w:tr w:rsidR="004A2CCE" w:rsidRPr="00285D58" w14:paraId="022DD04D" w14:textId="77777777" w:rsidTr="00242093">
        <w:trPr>
          <w:jc w:val="center"/>
        </w:trPr>
        <w:tc>
          <w:tcPr>
            <w:tcW w:w="2853" w:type="dxa"/>
          </w:tcPr>
          <w:p w14:paraId="67E527C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sz w:val="22"/>
                <w:szCs w:val="22"/>
                <w:lang w:val="es-PE" w:eastAsia="en-US"/>
              </w:rPr>
              <w:t>Año Calendario i</w:t>
            </w:r>
          </w:p>
        </w:tc>
        <w:tc>
          <w:tcPr>
            <w:tcW w:w="1701" w:type="dxa"/>
          </w:tcPr>
          <w:p w14:paraId="5D33BDE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67" w:type="dxa"/>
          </w:tcPr>
          <w:p w14:paraId="2509C09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r>
    </w:tbl>
    <w:p w14:paraId="329CC7FB"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5F1764B" w14:textId="77777777" w:rsidTr="00242093">
        <w:tc>
          <w:tcPr>
            <w:tcW w:w="2003" w:type="dxa"/>
          </w:tcPr>
          <w:p w14:paraId="43B0AFE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Año i</w:t>
            </w:r>
          </w:p>
        </w:tc>
        <w:tc>
          <w:tcPr>
            <w:tcW w:w="1701" w:type="dxa"/>
          </w:tcPr>
          <w:p w14:paraId="6C58A8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037B05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374E13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272F4AAC" w14:textId="77777777" w:rsidTr="00242093">
        <w:tc>
          <w:tcPr>
            <w:tcW w:w="2003" w:type="dxa"/>
          </w:tcPr>
          <w:p w14:paraId="1B53D74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j,i</w:t>
            </w:r>
          </w:p>
        </w:tc>
        <w:tc>
          <w:tcPr>
            <w:tcW w:w="1701" w:type="dxa"/>
          </w:tcPr>
          <w:p w14:paraId="7A76122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1EA298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EC7846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5C50677F"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139F6A20"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65B7122F"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PPD2_ND</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156A8BE" w14:textId="77777777" w:rsidTr="00242093">
        <w:tc>
          <w:tcPr>
            <w:tcW w:w="2003" w:type="dxa"/>
          </w:tcPr>
          <w:p w14:paraId="3B4176A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970EB5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5C01FF5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3AD7B0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1E9B1E6" w14:textId="77777777" w:rsidTr="00242093">
        <w:tc>
          <w:tcPr>
            <w:tcW w:w="2003" w:type="dxa"/>
          </w:tcPr>
          <w:p w14:paraId="3494670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j,t</w:t>
            </w:r>
          </w:p>
        </w:tc>
        <w:tc>
          <w:tcPr>
            <w:tcW w:w="1701" w:type="dxa"/>
          </w:tcPr>
          <w:p w14:paraId="3C404D0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9D70FA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A816AC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2D5AB672" w14:textId="77777777" w:rsidR="004A2CCE" w:rsidRPr="00285D58" w:rsidRDefault="004A2CCE" w:rsidP="008D1FFF">
      <w:pPr>
        <w:pStyle w:val="Prrafodelista"/>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p>
    <w:p w14:paraId="0C1610DA" w14:textId="77777777" w:rsidR="004A2CCE" w:rsidRPr="00285D58" w:rsidRDefault="004A2CCE" w:rsidP="00A3732C">
      <w:pPr>
        <w:pStyle w:val="Prrafodelista"/>
        <w:numPr>
          <w:ilvl w:val="0"/>
          <w:numId w:val="231"/>
        </w:numPr>
        <w:autoSpaceDE w:val="0"/>
        <w:autoSpaceDN w:val="0"/>
        <w:adjustRightInd w:val="0"/>
        <w:spacing w:line="276" w:lineRule="auto"/>
        <w:ind w:left="426"/>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Respecto al PPD2_DE</w:t>
      </w:r>
    </w:p>
    <w:p w14:paraId="45914214"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Pago por Disponibilidad</w:t>
      </w:r>
      <w:r w:rsidRPr="00285D58">
        <w:rPr>
          <w:rFonts w:asciiTheme="minorHAnsi" w:eastAsia="Aptos" w:hAnsiTheme="minorHAnsi" w:cstheme="minorHAnsi"/>
          <w:lang w:val="es-PE" w:eastAsia="en-US"/>
        </w:rPr>
        <w:t xml:space="preserve"> máximo sujeto a Deducciones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7682B29" w14:textId="77777777" w:rsidTr="00242093">
        <w:tc>
          <w:tcPr>
            <w:tcW w:w="2003" w:type="dxa"/>
          </w:tcPr>
          <w:p w14:paraId="70A0CCA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63D84F9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7C72A97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5DC81B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85C45CA" w14:textId="77777777" w:rsidTr="00242093">
        <w:tc>
          <w:tcPr>
            <w:tcW w:w="2003" w:type="dxa"/>
          </w:tcPr>
          <w:p w14:paraId="424C7EC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0BA8DC6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681B5CA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7CBDCC87"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26EE1BD8"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7AEEF8F"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Deducción Referencial</w:t>
      </w:r>
      <w:r w:rsidRPr="00285D58">
        <w:rPr>
          <w:rFonts w:asciiTheme="minorHAnsi" w:eastAsia="Aptos" w:hAnsiTheme="minorHAnsi" w:cstheme="minorHAnsi"/>
          <w:lang w:val="es-PE" w:eastAsia="en-US"/>
        </w:rPr>
        <w:t xml:space="preserve"> 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33D4E3CD" w14:textId="77777777" w:rsidTr="00242093">
        <w:tc>
          <w:tcPr>
            <w:tcW w:w="2003" w:type="dxa"/>
          </w:tcPr>
          <w:p w14:paraId="2D28FC5E"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18667D9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EEBC7D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265F5F3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CB0105D" w14:textId="77777777" w:rsidTr="00242093">
        <w:tc>
          <w:tcPr>
            <w:tcW w:w="2003" w:type="dxa"/>
          </w:tcPr>
          <w:p w14:paraId="0933FE0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2AA4074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1B7773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6649B8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0970BD12"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451203A0"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 xml:space="preserve">Saldo por Liquidar del PPD2, correspondiente a la liquidación del trimestre anterior </w:t>
      </w:r>
      <w:r w:rsidRPr="00285D58">
        <w:rPr>
          <w:rFonts w:asciiTheme="minorHAnsi" w:eastAsia="Aptos" w:hAnsiTheme="minorHAnsi" w:cstheme="minorHAnsi"/>
          <w:lang w:val="es-PE" w:eastAsia="en-US"/>
        </w:rPr>
        <w:t xml:space="preserve">del </w:t>
      </w:r>
      <w:r w:rsidRPr="00285D58">
        <w:rPr>
          <w:rFonts w:asciiTheme="minorHAnsi" w:eastAsia="Calibri" w:hAnsiTheme="minorHAnsi" w:cstheme="minorHAnsi"/>
          <w:lang w:val="es-PE" w:eastAsia="en-US"/>
        </w:rPr>
        <w:t>Componente</w:t>
      </w:r>
      <w:r w:rsidRPr="00285D58">
        <w:rPr>
          <w:rFonts w:asciiTheme="minorHAnsi" w:eastAsia="Aptos" w:hAnsiTheme="minorHAnsi" w:cstheme="minorHAnsi"/>
          <w:lang w:val="es-PE" w:eastAsia="en-US"/>
        </w:rPr>
        <w:t xml:space="preserv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E1B11EE" w14:textId="77777777" w:rsidTr="00242093">
        <w:tc>
          <w:tcPr>
            <w:tcW w:w="2003" w:type="dxa"/>
          </w:tcPr>
          <w:p w14:paraId="5F21F1C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lastRenderedPageBreak/>
              <w:t>Trimestre t</w:t>
            </w:r>
          </w:p>
        </w:tc>
        <w:tc>
          <w:tcPr>
            <w:tcW w:w="1701" w:type="dxa"/>
          </w:tcPr>
          <w:p w14:paraId="34456BA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63F07D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B1D4CE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52F668B" w14:textId="77777777" w:rsidTr="00242093">
        <w:tc>
          <w:tcPr>
            <w:tcW w:w="2003" w:type="dxa"/>
          </w:tcPr>
          <w:p w14:paraId="7F8BA82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1701" w:type="dxa"/>
          </w:tcPr>
          <w:p w14:paraId="2BBEF86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584D24A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284A15E"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167DC2B5"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71A355EB" w14:textId="77777777" w:rsidR="004A2CCE" w:rsidRPr="00285D58" w:rsidRDefault="004A2CCE" w:rsidP="00A3732C">
      <w:pPr>
        <w:pStyle w:val="Prrafodelista"/>
        <w:numPr>
          <w:ilvl w:val="2"/>
          <w:numId w:val="232"/>
        </w:numPr>
        <w:autoSpaceDE w:val="0"/>
        <w:autoSpaceDN w:val="0"/>
        <w:adjustRightInd w:val="0"/>
        <w:spacing w:after="240" w:line="276" w:lineRule="auto"/>
        <w:rPr>
          <w:rFonts w:asciiTheme="minorHAnsi" w:eastAsiaTheme="minorHAnsi" w:hAnsiTheme="minorHAnsi" w:cstheme="minorHAnsi"/>
          <w:lang w:val="es-PE" w:eastAsia="en-US"/>
          <w14:ligatures w14:val="standardContextual"/>
        </w:rPr>
      </w:pPr>
      <w:r w:rsidRPr="00285D58">
        <w:rPr>
          <w:rFonts w:asciiTheme="minorHAnsi" w:eastAsiaTheme="minorHAnsi" w:hAnsiTheme="minorHAnsi" w:cstheme="minorHAnsi"/>
          <w:lang w:val="es-PE" w:eastAsia="en-US"/>
          <w14:ligatures w14:val="standardContextual"/>
        </w:rPr>
        <w:t>PPD_DE del trimestre N°t del año XXXX del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4C4ABA2E" w14:textId="77777777" w:rsidTr="00242093">
        <w:tc>
          <w:tcPr>
            <w:tcW w:w="2003" w:type="dxa"/>
          </w:tcPr>
          <w:p w14:paraId="2224131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CFDBA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CEEED0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4507837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6F31957" w14:textId="77777777" w:rsidTr="00242093">
        <w:tc>
          <w:tcPr>
            <w:tcW w:w="2003" w:type="dxa"/>
          </w:tcPr>
          <w:p w14:paraId="69D543A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35919924"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2DACBF6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737137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36D4A029" w14:textId="77777777" w:rsidTr="00242093">
        <w:tc>
          <w:tcPr>
            <w:tcW w:w="2003" w:type="dxa"/>
          </w:tcPr>
          <w:p w14:paraId="67201FA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566A5B9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4948DCF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0B50D3A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B68DC93" w14:textId="77777777" w:rsidTr="00242093">
        <w:tc>
          <w:tcPr>
            <w:tcW w:w="2003" w:type="dxa"/>
          </w:tcPr>
          <w:p w14:paraId="16110D5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j,t-1</w:t>
            </w:r>
          </w:p>
        </w:tc>
        <w:tc>
          <w:tcPr>
            <w:tcW w:w="1701" w:type="dxa"/>
          </w:tcPr>
          <w:p w14:paraId="273A01F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76A83D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C51063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A9CA82D" w14:textId="77777777" w:rsidTr="00242093">
        <w:tc>
          <w:tcPr>
            <w:tcW w:w="2003" w:type="dxa"/>
          </w:tcPr>
          <w:p w14:paraId="60E2D6C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PPD2_DE</w:t>
            </w:r>
            <w:r w:rsidRPr="00285D58">
              <w:rPr>
                <w:rFonts w:asciiTheme="minorHAnsi" w:hAnsiTheme="minorHAnsi" w:cstheme="minorHAnsi"/>
                <w:b/>
                <w:bCs/>
                <w:i/>
                <w:iCs/>
                <w:sz w:val="22"/>
                <w:szCs w:val="22"/>
                <w:vertAlign w:val="subscript"/>
                <w:lang w:val="es-PE" w:eastAsia="en-US"/>
              </w:rPr>
              <w:t>j,t</w:t>
            </w:r>
          </w:p>
        </w:tc>
        <w:tc>
          <w:tcPr>
            <w:tcW w:w="1701" w:type="dxa"/>
          </w:tcPr>
          <w:p w14:paraId="7955A4C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Soles</w:t>
            </w:r>
          </w:p>
        </w:tc>
        <w:tc>
          <w:tcPr>
            <w:tcW w:w="2817" w:type="dxa"/>
          </w:tcPr>
          <w:p w14:paraId="659F00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1FE9779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46ECB085"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013CC6EC"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13A7EEBB"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b/>
          <w:bCs/>
          <w:lang w:val="es-PE" w:eastAsia="en-US"/>
          <w14:ligatures w14:val="standardContextual"/>
        </w:rPr>
      </w:pPr>
      <w:r w:rsidRPr="00285D58">
        <w:rPr>
          <w:rFonts w:asciiTheme="minorHAnsi" w:eastAsiaTheme="minorHAnsi" w:hAnsiTheme="minorHAnsi" w:cstheme="minorHAnsi"/>
          <w:b/>
          <w:bCs/>
          <w:lang w:val="es-PE" w:eastAsia="en-US"/>
          <w14:ligatures w14:val="standardContextual"/>
        </w:rPr>
        <w:t>Resumen del PPD2</w:t>
      </w:r>
      <w:r w:rsidRPr="00285D58">
        <w:rPr>
          <w:rFonts w:asciiTheme="minorHAnsi" w:eastAsiaTheme="minorHAnsi" w:hAnsiTheme="minorHAnsi" w:cstheme="minorHAnsi"/>
          <w:b/>
          <w:bCs/>
          <w:vertAlign w:val="subscript"/>
          <w:lang w:val="es-PE" w:eastAsia="en-US"/>
          <w14:ligatures w14:val="standardContextual"/>
        </w:rPr>
        <w:t>j,t</w:t>
      </w:r>
      <w:r w:rsidRPr="00285D58">
        <w:rPr>
          <w:rFonts w:asciiTheme="minorHAnsi" w:eastAsiaTheme="minorHAnsi" w:hAnsiTheme="minorHAnsi" w:cstheme="minorHAnsi"/>
          <w:b/>
          <w:bCs/>
          <w:lang w:val="es-PE" w:eastAsia="en-US"/>
          <w14:ligatures w14:val="standardContextual"/>
        </w:rPr>
        <w:t xml:space="preserve"> en el trimestre N° t del año XXXX del Componente j</w:t>
      </w:r>
    </w:p>
    <w:p w14:paraId="2C7E28BE"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tbl>
      <w:tblPr>
        <w:tblStyle w:val="Tablaconcuadrcula171"/>
        <w:tblW w:w="5043" w:type="pct"/>
        <w:tblInd w:w="500" w:type="dxa"/>
        <w:tblLook w:val="04A0" w:firstRow="1" w:lastRow="0" w:firstColumn="1" w:lastColumn="0" w:noHBand="0" w:noVBand="1"/>
      </w:tblPr>
      <w:tblGrid>
        <w:gridCol w:w="1627"/>
        <w:gridCol w:w="1381"/>
        <w:gridCol w:w="2017"/>
        <w:gridCol w:w="1871"/>
        <w:gridCol w:w="1671"/>
      </w:tblGrid>
      <w:tr w:rsidR="004A2CCE" w:rsidRPr="00285D58" w14:paraId="38F871FE" w14:textId="77777777" w:rsidTr="00242093">
        <w:tc>
          <w:tcPr>
            <w:tcW w:w="950" w:type="pct"/>
          </w:tcPr>
          <w:p w14:paraId="7EEDD7D3"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806" w:type="pct"/>
          </w:tcPr>
          <w:p w14:paraId="057DB73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1177" w:type="pct"/>
          </w:tcPr>
          <w:p w14:paraId="42E9CCD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092" w:type="pct"/>
          </w:tcPr>
          <w:p w14:paraId="1E64E9A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c>
          <w:tcPr>
            <w:tcW w:w="976" w:type="pct"/>
          </w:tcPr>
          <w:p w14:paraId="20640AA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Total</w:t>
            </w:r>
          </w:p>
        </w:tc>
      </w:tr>
      <w:tr w:rsidR="004A2CCE" w:rsidRPr="00285D58" w14:paraId="4168ED7A" w14:textId="77777777" w:rsidTr="00242093">
        <w:tc>
          <w:tcPr>
            <w:tcW w:w="950" w:type="pct"/>
          </w:tcPr>
          <w:p w14:paraId="2E39FD4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PPD2_ND</w:t>
            </w:r>
            <w:r w:rsidRPr="00285D58">
              <w:rPr>
                <w:rFonts w:asciiTheme="minorHAnsi" w:hAnsiTheme="minorHAnsi" w:cstheme="minorHAnsi"/>
                <w:i/>
                <w:iCs/>
                <w:sz w:val="22"/>
                <w:szCs w:val="22"/>
                <w:vertAlign w:val="subscript"/>
                <w:lang w:val="es-PE" w:eastAsia="en-US"/>
              </w:rPr>
              <w:t>j,t</w:t>
            </w:r>
          </w:p>
        </w:tc>
        <w:tc>
          <w:tcPr>
            <w:tcW w:w="806" w:type="pct"/>
          </w:tcPr>
          <w:p w14:paraId="01B59A9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2EF8E6A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1DB667C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B8CBA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DAEB043" w14:textId="77777777" w:rsidTr="00242093">
        <w:tc>
          <w:tcPr>
            <w:tcW w:w="950" w:type="pct"/>
          </w:tcPr>
          <w:p w14:paraId="716B4340"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w:t>
            </w:r>
            <w:r w:rsidRPr="00285D58">
              <w:rPr>
                <w:rFonts w:asciiTheme="minorHAnsi" w:hAnsiTheme="minorHAnsi" w:cstheme="minorHAnsi"/>
                <w:i/>
                <w:iCs/>
                <w:sz w:val="22"/>
                <w:szCs w:val="22"/>
                <w:vertAlign w:val="subscript"/>
                <w:lang w:val="es-PE" w:eastAsia="en-US"/>
              </w:rPr>
              <w:t>j,t t</w:t>
            </w:r>
          </w:p>
        </w:tc>
        <w:tc>
          <w:tcPr>
            <w:tcW w:w="806" w:type="pct"/>
          </w:tcPr>
          <w:p w14:paraId="3AFFD79A"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03FEF16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680010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57B4C9C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35ED980" w14:textId="77777777" w:rsidTr="00242093">
        <w:tc>
          <w:tcPr>
            <w:tcW w:w="950" w:type="pct"/>
          </w:tcPr>
          <w:p w14:paraId="41ACDEAB"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w:t>
            </w:r>
            <w:r w:rsidRPr="00285D58">
              <w:rPr>
                <w:rFonts w:asciiTheme="minorHAnsi" w:hAnsiTheme="minorHAnsi" w:cstheme="minorHAnsi"/>
                <w:i/>
                <w:iCs/>
                <w:sz w:val="22"/>
                <w:szCs w:val="22"/>
                <w:vertAlign w:val="subscript"/>
                <w:lang w:val="es-PE" w:eastAsia="en-US"/>
              </w:rPr>
              <w:t>j,t</w:t>
            </w:r>
          </w:p>
        </w:tc>
        <w:tc>
          <w:tcPr>
            <w:tcW w:w="806" w:type="pct"/>
          </w:tcPr>
          <w:p w14:paraId="1FE72848"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020103B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BF72CE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5481D1E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2FBEFD6" w14:textId="77777777" w:rsidTr="00242093">
        <w:tc>
          <w:tcPr>
            <w:tcW w:w="950" w:type="pct"/>
          </w:tcPr>
          <w:p w14:paraId="38CAAEA9"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IGV</w:t>
            </w:r>
          </w:p>
        </w:tc>
        <w:tc>
          <w:tcPr>
            <w:tcW w:w="806" w:type="pct"/>
          </w:tcPr>
          <w:p w14:paraId="529B54D9"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1177" w:type="pct"/>
          </w:tcPr>
          <w:p w14:paraId="2C12DF4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6B0D57F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9F4E4D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F14743F" w14:textId="77777777" w:rsidTr="00242093">
        <w:tc>
          <w:tcPr>
            <w:tcW w:w="950" w:type="pct"/>
          </w:tcPr>
          <w:p w14:paraId="562CB597"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b/>
                <w:bCs/>
                <w:i/>
                <w:iCs/>
                <w:sz w:val="22"/>
                <w:szCs w:val="22"/>
                <w:lang w:val="es-PE" w:eastAsia="en-US"/>
              </w:rPr>
              <w:t>TOTAL</w:t>
            </w:r>
          </w:p>
        </w:tc>
        <w:tc>
          <w:tcPr>
            <w:tcW w:w="806" w:type="pct"/>
          </w:tcPr>
          <w:p w14:paraId="0C3F3B5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Soles</w:t>
            </w:r>
          </w:p>
        </w:tc>
        <w:tc>
          <w:tcPr>
            <w:tcW w:w="1177" w:type="pct"/>
          </w:tcPr>
          <w:p w14:paraId="70D38DF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092" w:type="pct"/>
          </w:tcPr>
          <w:p w14:paraId="7EFAC42D"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c>
          <w:tcPr>
            <w:tcW w:w="976" w:type="pct"/>
          </w:tcPr>
          <w:p w14:paraId="7544E50F"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7EBC8234"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20DC05B2" w14:textId="77777777" w:rsidR="004A2CCE" w:rsidRPr="00285D58" w:rsidRDefault="004A2CCE" w:rsidP="008D1FFF">
      <w:pPr>
        <w:autoSpaceDE w:val="0"/>
        <w:autoSpaceDN w:val="0"/>
        <w:adjustRightInd w:val="0"/>
        <w:spacing w:line="276" w:lineRule="auto"/>
        <w:rPr>
          <w:rFonts w:asciiTheme="minorHAnsi" w:eastAsiaTheme="minorHAnsi" w:hAnsiTheme="minorHAnsi" w:cstheme="minorHAnsi"/>
          <w:u w:val="single"/>
          <w:lang w:val="es-PE" w:eastAsia="en-US"/>
          <w14:ligatures w14:val="standardContextual"/>
        </w:rPr>
      </w:pPr>
    </w:p>
    <w:p w14:paraId="33D33A6F"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sectPr w:rsidR="004A2CCE" w:rsidRPr="00285D58" w:rsidSect="00E32FAC">
          <w:type w:val="continuous"/>
          <w:pgSz w:w="11906" w:h="16838" w:code="9"/>
          <w:pgMar w:top="1417" w:right="1701" w:bottom="1417" w:left="1701" w:header="720" w:footer="720" w:gutter="0"/>
          <w:cols w:space="720"/>
          <w:docGrid w:linePitch="299"/>
        </w:sectPr>
      </w:pPr>
    </w:p>
    <w:p w14:paraId="497573B7" w14:textId="77777777" w:rsidR="004A2CCE" w:rsidRPr="00285D58" w:rsidRDefault="004A2CCE" w:rsidP="008D1FFF">
      <w:pPr>
        <w:autoSpaceDE w:val="0"/>
        <w:autoSpaceDN w:val="0"/>
        <w:adjustRightInd w:val="0"/>
        <w:spacing w:line="276" w:lineRule="auto"/>
        <w:rPr>
          <w:rFonts w:asciiTheme="minorHAnsi" w:hAnsiTheme="minorHAnsi" w:cstheme="minorHAnsi"/>
          <w:lang w:val="es-PE"/>
        </w:rPr>
      </w:pPr>
    </w:p>
    <w:p w14:paraId="39E50095" w14:textId="17FED152" w:rsidR="004A2CCE" w:rsidRPr="00285D58" w:rsidRDefault="00C81BF7" w:rsidP="00E82B67">
      <w:pPr>
        <w:autoSpaceDE w:val="0"/>
        <w:autoSpaceDN w:val="0"/>
        <w:adjustRightInd w:val="0"/>
        <w:spacing w:line="276" w:lineRule="auto"/>
        <w:jc w:val="center"/>
        <w:rPr>
          <w:rFonts w:asciiTheme="minorHAnsi" w:hAnsiTheme="minorHAnsi" w:cstheme="minorHAnsi"/>
          <w:b/>
          <w:bCs/>
          <w:lang w:val="es-PE"/>
        </w:rPr>
      </w:pPr>
      <w:bookmarkStart w:id="341" w:name="_Toc174098028"/>
      <w:bookmarkStart w:id="342" w:name="_Toc180162688"/>
      <w:bookmarkStart w:id="343" w:name="_Toc182581509"/>
      <w:bookmarkStart w:id="344" w:name="_Toc182582292"/>
      <w:r w:rsidRPr="00285D58">
        <w:rPr>
          <w:rFonts w:asciiTheme="minorHAnsi" w:hAnsiTheme="minorHAnsi" w:cstheme="minorHAnsi"/>
          <w:b/>
          <w:bCs/>
          <w:lang w:val="es-PE"/>
        </w:rPr>
        <w:t>INFORME DE LIQUIDACIÓN DEL TRIMESTRE N° T-20XX</w:t>
      </w:r>
      <w:bookmarkEnd w:id="341"/>
      <w:bookmarkEnd w:id="342"/>
      <w:bookmarkEnd w:id="343"/>
      <w:bookmarkEnd w:id="344"/>
    </w:p>
    <w:p w14:paraId="1408EEAB" w14:textId="77777777" w:rsidR="00C81BF7" w:rsidRPr="00285D58" w:rsidRDefault="00C81BF7" w:rsidP="008D1FFF">
      <w:pPr>
        <w:autoSpaceDE w:val="0"/>
        <w:autoSpaceDN w:val="0"/>
        <w:adjustRightInd w:val="0"/>
        <w:spacing w:line="276" w:lineRule="auto"/>
        <w:rPr>
          <w:rFonts w:asciiTheme="minorHAnsi" w:hAnsiTheme="minorHAnsi" w:cstheme="minorHAnsi"/>
          <w:b/>
          <w:bCs/>
          <w:lang w:val="es-PE"/>
        </w:rPr>
      </w:pPr>
    </w:p>
    <w:p w14:paraId="21542A73" w14:textId="4EC26E29"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REFERENCIAS</w:t>
      </w:r>
    </w:p>
    <w:p w14:paraId="34ED3AD8"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w:t>
      </w:r>
      <w:r w:rsidRPr="00285D58">
        <w:rPr>
          <w:rFonts w:asciiTheme="minorHAnsi" w:eastAsia="Calibri" w:hAnsiTheme="minorHAnsi" w:cstheme="minorHAnsi"/>
          <w:i/>
          <w:iCs/>
          <w:lang w:val="es-PE"/>
        </w:rPr>
        <w:t>Listado de documentos aprobados por las partes y tomados como base para la elaboración del presente informe</w:t>
      </w:r>
      <w:r w:rsidRPr="00285D58">
        <w:rPr>
          <w:rFonts w:asciiTheme="minorHAnsi" w:eastAsia="Calibri" w:hAnsiTheme="minorHAnsi" w:cstheme="minorHAnsi"/>
          <w:lang w:val="es-PE"/>
        </w:rPr>
        <w:t>).</w:t>
      </w:r>
    </w:p>
    <w:p w14:paraId="0BF74BBC"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p>
    <w:p w14:paraId="292127EA"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ANTECEDENTES</w:t>
      </w:r>
    </w:p>
    <w:p w14:paraId="780513D2"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w:t>
      </w:r>
      <w:r w:rsidRPr="00285D58">
        <w:rPr>
          <w:rFonts w:asciiTheme="minorHAnsi" w:eastAsia="Calibri" w:hAnsiTheme="minorHAnsi" w:cstheme="minorHAnsi"/>
          <w:i/>
          <w:iCs/>
          <w:lang w:val="es-PE"/>
        </w:rPr>
        <w:t>Descripción general de los TdR del Contrato de Supervisión</w:t>
      </w:r>
      <w:r w:rsidRPr="00285D58">
        <w:rPr>
          <w:rFonts w:asciiTheme="minorHAnsi" w:eastAsia="Calibri" w:hAnsiTheme="minorHAnsi" w:cstheme="minorHAnsi"/>
          <w:lang w:val="es-PE"/>
        </w:rPr>
        <w:t>).</w:t>
      </w:r>
    </w:p>
    <w:p w14:paraId="75D65AFE"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p>
    <w:p w14:paraId="3B6DBE48" w14:textId="77777777" w:rsidR="004A2CCE" w:rsidRPr="00285D58" w:rsidRDefault="004A2CCE" w:rsidP="008D1FFF">
      <w:pPr>
        <w:autoSpaceDE w:val="0"/>
        <w:autoSpaceDN w:val="0"/>
        <w:adjustRightInd w:val="0"/>
        <w:spacing w:line="276" w:lineRule="auto"/>
        <w:rPr>
          <w:rFonts w:asciiTheme="minorHAnsi" w:hAnsiTheme="minorHAnsi" w:cstheme="minorHAnsi"/>
          <w:b/>
          <w:bCs/>
          <w:lang w:val="es-PE"/>
        </w:rPr>
      </w:pPr>
      <w:r w:rsidRPr="00285D58">
        <w:rPr>
          <w:rFonts w:asciiTheme="minorHAnsi" w:hAnsiTheme="minorHAnsi" w:cstheme="minorHAnsi"/>
          <w:b/>
          <w:bCs/>
          <w:lang w:val="es-PE"/>
        </w:rPr>
        <w:t>LIQUIDACIÓN DEL PPD DEL TRIMESTRE N° t</w:t>
      </w:r>
    </w:p>
    <w:p w14:paraId="7C299B4E" w14:textId="77777777" w:rsidR="004A2CCE" w:rsidRPr="00285D58" w:rsidRDefault="004A2CCE" w:rsidP="008D1FFF">
      <w:pPr>
        <w:spacing w:before="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Está sección obtiene el resultado el saldo a liquidar del presente trimestre (</w:t>
      </w:r>
      <m:oMath>
        <m:sSub>
          <m:sSubPr>
            <m:ctrlPr>
              <w:rPr>
                <w:rFonts w:ascii="Cambria Math" w:hAnsi="Cambria Math" w:cstheme="minorHAnsi"/>
                <w:i/>
                <w:lang w:val="es-PE"/>
              </w:rPr>
            </m:ctrlPr>
          </m:sSubPr>
          <m:e>
            <m:r>
              <w:rPr>
                <w:rFonts w:ascii="Cambria Math" w:hAnsi="Cambria Math" w:cstheme="minorHAnsi"/>
                <w:lang w:val="es-PE"/>
              </w:rPr>
              <m:t>Saldo_Liq</m:t>
            </m:r>
          </m:e>
          <m:sub>
            <m:r>
              <w:rPr>
                <w:rFonts w:ascii="Cambria Math" w:hAnsi="Cambria Math" w:cstheme="minorHAnsi"/>
                <w:lang w:val="es-PE"/>
              </w:rPr>
              <m:t>_j,t</m:t>
            </m:r>
          </m:sub>
        </m:sSub>
        <m:r>
          <w:rPr>
            <w:rFonts w:ascii="Cambria Math" w:hAnsi="Cambria Math" w:cstheme="minorHAnsi"/>
            <w:lang w:val="es-PE"/>
          </w:rPr>
          <m:t>)</m:t>
        </m:r>
      </m:oMath>
      <w:r w:rsidRPr="00285D58">
        <w:rPr>
          <w:rFonts w:asciiTheme="minorHAnsi" w:eastAsia="Calibri" w:hAnsiTheme="minorHAnsi" w:cstheme="minorHAnsi"/>
          <w:lang w:val="es-PE"/>
        </w:rPr>
        <w:t>, del PPD1 y del PPD2 el cual servirá para calcular el Pago por Disponibilidad del siguiente trimestre.</w:t>
      </w:r>
    </w:p>
    <w:p w14:paraId="633806A8"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776436AA"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Deducción Referencial,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AB5919D" w14:textId="77777777" w:rsidTr="00242093">
        <w:tc>
          <w:tcPr>
            <w:tcW w:w="2003" w:type="dxa"/>
          </w:tcPr>
          <w:p w14:paraId="5A921D9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3285A07E"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B6AC09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96A3664"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21514358" w14:textId="77777777" w:rsidTr="00242093">
        <w:tc>
          <w:tcPr>
            <w:tcW w:w="2003" w:type="dxa"/>
          </w:tcPr>
          <w:p w14:paraId="02A0147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DedRef_PPD1</w:t>
            </w:r>
            <w:r w:rsidRPr="00285D58">
              <w:rPr>
                <w:rFonts w:asciiTheme="minorHAnsi" w:hAnsiTheme="minorHAnsi" w:cstheme="minorHAnsi"/>
                <w:i/>
                <w:iCs/>
                <w:sz w:val="22"/>
                <w:szCs w:val="22"/>
                <w:vertAlign w:val="subscript"/>
                <w:lang w:val="es-PE" w:eastAsia="en-US"/>
              </w:rPr>
              <w:t>j,t</w:t>
            </w:r>
          </w:p>
        </w:tc>
        <w:tc>
          <w:tcPr>
            <w:tcW w:w="1701" w:type="dxa"/>
          </w:tcPr>
          <w:p w14:paraId="523E10A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212382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000029D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B6F597D" w14:textId="77777777" w:rsidTr="00242093">
        <w:tc>
          <w:tcPr>
            <w:tcW w:w="2003" w:type="dxa"/>
          </w:tcPr>
          <w:p w14:paraId="45914995"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DedRef_PPD2</w:t>
            </w:r>
            <w:r w:rsidRPr="00285D58">
              <w:rPr>
                <w:rFonts w:asciiTheme="minorHAnsi" w:hAnsiTheme="minorHAnsi" w:cstheme="minorHAnsi"/>
                <w:i/>
                <w:iCs/>
                <w:sz w:val="22"/>
                <w:szCs w:val="22"/>
                <w:vertAlign w:val="subscript"/>
                <w:lang w:val="es-PE" w:eastAsia="en-US"/>
              </w:rPr>
              <w:t>j,t</w:t>
            </w:r>
          </w:p>
        </w:tc>
        <w:tc>
          <w:tcPr>
            <w:tcW w:w="1701" w:type="dxa"/>
          </w:tcPr>
          <w:p w14:paraId="71C0ACBF"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7B01081"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0875D4B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69C8C96E"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56E46391"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Deducción,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C8524D8" w14:textId="77777777" w:rsidTr="00242093">
        <w:tc>
          <w:tcPr>
            <w:tcW w:w="2003" w:type="dxa"/>
          </w:tcPr>
          <w:p w14:paraId="12CC8D04"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4C4A960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646AD153"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70ED593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04DD58A9" w14:textId="77777777" w:rsidTr="00242093">
        <w:tc>
          <w:tcPr>
            <w:tcW w:w="2003" w:type="dxa"/>
          </w:tcPr>
          <w:p w14:paraId="7AE3486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PPD1_DEMax</w:t>
            </w:r>
            <w:r w:rsidRPr="00285D58">
              <w:rPr>
                <w:rFonts w:asciiTheme="minorHAnsi" w:hAnsiTheme="minorHAnsi" w:cstheme="minorHAnsi"/>
                <w:i/>
                <w:iCs/>
                <w:sz w:val="22"/>
                <w:szCs w:val="22"/>
                <w:vertAlign w:val="subscript"/>
                <w:lang w:val="es-PE" w:eastAsia="en-US"/>
              </w:rPr>
              <w:t>j,t</w:t>
            </w:r>
          </w:p>
        </w:tc>
        <w:tc>
          <w:tcPr>
            <w:tcW w:w="1701" w:type="dxa"/>
          </w:tcPr>
          <w:p w14:paraId="7C5DCB1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354547B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DDDE66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069D1088" w14:textId="77777777" w:rsidTr="00242093">
        <w:tc>
          <w:tcPr>
            <w:tcW w:w="2003" w:type="dxa"/>
          </w:tcPr>
          <w:p w14:paraId="3A9F114E"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0367A2E0"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39E00E11"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3887FD6"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6C266C41" w14:textId="77777777" w:rsidTr="00242093">
        <w:tc>
          <w:tcPr>
            <w:tcW w:w="2003" w:type="dxa"/>
          </w:tcPr>
          <w:p w14:paraId="528FF870"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Ded_PPD1</w:t>
            </w:r>
            <w:r w:rsidRPr="00285D58">
              <w:rPr>
                <w:rFonts w:asciiTheme="minorHAnsi" w:hAnsiTheme="minorHAnsi" w:cstheme="minorHAnsi"/>
                <w:i/>
                <w:iCs/>
                <w:sz w:val="22"/>
                <w:szCs w:val="22"/>
                <w:vertAlign w:val="subscript"/>
                <w:lang w:val="es-PE" w:eastAsia="en-US"/>
              </w:rPr>
              <w:t>j,t</w:t>
            </w:r>
          </w:p>
        </w:tc>
        <w:tc>
          <w:tcPr>
            <w:tcW w:w="1701" w:type="dxa"/>
          </w:tcPr>
          <w:p w14:paraId="783AC204"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013211C9"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78E10915"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1913E823" w14:textId="77777777" w:rsidR="004A2CCE" w:rsidRPr="00285D58" w:rsidRDefault="004A2CCE" w:rsidP="008D1FFF">
      <w:pPr>
        <w:spacing w:line="276" w:lineRule="auto"/>
        <w:ind w:left="360"/>
        <w:jc w:val="both"/>
        <w:rPr>
          <w:rFonts w:asciiTheme="minorHAnsi" w:eastAsia="Calibri" w:hAnsiTheme="minorHAnsi" w:cstheme="minorHAnsi"/>
          <w:lang w:val="es-PE"/>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65B8E0F1" w14:textId="77777777" w:rsidTr="00242093">
        <w:tc>
          <w:tcPr>
            <w:tcW w:w="2003" w:type="dxa"/>
          </w:tcPr>
          <w:p w14:paraId="2BBD3732"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14FB40A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05EBDEB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44CC1E7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94BAFCC" w14:textId="77777777" w:rsidTr="00242093">
        <w:tc>
          <w:tcPr>
            <w:tcW w:w="2003" w:type="dxa"/>
          </w:tcPr>
          <w:p w14:paraId="009A5C1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PPD2_DEMax</w:t>
            </w:r>
            <w:r w:rsidRPr="00285D58">
              <w:rPr>
                <w:rFonts w:asciiTheme="minorHAnsi" w:hAnsiTheme="minorHAnsi" w:cstheme="minorHAnsi"/>
                <w:i/>
                <w:iCs/>
                <w:sz w:val="22"/>
                <w:szCs w:val="22"/>
                <w:vertAlign w:val="subscript"/>
                <w:lang w:val="es-PE" w:eastAsia="en-US"/>
              </w:rPr>
              <w:t>j,t</w:t>
            </w:r>
          </w:p>
        </w:tc>
        <w:tc>
          <w:tcPr>
            <w:tcW w:w="1701" w:type="dxa"/>
          </w:tcPr>
          <w:p w14:paraId="3CCC80DA"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C780D82"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74AAD8C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6CC4154" w14:textId="77777777" w:rsidTr="00242093">
        <w:tc>
          <w:tcPr>
            <w:tcW w:w="2003" w:type="dxa"/>
          </w:tcPr>
          <w:p w14:paraId="47A40D09"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7B94E9A2"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1AD3E41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DE2F48A"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EC202DD" w14:textId="77777777" w:rsidTr="00242093">
        <w:tc>
          <w:tcPr>
            <w:tcW w:w="2003" w:type="dxa"/>
          </w:tcPr>
          <w:p w14:paraId="34F2FC46"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Ded_PPD2</w:t>
            </w:r>
            <w:r w:rsidRPr="00285D58">
              <w:rPr>
                <w:rFonts w:asciiTheme="minorHAnsi" w:hAnsiTheme="minorHAnsi" w:cstheme="minorHAnsi"/>
                <w:i/>
                <w:iCs/>
                <w:sz w:val="22"/>
                <w:szCs w:val="22"/>
                <w:vertAlign w:val="subscript"/>
                <w:lang w:val="es-PE" w:eastAsia="en-US"/>
              </w:rPr>
              <w:t>j,t</w:t>
            </w:r>
          </w:p>
        </w:tc>
        <w:tc>
          <w:tcPr>
            <w:tcW w:w="1701" w:type="dxa"/>
          </w:tcPr>
          <w:p w14:paraId="68C4CB3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60B4E940"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17652826"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13F48F96" w14:textId="77777777" w:rsidR="004A2CCE" w:rsidRPr="00285D58" w:rsidRDefault="004A2CCE" w:rsidP="008D1FFF">
      <w:pPr>
        <w:spacing w:line="276" w:lineRule="auto"/>
        <w:ind w:left="360"/>
        <w:jc w:val="both"/>
        <w:rPr>
          <w:rFonts w:asciiTheme="minorHAnsi" w:eastAsia="Calibri" w:hAnsiTheme="minorHAnsi" w:cstheme="minorHAnsi"/>
          <w:lang w:val="es-PE"/>
        </w:rPr>
      </w:pPr>
    </w:p>
    <w:p w14:paraId="283522EB"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 xml:space="preserve">Ajuste para cada </w:t>
      </w:r>
      <w:r w:rsidRPr="00285D58">
        <w:rPr>
          <w:rFonts w:asciiTheme="minorHAnsi" w:eastAsia="Calibri" w:hAnsiTheme="minorHAnsi" w:cstheme="minorHAnsi"/>
          <w:lang w:val="es-PE" w:eastAsia="en-US"/>
        </w:rPr>
        <w:t>Componente j</w:t>
      </w:r>
      <w:r w:rsidRPr="00285D58">
        <w:rPr>
          <w:rFonts w:asciiTheme="minorHAnsi" w:eastAsia="Calibri" w:hAnsiTheme="minorHAnsi" w:cstheme="minorHAnsi"/>
          <w:lang w:val="es-PE"/>
        </w:rPr>
        <w:t>:</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55B4662A" w14:textId="77777777" w:rsidTr="00242093">
        <w:tc>
          <w:tcPr>
            <w:tcW w:w="2003" w:type="dxa"/>
          </w:tcPr>
          <w:p w14:paraId="1989586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lastRenderedPageBreak/>
              <w:t>Trimestre t</w:t>
            </w:r>
          </w:p>
        </w:tc>
        <w:tc>
          <w:tcPr>
            <w:tcW w:w="1701" w:type="dxa"/>
          </w:tcPr>
          <w:p w14:paraId="451148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320C5B7"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B4DE0C2"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1F3042B8" w14:textId="77777777" w:rsidTr="00242093">
        <w:tc>
          <w:tcPr>
            <w:tcW w:w="2003" w:type="dxa"/>
          </w:tcPr>
          <w:p w14:paraId="04C0447C"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Saldo_PPD1</w:t>
            </w:r>
            <w:r w:rsidRPr="00285D58">
              <w:rPr>
                <w:rFonts w:asciiTheme="minorHAnsi" w:hAnsiTheme="minorHAnsi" w:cstheme="minorHAnsi"/>
                <w:i/>
                <w:iCs/>
                <w:sz w:val="22"/>
                <w:szCs w:val="22"/>
                <w:vertAlign w:val="subscript"/>
                <w:lang w:val="es-PE" w:eastAsia="en-US"/>
              </w:rPr>
              <w:t>j,t</w:t>
            </w:r>
          </w:p>
        </w:tc>
        <w:tc>
          <w:tcPr>
            <w:tcW w:w="1701" w:type="dxa"/>
          </w:tcPr>
          <w:p w14:paraId="5F0FF9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02ED1724"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5C9D7221"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2634B476" w14:textId="77777777" w:rsidTr="00242093">
        <w:tc>
          <w:tcPr>
            <w:tcW w:w="2003" w:type="dxa"/>
          </w:tcPr>
          <w:p w14:paraId="197C5873"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j,t-1</w:t>
            </w:r>
          </w:p>
        </w:tc>
        <w:tc>
          <w:tcPr>
            <w:tcW w:w="1701" w:type="dxa"/>
          </w:tcPr>
          <w:p w14:paraId="5259F1D1"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5F9EC80C"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96D6E7E"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43779DDF" w14:textId="77777777" w:rsidTr="00242093">
        <w:tc>
          <w:tcPr>
            <w:tcW w:w="2003" w:type="dxa"/>
          </w:tcPr>
          <w:p w14:paraId="4EFBE0CB"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w:t>
            </w:r>
          </w:p>
        </w:tc>
        <w:tc>
          <w:tcPr>
            <w:tcW w:w="1701" w:type="dxa"/>
          </w:tcPr>
          <w:p w14:paraId="2FEBA1FD"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DB2435E"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3ACF72E5"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5EF05651"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744FA840" w14:textId="77777777" w:rsidTr="00242093">
        <w:tc>
          <w:tcPr>
            <w:tcW w:w="2003" w:type="dxa"/>
          </w:tcPr>
          <w:p w14:paraId="452C4741"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4EB65CA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450E77C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5715A45F"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4ACC115A" w14:textId="77777777" w:rsidTr="00242093">
        <w:tc>
          <w:tcPr>
            <w:tcW w:w="2003" w:type="dxa"/>
          </w:tcPr>
          <w:p w14:paraId="2EF693FD"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j,t</w:t>
            </w:r>
          </w:p>
        </w:tc>
        <w:tc>
          <w:tcPr>
            <w:tcW w:w="1701" w:type="dxa"/>
          </w:tcPr>
          <w:p w14:paraId="44982AC0"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1CACD96D"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2E1DDDA0"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1292870C" w14:textId="77777777" w:rsidTr="00242093">
        <w:tc>
          <w:tcPr>
            <w:tcW w:w="2003" w:type="dxa"/>
          </w:tcPr>
          <w:p w14:paraId="11C27573"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j,t-1</w:t>
            </w:r>
          </w:p>
        </w:tc>
        <w:tc>
          <w:tcPr>
            <w:tcW w:w="1701" w:type="dxa"/>
          </w:tcPr>
          <w:p w14:paraId="6C2088C1"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372B34FF"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0F9CEF3C"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4C7F7D59" w14:textId="77777777" w:rsidTr="00242093">
        <w:tc>
          <w:tcPr>
            <w:tcW w:w="2003" w:type="dxa"/>
          </w:tcPr>
          <w:p w14:paraId="1A539E52"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w:t>
            </w:r>
          </w:p>
        </w:tc>
        <w:tc>
          <w:tcPr>
            <w:tcW w:w="1701" w:type="dxa"/>
          </w:tcPr>
          <w:p w14:paraId="14ED63CB"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721A1878"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E29967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51F898DF"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p>
    <w:p w14:paraId="490D7F2C"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rPr>
        <w:t>Saldo por liquidar para cada Componente j:</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6116BCEC" w14:textId="77777777" w:rsidTr="00242093">
        <w:tc>
          <w:tcPr>
            <w:tcW w:w="2003" w:type="dxa"/>
          </w:tcPr>
          <w:p w14:paraId="25D4A4DC"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69C558A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52E6B22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774D071C"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5DF9ECC1" w14:textId="77777777" w:rsidTr="00242093">
        <w:tc>
          <w:tcPr>
            <w:tcW w:w="2003" w:type="dxa"/>
          </w:tcPr>
          <w:p w14:paraId="405A9E66"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Saldo_PPD1</w:t>
            </w:r>
            <w:r w:rsidRPr="00285D58">
              <w:rPr>
                <w:rFonts w:asciiTheme="minorHAnsi" w:hAnsiTheme="minorHAnsi" w:cstheme="minorHAnsi"/>
                <w:i/>
                <w:iCs/>
                <w:sz w:val="22"/>
                <w:szCs w:val="22"/>
                <w:vertAlign w:val="subscript"/>
                <w:lang w:val="es-PE" w:eastAsia="en-US"/>
              </w:rPr>
              <w:t>j,t</w:t>
            </w:r>
          </w:p>
        </w:tc>
        <w:tc>
          <w:tcPr>
            <w:tcW w:w="1701" w:type="dxa"/>
          </w:tcPr>
          <w:p w14:paraId="6F7B81C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702E7726"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419DCE23"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51DBD0B6" w14:textId="77777777" w:rsidTr="00242093">
        <w:tc>
          <w:tcPr>
            <w:tcW w:w="2003" w:type="dxa"/>
          </w:tcPr>
          <w:p w14:paraId="57FC925C"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Ajuste_PPD1</w:t>
            </w:r>
            <w:r w:rsidRPr="00285D58">
              <w:rPr>
                <w:rFonts w:asciiTheme="minorHAnsi" w:hAnsiTheme="minorHAnsi" w:cstheme="minorHAnsi"/>
                <w:i/>
                <w:iCs/>
                <w:sz w:val="22"/>
                <w:szCs w:val="22"/>
                <w:vertAlign w:val="subscript"/>
                <w:lang w:val="es-PE" w:eastAsia="en-US"/>
              </w:rPr>
              <w:t>j,t-1</w:t>
            </w:r>
          </w:p>
        </w:tc>
        <w:tc>
          <w:tcPr>
            <w:tcW w:w="1701" w:type="dxa"/>
          </w:tcPr>
          <w:p w14:paraId="0F87C2FE"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66504F81"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320701C6"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1F1694EF" w14:textId="77777777" w:rsidTr="00242093">
        <w:tc>
          <w:tcPr>
            <w:tcW w:w="2003" w:type="dxa"/>
          </w:tcPr>
          <w:p w14:paraId="78E2B067"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Saldo_Liq_PPD1</w:t>
            </w:r>
            <w:r w:rsidRPr="00285D58">
              <w:rPr>
                <w:rFonts w:asciiTheme="minorHAnsi" w:hAnsiTheme="minorHAnsi" w:cstheme="minorHAnsi"/>
                <w:i/>
                <w:iCs/>
                <w:sz w:val="22"/>
                <w:szCs w:val="22"/>
                <w:vertAlign w:val="subscript"/>
                <w:lang w:val="es-PE" w:eastAsia="en-US"/>
              </w:rPr>
              <w:t>j,t</w:t>
            </w:r>
          </w:p>
        </w:tc>
        <w:tc>
          <w:tcPr>
            <w:tcW w:w="1701" w:type="dxa"/>
          </w:tcPr>
          <w:p w14:paraId="2B965AE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Dólares</w:t>
            </w:r>
          </w:p>
        </w:tc>
        <w:tc>
          <w:tcPr>
            <w:tcW w:w="2817" w:type="dxa"/>
          </w:tcPr>
          <w:p w14:paraId="422A1095"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62CAF49A"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405C5843" w14:textId="77777777" w:rsidR="004A2CCE" w:rsidRPr="00285D58" w:rsidRDefault="004A2CCE" w:rsidP="008D1FFF">
      <w:pPr>
        <w:widowControl/>
        <w:spacing w:after="160" w:line="276" w:lineRule="auto"/>
        <w:ind w:firstLine="708"/>
        <w:jc w:val="both"/>
        <w:rPr>
          <w:rFonts w:asciiTheme="minorHAnsi" w:eastAsia="Calibri" w:hAnsiTheme="minorHAnsi" w:cstheme="minorHAnsi"/>
          <w:lang w:val="es-PE" w:eastAsia="en-US"/>
        </w:rPr>
      </w:pP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264F1B5D" w14:textId="77777777" w:rsidTr="00242093">
        <w:tc>
          <w:tcPr>
            <w:tcW w:w="2003" w:type="dxa"/>
          </w:tcPr>
          <w:p w14:paraId="31B2C819"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32B3450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226C884C"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38B5822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718F17BA" w14:textId="77777777" w:rsidTr="00242093">
        <w:tc>
          <w:tcPr>
            <w:tcW w:w="2003" w:type="dxa"/>
          </w:tcPr>
          <w:p w14:paraId="43D988A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Saldo_PPD2</w:t>
            </w:r>
            <w:r w:rsidRPr="00285D58">
              <w:rPr>
                <w:rFonts w:asciiTheme="minorHAnsi" w:hAnsiTheme="minorHAnsi" w:cstheme="minorHAnsi"/>
                <w:i/>
                <w:iCs/>
                <w:sz w:val="22"/>
                <w:szCs w:val="22"/>
                <w:vertAlign w:val="subscript"/>
                <w:lang w:val="es-PE" w:eastAsia="en-US"/>
              </w:rPr>
              <w:t>j,t</w:t>
            </w:r>
          </w:p>
        </w:tc>
        <w:tc>
          <w:tcPr>
            <w:tcW w:w="1701" w:type="dxa"/>
          </w:tcPr>
          <w:p w14:paraId="0B5CBF59"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02567CB"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360B7B89"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r w:rsidR="004A2CCE" w:rsidRPr="00285D58" w14:paraId="4EE99096" w14:textId="77777777" w:rsidTr="00242093">
        <w:tc>
          <w:tcPr>
            <w:tcW w:w="2003" w:type="dxa"/>
          </w:tcPr>
          <w:p w14:paraId="198E2472" w14:textId="77777777" w:rsidR="004A2CCE" w:rsidRPr="00285D58" w:rsidRDefault="004A2CCE" w:rsidP="008D1FFF">
            <w:pPr>
              <w:widowControl/>
              <w:spacing w:after="120" w:line="276" w:lineRule="auto"/>
              <w:jc w:val="center"/>
              <w:rPr>
                <w:rFonts w:asciiTheme="minorHAnsi" w:eastAsia="Calibri" w:hAnsiTheme="minorHAnsi" w:cstheme="minorHAnsi"/>
                <w:sz w:val="22"/>
                <w:szCs w:val="22"/>
                <w:lang w:val="es-PE" w:eastAsia="en-US"/>
              </w:rPr>
            </w:pPr>
            <w:r w:rsidRPr="00285D58">
              <w:rPr>
                <w:rFonts w:asciiTheme="minorHAnsi" w:hAnsiTheme="minorHAnsi" w:cstheme="minorHAnsi"/>
                <w:i/>
                <w:iCs/>
                <w:sz w:val="22"/>
                <w:szCs w:val="22"/>
                <w:lang w:val="es-PE" w:eastAsia="en-US"/>
              </w:rPr>
              <w:t>Ajuste_PPD2</w:t>
            </w:r>
            <w:r w:rsidRPr="00285D58">
              <w:rPr>
                <w:rFonts w:asciiTheme="minorHAnsi" w:hAnsiTheme="minorHAnsi" w:cstheme="minorHAnsi"/>
                <w:i/>
                <w:iCs/>
                <w:sz w:val="22"/>
                <w:szCs w:val="22"/>
                <w:vertAlign w:val="subscript"/>
                <w:lang w:val="es-PE" w:eastAsia="en-US"/>
              </w:rPr>
              <w:t>j,t-1</w:t>
            </w:r>
          </w:p>
        </w:tc>
        <w:tc>
          <w:tcPr>
            <w:tcW w:w="1701" w:type="dxa"/>
          </w:tcPr>
          <w:p w14:paraId="7D18F636"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41AA7CCA"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44821EEF"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r w:rsidR="004A2CCE" w:rsidRPr="00285D58" w14:paraId="26F9777C" w14:textId="77777777" w:rsidTr="00242093">
        <w:tc>
          <w:tcPr>
            <w:tcW w:w="2003" w:type="dxa"/>
          </w:tcPr>
          <w:p w14:paraId="715CBB8E" w14:textId="77777777" w:rsidR="004A2CCE" w:rsidRPr="00285D58" w:rsidRDefault="004A2CCE" w:rsidP="008D1FFF">
            <w:pPr>
              <w:widowControl/>
              <w:spacing w:after="120" w:line="276" w:lineRule="auto"/>
              <w:jc w:val="center"/>
              <w:rPr>
                <w:rFonts w:asciiTheme="minorHAnsi" w:hAnsiTheme="minorHAnsi" w:cstheme="minorHAnsi"/>
                <w:i/>
                <w:iCs/>
                <w:sz w:val="22"/>
                <w:szCs w:val="22"/>
                <w:lang w:val="es-PE" w:eastAsia="en-US"/>
              </w:rPr>
            </w:pPr>
            <w:r w:rsidRPr="00285D58">
              <w:rPr>
                <w:rFonts w:asciiTheme="minorHAnsi" w:hAnsiTheme="minorHAnsi" w:cstheme="minorHAnsi"/>
                <w:i/>
                <w:iCs/>
                <w:sz w:val="22"/>
                <w:szCs w:val="22"/>
                <w:lang w:val="es-PE" w:eastAsia="en-US"/>
              </w:rPr>
              <w:t>Saldo_Liq_PPD2</w:t>
            </w:r>
            <w:r w:rsidRPr="00285D58">
              <w:rPr>
                <w:rFonts w:asciiTheme="minorHAnsi" w:hAnsiTheme="minorHAnsi" w:cstheme="minorHAnsi"/>
                <w:i/>
                <w:iCs/>
                <w:sz w:val="22"/>
                <w:szCs w:val="22"/>
                <w:vertAlign w:val="subscript"/>
                <w:lang w:val="es-PE" w:eastAsia="en-US"/>
              </w:rPr>
              <w:t>j,t</w:t>
            </w:r>
          </w:p>
        </w:tc>
        <w:tc>
          <w:tcPr>
            <w:tcW w:w="1701" w:type="dxa"/>
          </w:tcPr>
          <w:p w14:paraId="0D943A77" w14:textId="77777777" w:rsidR="004A2CCE" w:rsidRPr="00285D58" w:rsidRDefault="004A2CCE" w:rsidP="008D1FFF">
            <w:pPr>
              <w:widowControl/>
              <w:spacing w:after="120" w:line="276" w:lineRule="auto"/>
              <w:ind w:left="61"/>
              <w:jc w:val="center"/>
              <w:rPr>
                <w:rFonts w:asciiTheme="minorHAnsi" w:eastAsia="Calibri" w:hAnsiTheme="minorHAnsi" w:cstheme="minorHAnsi"/>
                <w:sz w:val="22"/>
                <w:szCs w:val="22"/>
                <w:lang w:val="es-PE" w:eastAsia="en-US"/>
              </w:rPr>
            </w:pPr>
            <w:r w:rsidRPr="00285D58">
              <w:rPr>
                <w:rFonts w:asciiTheme="minorHAnsi" w:eastAsia="Calibri" w:hAnsiTheme="minorHAnsi" w:cstheme="minorHAnsi"/>
                <w:sz w:val="22"/>
                <w:szCs w:val="22"/>
                <w:lang w:val="es-PE" w:eastAsia="en-US"/>
              </w:rPr>
              <w:t>Soles</w:t>
            </w:r>
          </w:p>
        </w:tc>
        <w:tc>
          <w:tcPr>
            <w:tcW w:w="2817" w:type="dxa"/>
          </w:tcPr>
          <w:p w14:paraId="0A938EB9" w14:textId="77777777" w:rsidR="004A2CCE" w:rsidRPr="00285D58" w:rsidRDefault="004A2CCE" w:rsidP="008D1FFF">
            <w:pPr>
              <w:widowControl/>
              <w:spacing w:after="120" w:line="276" w:lineRule="auto"/>
              <w:ind w:left="61"/>
              <w:rPr>
                <w:rFonts w:asciiTheme="minorHAnsi" w:eastAsia="Calibri" w:hAnsiTheme="minorHAnsi" w:cstheme="minorHAnsi"/>
                <w:sz w:val="22"/>
                <w:szCs w:val="22"/>
                <w:lang w:val="es-PE" w:eastAsia="en-US"/>
              </w:rPr>
            </w:pPr>
          </w:p>
        </w:tc>
        <w:tc>
          <w:tcPr>
            <w:tcW w:w="1973" w:type="dxa"/>
          </w:tcPr>
          <w:p w14:paraId="59D6F81E" w14:textId="77777777" w:rsidR="004A2CCE" w:rsidRPr="00285D58" w:rsidRDefault="004A2CCE" w:rsidP="008D1FFF">
            <w:pPr>
              <w:widowControl/>
              <w:spacing w:after="120" w:line="276" w:lineRule="auto"/>
              <w:rPr>
                <w:rFonts w:asciiTheme="minorHAnsi" w:eastAsia="Calibri" w:hAnsiTheme="minorHAnsi" w:cstheme="minorHAnsi"/>
                <w:sz w:val="22"/>
                <w:szCs w:val="22"/>
                <w:lang w:val="es-PE" w:eastAsia="en-US"/>
              </w:rPr>
            </w:pPr>
          </w:p>
        </w:tc>
      </w:tr>
    </w:tbl>
    <w:p w14:paraId="4B6988B1" w14:textId="77777777" w:rsidR="004A2CCE" w:rsidRPr="00285D58" w:rsidRDefault="004A2CCE" w:rsidP="008D1FFF">
      <w:pPr>
        <w:widowControl/>
        <w:spacing w:after="160" w:line="276" w:lineRule="auto"/>
        <w:ind w:firstLine="708"/>
        <w:jc w:val="both"/>
        <w:rPr>
          <w:rFonts w:asciiTheme="minorHAnsi" w:eastAsia="Calibri" w:hAnsiTheme="minorHAnsi" w:cstheme="minorHAnsi"/>
          <w:lang w:val="es-PE" w:eastAsia="en-US"/>
        </w:rPr>
      </w:pPr>
    </w:p>
    <w:p w14:paraId="2AADD46E" w14:textId="77777777" w:rsidR="004A2CCE" w:rsidRPr="00285D58" w:rsidRDefault="004A2CCE" w:rsidP="008D1FFF">
      <w:pPr>
        <w:spacing w:after="240" w:line="276" w:lineRule="auto"/>
        <w:ind w:left="360"/>
        <w:jc w:val="both"/>
        <w:rPr>
          <w:rFonts w:asciiTheme="minorHAnsi" w:eastAsia="Calibri" w:hAnsiTheme="minorHAnsi" w:cstheme="minorHAnsi"/>
          <w:lang w:val="es-PE"/>
        </w:rPr>
      </w:pPr>
      <w:r w:rsidRPr="00285D58">
        <w:rPr>
          <w:rFonts w:asciiTheme="minorHAnsi" w:eastAsia="Calibri" w:hAnsiTheme="minorHAnsi" w:cstheme="minorHAnsi"/>
          <w:lang w:val="es-PE" w:eastAsia="en-US"/>
        </w:rPr>
        <w:t xml:space="preserve">Índice de Servicio </w:t>
      </w:r>
    </w:p>
    <w:tbl>
      <w:tblPr>
        <w:tblStyle w:val="Tablaconcuadrcula171"/>
        <w:tblW w:w="8494" w:type="dxa"/>
        <w:tblInd w:w="544" w:type="dxa"/>
        <w:tblLook w:val="04A0" w:firstRow="1" w:lastRow="0" w:firstColumn="1" w:lastColumn="0" w:noHBand="0" w:noVBand="1"/>
      </w:tblPr>
      <w:tblGrid>
        <w:gridCol w:w="2003"/>
        <w:gridCol w:w="1701"/>
        <w:gridCol w:w="2817"/>
        <w:gridCol w:w="1973"/>
      </w:tblGrid>
      <w:tr w:rsidR="004A2CCE" w:rsidRPr="00285D58" w14:paraId="0D338AFE" w14:textId="77777777" w:rsidTr="00242093">
        <w:tc>
          <w:tcPr>
            <w:tcW w:w="2003" w:type="dxa"/>
          </w:tcPr>
          <w:p w14:paraId="69BB498A"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Trimestre t</w:t>
            </w:r>
          </w:p>
        </w:tc>
        <w:tc>
          <w:tcPr>
            <w:tcW w:w="1701" w:type="dxa"/>
          </w:tcPr>
          <w:p w14:paraId="51011B35"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Unidad</w:t>
            </w:r>
          </w:p>
        </w:tc>
        <w:tc>
          <w:tcPr>
            <w:tcW w:w="2817" w:type="dxa"/>
          </w:tcPr>
          <w:p w14:paraId="327DA58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Norte</w:t>
            </w:r>
          </w:p>
        </w:tc>
        <w:tc>
          <w:tcPr>
            <w:tcW w:w="1973" w:type="dxa"/>
          </w:tcPr>
          <w:p w14:paraId="1945289B"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b/>
                <w:bCs/>
                <w:sz w:val="22"/>
                <w:szCs w:val="22"/>
                <w:lang w:val="es-PE" w:eastAsia="en-US"/>
              </w:rPr>
              <w:t>Componente Sur</w:t>
            </w:r>
          </w:p>
        </w:tc>
      </w:tr>
      <w:tr w:rsidR="004A2CCE" w:rsidRPr="00285D58" w14:paraId="012992C3" w14:textId="77777777" w:rsidTr="00242093">
        <w:tc>
          <w:tcPr>
            <w:tcW w:w="2003" w:type="dxa"/>
          </w:tcPr>
          <w:p w14:paraId="0D67ED18" w14:textId="77777777" w:rsidR="004A2CCE" w:rsidRPr="00285D58" w:rsidRDefault="004A2CCE" w:rsidP="008D1FFF">
            <w:pPr>
              <w:widowControl/>
              <w:spacing w:after="120" w:line="276" w:lineRule="auto"/>
              <w:jc w:val="center"/>
              <w:rPr>
                <w:rFonts w:asciiTheme="minorHAnsi" w:eastAsia="Calibri" w:hAnsiTheme="minorHAnsi" w:cstheme="minorHAnsi"/>
                <w:b/>
                <w:bCs/>
                <w:sz w:val="22"/>
                <w:szCs w:val="22"/>
                <w:lang w:val="es-PE" w:eastAsia="en-US"/>
              </w:rPr>
            </w:pPr>
            <w:r w:rsidRPr="00285D58">
              <w:rPr>
                <w:rFonts w:asciiTheme="minorHAnsi" w:hAnsiTheme="minorHAnsi" w:cstheme="minorHAnsi"/>
                <w:i/>
                <w:iCs/>
                <w:sz w:val="22"/>
                <w:szCs w:val="22"/>
                <w:lang w:val="es-PE" w:eastAsia="en-US"/>
              </w:rPr>
              <w:t>IdxServ</w:t>
            </w:r>
            <w:r w:rsidRPr="00285D58">
              <w:rPr>
                <w:rFonts w:asciiTheme="minorHAnsi" w:hAnsiTheme="minorHAnsi" w:cstheme="minorHAnsi"/>
                <w:i/>
                <w:iCs/>
                <w:sz w:val="22"/>
                <w:szCs w:val="22"/>
                <w:vertAlign w:val="subscript"/>
                <w:lang w:val="es-PE" w:eastAsia="en-US"/>
              </w:rPr>
              <w:t>j,t</w:t>
            </w:r>
          </w:p>
        </w:tc>
        <w:tc>
          <w:tcPr>
            <w:tcW w:w="1701" w:type="dxa"/>
          </w:tcPr>
          <w:p w14:paraId="66FF7BBF"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r w:rsidRPr="00285D58">
              <w:rPr>
                <w:rFonts w:asciiTheme="minorHAnsi" w:eastAsia="Calibri" w:hAnsiTheme="minorHAnsi" w:cstheme="minorHAnsi"/>
                <w:sz w:val="22"/>
                <w:szCs w:val="22"/>
                <w:lang w:val="es-PE" w:eastAsia="en-US"/>
              </w:rPr>
              <w:t>Número</w:t>
            </w:r>
          </w:p>
        </w:tc>
        <w:tc>
          <w:tcPr>
            <w:tcW w:w="2817" w:type="dxa"/>
          </w:tcPr>
          <w:p w14:paraId="723B39E8" w14:textId="77777777" w:rsidR="004A2CCE" w:rsidRPr="00285D58" w:rsidRDefault="004A2CCE" w:rsidP="008D1FFF">
            <w:pPr>
              <w:widowControl/>
              <w:spacing w:after="120" w:line="276" w:lineRule="auto"/>
              <w:ind w:left="61"/>
              <w:jc w:val="center"/>
              <w:rPr>
                <w:rFonts w:asciiTheme="minorHAnsi" w:eastAsia="Calibri" w:hAnsiTheme="minorHAnsi" w:cstheme="minorHAnsi"/>
                <w:b/>
                <w:bCs/>
                <w:sz w:val="22"/>
                <w:szCs w:val="22"/>
                <w:lang w:val="es-PE" w:eastAsia="en-US"/>
              </w:rPr>
            </w:pPr>
          </w:p>
        </w:tc>
        <w:tc>
          <w:tcPr>
            <w:tcW w:w="1973" w:type="dxa"/>
          </w:tcPr>
          <w:p w14:paraId="65296C38" w14:textId="77777777" w:rsidR="004A2CCE" w:rsidRPr="00285D58" w:rsidRDefault="004A2CCE" w:rsidP="008D1FFF">
            <w:pPr>
              <w:widowControl/>
              <w:spacing w:after="120" w:line="276" w:lineRule="auto"/>
              <w:ind w:left="144"/>
              <w:jc w:val="center"/>
              <w:rPr>
                <w:rFonts w:asciiTheme="minorHAnsi" w:eastAsia="Calibri" w:hAnsiTheme="minorHAnsi" w:cstheme="minorHAnsi"/>
                <w:b/>
                <w:bCs/>
                <w:sz w:val="22"/>
                <w:szCs w:val="22"/>
                <w:lang w:val="es-PE" w:eastAsia="en-US"/>
              </w:rPr>
            </w:pPr>
          </w:p>
        </w:tc>
      </w:tr>
    </w:tbl>
    <w:p w14:paraId="32F00454" w14:textId="77777777" w:rsidR="004A2CCE" w:rsidRPr="00285D58" w:rsidRDefault="004A2CCE" w:rsidP="008D1FFF">
      <w:pPr>
        <w:widowControl/>
        <w:spacing w:after="160" w:line="276" w:lineRule="auto"/>
        <w:jc w:val="both"/>
        <w:rPr>
          <w:rFonts w:asciiTheme="minorHAnsi" w:eastAsia="Calibri" w:hAnsiTheme="minorHAnsi" w:cstheme="minorHAnsi"/>
        </w:rPr>
      </w:pPr>
    </w:p>
    <w:p w14:paraId="767408F4" w14:textId="3196B0BF" w:rsidR="0087741F" w:rsidRPr="00285D58" w:rsidRDefault="0087741F" w:rsidP="008D1FFF">
      <w:pPr>
        <w:widowControl/>
        <w:spacing w:after="160" w:line="276" w:lineRule="auto"/>
        <w:jc w:val="both"/>
        <w:rPr>
          <w:rFonts w:asciiTheme="minorHAnsi" w:eastAsia="Calibri" w:hAnsiTheme="minorHAnsi" w:cstheme="minorHAnsi"/>
        </w:rPr>
      </w:pPr>
    </w:p>
    <w:p w14:paraId="7D0766D3" w14:textId="740DD6BE" w:rsidR="00A4505C" w:rsidRPr="00285D58" w:rsidRDefault="00A4505C" w:rsidP="008D1FFF">
      <w:pPr>
        <w:spacing w:line="276" w:lineRule="auto"/>
        <w:rPr>
          <w:rFonts w:asciiTheme="minorHAnsi" w:eastAsia="Calibri" w:hAnsiTheme="minorHAnsi" w:cstheme="minorHAnsi"/>
        </w:rPr>
      </w:pPr>
      <w:r w:rsidRPr="00285D58">
        <w:rPr>
          <w:rFonts w:asciiTheme="minorHAnsi" w:eastAsia="Calibri" w:hAnsiTheme="minorHAnsi" w:cstheme="minorHAnsi"/>
        </w:rPr>
        <w:br w:type="page"/>
      </w:r>
    </w:p>
    <w:p w14:paraId="51F42B16" w14:textId="77777777" w:rsidR="0087741F" w:rsidRPr="00285D58" w:rsidRDefault="0087741F" w:rsidP="008D1FFF">
      <w:pPr>
        <w:widowControl/>
        <w:spacing w:after="160" w:line="276" w:lineRule="auto"/>
        <w:jc w:val="both"/>
        <w:rPr>
          <w:rFonts w:asciiTheme="minorHAnsi" w:eastAsia="Calibri" w:hAnsiTheme="minorHAnsi" w:cstheme="minorHAnsi"/>
        </w:rPr>
      </w:pPr>
    </w:p>
    <w:p w14:paraId="6B697505" w14:textId="77777777" w:rsidR="0087741F" w:rsidRPr="00285D58" w:rsidRDefault="0087741F" w:rsidP="008D1FFF">
      <w:pPr>
        <w:widowControl/>
        <w:spacing w:after="160" w:line="276" w:lineRule="auto"/>
        <w:jc w:val="both"/>
        <w:rPr>
          <w:rFonts w:asciiTheme="minorHAnsi" w:eastAsia="Calibri" w:hAnsiTheme="minorHAnsi" w:cstheme="minorHAnsi"/>
        </w:rPr>
      </w:pPr>
    </w:p>
    <w:p w14:paraId="000030E7" w14:textId="07CD80E2" w:rsidR="00F664DB"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5" w:name="_heading=h.2250f4o" w:colFirst="0" w:colLast="0"/>
      <w:bookmarkStart w:id="346" w:name="_Toc193979299"/>
      <w:bookmarkEnd w:id="345"/>
      <w:r w:rsidRPr="00285D58">
        <w:rPr>
          <w:rFonts w:asciiTheme="minorHAnsi" w:eastAsia="Calibri" w:hAnsiTheme="minorHAnsi" w:cstheme="minorHAnsi"/>
          <w:b/>
          <w:color w:val="1F4E79"/>
          <w:sz w:val="24"/>
          <w:szCs w:val="24"/>
          <w:u w:val="single"/>
        </w:rPr>
        <w:t>ANEXO 12: TABLA DE PENALIDADES</w:t>
      </w:r>
      <w:bookmarkEnd w:id="346"/>
    </w:p>
    <w:p w14:paraId="000030E8" w14:textId="77777777" w:rsidR="00F664DB" w:rsidRPr="00285D58" w:rsidRDefault="00F664DB" w:rsidP="008D1FFF">
      <w:pPr>
        <w:widowControl/>
        <w:spacing w:after="160" w:line="276" w:lineRule="auto"/>
        <w:jc w:val="both"/>
        <w:rPr>
          <w:rFonts w:asciiTheme="minorHAnsi" w:eastAsia="Calibri" w:hAnsiTheme="minorHAnsi" w:cstheme="minorHAnsi"/>
          <w:b/>
          <w:color w:val="4F81BD"/>
          <w:sz w:val="28"/>
          <w:szCs w:val="28"/>
          <w:u w:val="single"/>
          <w:lang w:val="es-PE"/>
        </w:rPr>
      </w:pPr>
    </w:p>
    <w:tbl>
      <w:tblPr>
        <w:tblW w:w="8828" w:type="dxa"/>
        <w:jc w:val="center"/>
        <w:tblLayout w:type="fixed"/>
        <w:tblLook w:val="0400" w:firstRow="0" w:lastRow="0" w:firstColumn="0" w:lastColumn="0" w:noHBand="0" w:noVBand="1"/>
      </w:tblPr>
      <w:tblGrid>
        <w:gridCol w:w="1356"/>
        <w:gridCol w:w="1321"/>
        <w:gridCol w:w="4616"/>
        <w:gridCol w:w="1535"/>
      </w:tblGrid>
      <w:tr w:rsidR="00CA5B93" w:rsidRPr="00285D58" w14:paraId="68EEFD92" w14:textId="77777777" w:rsidTr="00AD76BB">
        <w:trPr>
          <w:trHeight w:val="454"/>
          <w:tblHeader/>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9202EB"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Cláusula</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86B149"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Monto</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4C1508"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Descripción de penalidad</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CFDA1A" w14:textId="77777777" w:rsidR="00CA5B93" w:rsidRPr="00285D58" w:rsidRDefault="00CA5B93" w:rsidP="008D1FFF">
            <w:pPr>
              <w:spacing w:line="276" w:lineRule="auto"/>
              <w:jc w:val="both"/>
              <w:rPr>
                <w:rFonts w:asciiTheme="minorHAnsi" w:hAnsiTheme="minorHAnsi" w:cstheme="minorHAnsi"/>
                <w:b/>
              </w:rPr>
            </w:pPr>
            <w:r w:rsidRPr="00285D58">
              <w:rPr>
                <w:rFonts w:asciiTheme="minorHAnsi" w:hAnsiTheme="minorHAnsi" w:cstheme="minorHAnsi"/>
                <w:b/>
              </w:rPr>
              <w:t>Criterio de Aplicación</w:t>
            </w:r>
          </w:p>
        </w:tc>
      </w:tr>
      <w:tr w:rsidR="00CA5B93" w:rsidRPr="00285D58" w14:paraId="77675B47" w14:textId="77777777" w:rsidTr="00AD76BB">
        <w:trPr>
          <w:trHeight w:val="454"/>
          <w:jc w:val="center"/>
        </w:trPr>
        <w:tc>
          <w:tcPr>
            <w:tcW w:w="7293" w:type="dxa"/>
            <w:gridSpan w:val="3"/>
            <w:tcBorders>
              <w:top w:val="single" w:sz="6" w:space="0" w:color="000000"/>
              <w:left w:val="single" w:sz="4" w:space="0" w:color="000000"/>
              <w:bottom w:val="single" w:sz="6" w:space="0" w:color="000000"/>
              <w:right w:val="single" w:sz="4" w:space="0" w:color="000000"/>
            </w:tcBorders>
            <w:tcMar>
              <w:top w:w="0" w:type="dxa"/>
              <w:left w:w="115" w:type="dxa"/>
              <w:bottom w:w="0" w:type="dxa"/>
              <w:right w:w="115" w:type="dxa"/>
            </w:tcMar>
            <w:vAlign w:val="center"/>
          </w:tcPr>
          <w:p w14:paraId="3382B9F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Capítulo IV del Contrato: Vigencia de la Concesión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25BA42" w14:textId="77777777" w:rsidR="00CA5B93" w:rsidRPr="00285D58" w:rsidRDefault="00CA5B93" w:rsidP="008D1FFF">
            <w:pPr>
              <w:spacing w:line="276" w:lineRule="auto"/>
              <w:jc w:val="both"/>
              <w:rPr>
                <w:rFonts w:asciiTheme="minorHAnsi" w:hAnsiTheme="minorHAnsi" w:cstheme="minorHAnsi"/>
              </w:rPr>
            </w:pPr>
          </w:p>
        </w:tc>
      </w:tr>
      <w:tr w:rsidR="00CA5B93" w:rsidRPr="00285D58" w14:paraId="6016A274" w14:textId="77777777" w:rsidTr="00AD76BB">
        <w:trPr>
          <w:trHeight w:val="454"/>
          <w:jc w:val="center"/>
        </w:trPr>
        <w:tc>
          <w:tcPr>
            <w:tcW w:w="135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325A2C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Cláusula 4.18</w:t>
            </w:r>
          </w:p>
        </w:tc>
        <w:tc>
          <w:tcPr>
            <w:tcW w:w="1321" w:type="dxa"/>
            <w:tcBorders>
              <w:top w:val="single" w:sz="4" w:space="0" w:color="000000"/>
              <w:left w:val="single" w:sz="6" w:space="0" w:color="000000"/>
              <w:bottom w:val="single" w:sz="4" w:space="0" w:color="000000"/>
              <w:right w:val="single" w:sz="4" w:space="0" w:color="000000"/>
            </w:tcBorders>
            <w:tcMar>
              <w:top w:w="0" w:type="dxa"/>
              <w:left w:w="115" w:type="dxa"/>
              <w:bottom w:w="0" w:type="dxa"/>
              <w:right w:w="115" w:type="dxa"/>
            </w:tcMar>
            <w:vAlign w:val="center"/>
          </w:tcPr>
          <w:p w14:paraId="65E3CE5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6EE19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reinicia el cumplimiento de sus obligaciones en un plazo mayor al aprobado para la suspensión de obligaciones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D0B0A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 hasta el reinicio de obligaciones</w:t>
            </w:r>
          </w:p>
        </w:tc>
      </w:tr>
      <w:tr w:rsidR="00CA5B93" w:rsidRPr="00285D58" w14:paraId="7B963E94" w14:textId="77777777" w:rsidTr="00AD76BB">
        <w:trPr>
          <w:trHeight w:val="454"/>
          <w:jc w:val="center"/>
        </w:trPr>
        <w:tc>
          <w:tcPr>
            <w:tcW w:w="8828" w:type="dxa"/>
            <w:gridSpan w:val="4"/>
            <w:tcBorders>
              <w:top w:val="single" w:sz="6"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63328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Capítulo V del Contrato: Régimen de Bienes </w:t>
            </w:r>
          </w:p>
        </w:tc>
      </w:tr>
      <w:tr w:rsidR="00CA5B93" w:rsidRPr="00285D58" w14:paraId="223DB90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EBB64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BD1EE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784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Trasladar los Bienes de la Concesión fuera del Área de la Concesión sin la autorización del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94098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1BB189F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EF88D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60CD3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AE54A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Transferir cualquier Bien de la Concesión destinado a la ejecución del Contrato separadamente de la Concesión o hipotecados, sin contar con la autorización del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F387E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2B8E68F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0611D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5.10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E6069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96D6C0" w14:textId="5EB64498" w:rsidR="00CA5B93" w:rsidRPr="00285D58" w:rsidRDefault="00CA5B93" w:rsidP="00560F02">
            <w:pPr>
              <w:spacing w:line="276" w:lineRule="auto"/>
              <w:jc w:val="both"/>
              <w:rPr>
                <w:rFonts w:asciiTheme="minorHAnsi" w:hAnsiTheme="minorHAnsi" w:cstheme="minorHAnsi"/>
              </w:rPr>
            </w:pPr>
            <w:r w:rsidRPr="00285D58">
              <w:rPr>
                <w:rFonts w:asciiTheme="minorHAnsi" w:hAnsiTheme="minorHAnsi" w:cstheme="minorHAnsi"/>
              </w:rPr>
              <w:t>No inscribir los Bienes de la Concesión susceptibles de inscripción en el Registro de Concesiones de la Superintendencia Nacional de Registros Públicos (SUNARP) dentro de</w:t>
            </w:r>
            <w:r w:rsidR="00560F02">
              <w:rPr>
                <w:rFonts w:asciiTheme="minorHAnsi" w:hAnsiTheme="minorHAnsi" w:cstheme="minorHAnsi"/>
              </w:rPr>
              <w:t xml:space="preserve"> </w:t>
            </w:r>
            <w:r w:rsidRPr="00285D58">
              <w:rPr>
                <w:rFonts w:asciiTheme="minorHAnsi" w:hAnsiTheme="minorHAnsi" w:cstheme="minorHAnsi"/>
              </w:rPr>
              <w:t>l</w:t>
            </w:r>
            <w:r w:rsidR="00560F02">
              <w:rPr>
                <w:rFonts w:asciiTheme="minorHAnsi" w:hAnsiTheme="minorHAnsi" w:cstheme="minorHAnsi"/>
              </w:rPr>
              <w:t>os</w:t>
            </w:r>
            <w:r w:rsidRPr="00285D58">
              <w:rPr>
                <w:rFonts w:asciiTheme="minorHAnsi" w:hAnsiTheme="minorHAnsi" w:cstheme="minorHAnsi"/>
              </w:rPr>
              <w:t xml:space="preserve"> plazo</w:t>
            </w:r>
            <w:r w:rsidR="00560F02">
              <w:rPr>
                <w:rFonts w:asciiTheme="minorHAnsi" w:hAnsiTheme="minorHAnsi" w:cstheme="minorHAnsi"/>
              </w:rPr>
              <w:t>s</w:t>
            </w:r>
            <w:r w:rsidRPr="00285D58">
              <w:rPr>
                <w:rFonts w:asciiTheme="minorHAnsi" w:hAnsiTheme="minorHAnsi" w:cstheme="minorHAnsi"/>
              </w:rPr>
              <w:t xml:space="preserve"> máximo</w:t>
            </w:r>
            <w:r w:rsidR="00560F02">
              <w:rPr>
                <w:rFonts w:asciiTheme="minorHAnsi" w:hAnsiTheme="minorHAnsi" w:cstheme="minorHAnsi"/>
              </w:rPr>
              <w:t>s</w:t>
            </w:r>
            <w:r w:rsidRPr="00285D58">
              <w:rPr>
                <w:rFonts w:asciiTheme="minorHAnsi" w:hAnsiTheme="minorHAnsi" w:cstheme="minorHAnsi"/>
              </w:rPr>
              <w:t xml:space="preserve"> señalado</w:t>
            </w:r>
            <w:r w:rsidR="00560F02">
              <w:rPr>
                <w:rFonts w:asciiTheme="minorHAnsi" w:hAnsiTheme="minorHAnsi" w:cstheme="minorHAnsi"/>
              </w:rPr>
              <w:t>s</w:t>
            </w:r>
            <w:r w:rsidRPr="00285D58">
              <w:rPr>
                <w:rFonts w:asciiTheme="minorHAnsi" w:hAnsiTheme="minorHAnsi" w:cstheme="minorHAnsi"/>
              </w:rPr>
              <w:t xml:space="preserve"> en la Cláusula por causas atribuibles al CONCESIONARIO.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B930B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5FDD3F7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5EBEE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CF5E1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989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mantener indemne al CONCEDENTE respecto de y contra cualquier acción o excepción de naturaleza legal, administrativa, arbitral o contractual o reclamo de cualquier naturaleza respecto de los Bienes de la Concesión o Bienes Afectados a la Concesión de acuerdo a lo dispuesto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0DF0D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9C1DBC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D8E53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5.28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DEB4B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C7B7B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Inventario de Obras, y Equipamiento Electromecánico y Bienes Afectados a la Concesión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E0664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53CA04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18935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5.30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DA5A9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D1F36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Inventario Anual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727D4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052107D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DD7FF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5.32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82D4B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281E5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las subsanaciones por el levantamiento de observaciones del CONCEDENTE a los Inventarios Anual  y Final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21CF7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0662308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365D0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5.35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9BCFE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839C2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realizar las gestiones de inscripción de las servidumbres correspondientes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0A1F5F" w14:textId="5920349C"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37E555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EC09D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42B82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39E8BD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ejercer las defensas posesorias de los Bienes de la Concesión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67F71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4E9E26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9BCDD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3524B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CDAE3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proporcionar al Supervisor los informes sobre la ejecución de las reposiciones o reemplazos de los Bienes de la Concesión en el plazo previsto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A1168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D164FC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9F6D7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369B1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E776D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En el caso de Terminación del Contrato, no cumplir con entregar al CONCEDENTE, en el plazo previsto en la cláusula, todos los Bienes de la Concesión de acuerdo a lo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C6577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0420672"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FEDC6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5.47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596EB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F88D7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no suscribe el Acta de Reversión de los Bienes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56D54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7EADC5A"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FE400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b/>
              </w:rPr>
              <w:t xml:space="preserve">Sección VI del Contrato: Del Diseño y ejecución de Obras </w:t>
            </w:r>
          </w:p>
        </w:tc>
      </w:tr>
      <w:tr w:rsidR="00CA5B93" w:rsidRPr="00285D58" w14:paraId="30303E3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144F0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295DD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02032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elaborar los Estudios Definitivos de Ingeniería, de forma independiente por cada Área de la Concesión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40E22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67EFCFD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D0AF1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D99B4F" w14:textId="438F2E3F"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0.5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28080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el Plan de Trabajo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C7F431" w14:textId="66EDFE1A"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4A01EDE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06703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0B850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FC683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los EDI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35EE4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6BCF91E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10C34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6.15, 6.17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1F9CF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D6397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del EDI en el plazo previsto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68C80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3313B20C"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1E574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07873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DB91A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obtener las licencias, permisos o autorizaciones necesarias para la ejecución de las Obras en el plazo máximo previsto o no mantenerlas vigentes.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6F04A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5D38DFE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A2559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BA7CE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55F40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abrir los cuadernos de obra digitales operativos antes de la suscripción del Acta de Inicio de la Construcción de Obras y Equipamiento Electromecánico o no mantener actualizados.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80333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2682A60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F287F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6.26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561F6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FEF5F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incluir en el cuaderno de obra digital la información mínima prevista.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2E551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01A072F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28122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6.27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4CC06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7CFFD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dar acceso al CONCEDENTE y al Supervisor a los cuadernos de obra digitales en los términos previstos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7084B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65934DCF"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3674BB2"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CF969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D153FE" w14:textId="2F7409EE"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El CONCESIONARIO no cumple con suscribir el Acta de Inicio de la Construcción</w:t>
            </w:r>
            <w:r w:rsidR="000E6243" w:rsidRPr="00285D58">
              <w:rPr>
                <w:rFonts w:asciiTheme="minorHAnsi" w:hAnsiTheme="minorHAnsi" w:cstheme="minorHAnsi"/>
              </w:rPr>
              <w:t xml:space="preserve"> de Obras y Equipamiento Electromecánico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8FFAC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0D43DF1"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1CED47"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C7B4A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6B42AA"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ejecutar las Obras o no implementar el Equipamiento Electromecánico según lo previsto en los Estudios Definitivos de Ingeniería correspondientes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E94A4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9E03598"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593BD1"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587EB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03133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cumplir con las normas de seguridad según las Leyes y Disposiciones Aplicables.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0611A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5707700A"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74E0DC"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E32D3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497F6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Ejecutar las Obras e implementación de Equipamiento Electromecánico en un plazo mayor al previsto en el cronograma aprobado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A95AA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7D91D664"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3621263"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68493C" w14:textId="533A15C5" w:rsidR="00CA5B93" w:rsidRPr="00285D58" w:rsidRDefault="000E6243" w:rsidP="008D1FFF">
            <w:pPr>
              <w:spacing w:line="276" w:lineRule="auto"/>
              <w:jc w:val="both"/>
              <w:rPr>
                <w:rFonts w:asciiTheme="minorHAnsi" w:hAnsiTheme="minorHAnsi" w:cstheme="minorHAnsi"/>
              </w:rPr>
            </w:pPr>
            <w:r w:rsidRPr="00285D58">
              <w:rPr>
                <w:rFonts w:asciiTheme="minorHAnsi" w:hAnsiTheme="minorHAnsi" w:cstheme="minorHAnsi"/>
              </w:rPr>
              <w:t>1</w:t>
            </w:r>
            <w:r w:rsidR="00CA5B93" w:rsidRPr="00285D58">
              <w:rPr>
                <w:rFonts w:asciiTheme="minorHAnsi" w:hAnsiTheme="minorHAnsi" w:cstheme="minorHAnsi"/>
              </w:rPr>
              <w:t xml:space="preserve">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CE8ADD" w14:textId="7661F6BD"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entregar al CONCEDENTE y al Supervisor, </w:t>
            </w:r>
            <w:r w:rsidR="000E6243" w:rsidRPr="00285D58">
              <w:rPr>
                <w:rFonts w:asciiTheme="minorHAnsi" w:hAnsiTheme="minorHAnsi" w:cstheme="minorHAnsi"/>
              </w:rPr>
              <w:t xml:space="preserve">la información sobre el desarrollo de </w:t>
            </w:r>
            <w:r w:rsidR="00E90444" w:rsidRPr="00285D58">
              <w:rPr>
                <w:rFonts w:asciiTheme="minorHAnsi" w:hAnsiTheme="minorHAnsi" w:cstheme="minorHAnsi"/>
              </w:rPr>
              <w:t>Avance</w:t>
            </w:r>
            <w:r w:rsidR="000E6243" w:rsidRPr="00285D58">
              <w:rPr>
                <w:rFonts w:asciiTheme="minorHAnsi" w:hAnsiTheme="minorHAnsi" w:cstheme="minorHAnsi"/>
              </w:rPr>
              <w:t xml:space="preserve"> de las Obras e implementación del Equipamiento Electromecánico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B23B1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3D08299C" w14:textId="77777777" w:rsidTr="00BB5F42">
        <w:trPr>
          <w:trHeight w:val="273"/>
          <w:jc w:val="center"/>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EDAAFE4" w14:textId="77777777" w:rsidR="00CA5B93" w:rsidRPr="00BC3181" w:rsidRDefault="00CA5B93" w:rsidP="008D1FFF">
            <w:pPr>
              <w:spacing w:line="276" w:lineRule="auto"/>
              <w:jc w:val="both"/>
              <w:rPr>
                <w:rFonts w:asciiTheme="minorHAnsi" w:hAnsiTheme="minorHAnsi" w:cstheme="minorHAnsi"/>
              </w:rPr>
            </w:pPr>
            <w:r w:rsidRPr="00BC3181">
              <w:rPr>
                <w:rFonts w:asciiTheme="minorHAnsi" w:hAnsiTheme="minorHAnsi" w:cstheme="minorHAnsi"/>
              </w:rPr>
              <w:t>6.38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9A9785"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B38D0C" w14:textId="27439823"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Los </w:t>
            </w:r>
            <w:r w:rsidR="000E6243" w:rsidRPr="00285D58">
              <w:rPr>
                <w:rFonts w:asciiTheme="minorHAnsi" w:hAnsiTheme="minorHAnsi" w:cstheme="minorHAnsi"/>
              </w:rPr>
              <w:t>informes</w:t>
            </w:r>
            <w:r w:rsidRPr="00285D58">
              <w:rPr>
                <w:rFonts w:asciiTheme="minorHAnsi" w:hAnsiTheme="minorHAnsi" w:cstheme="minorHAnsi"/>
              </w:rPr>
              <w:t xml:space="preserve"> no incluyen lo mínimo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370D5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AA2502A"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311F6F" w14:textId="67304AB5"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w:t>
            </w:r>
            <w:r w:rsidR="000E6243" w:rsidRPr="00285D58">
              <w:rPr>
                <w:rFonts w:asciiTheme="minorHAnsi" w:hAnsiTheme="minorHAnsi" w:cstheme="minorHAnsi"/>
              </w:rPr>
              <w:t>39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8FD664" w14:textId="42AEF358" w:rsidR="00CA5B93" w:rsidRPr="00285D58" w:rsidRDefault="000E6243" w:rsidP="008D1FFF">
            <w:pPr>
              <w:spacing w:line="276" w:lineRule="auto"/>
              <w:jc w:val="both"/>
              <w:rPr>
                <w:rFonts w:asciiTheme="minorHAnsi" w:hAnsiTheme="minorHAnsi" w:cstheme="minorHAnsi"/>
              </w:rPr>
            </w:pPr>
            <w:r w:rsidRPr="00285D58">
              <w:rPr>
                <w:rFonts w:asciiTheme="minorHAnsi" w:hAnsiTheme="minorHAnsi" w:cstheme="minorHAnsi"/>
              </w:rPr>
              <w:t>1</w:t>
            </w:r>
            <w:r w:rsidR="00CA5B93" w:rsidRPr="00285D58">
              <w:rPr>
                <w:rFonts w:asciiTheme="minorHAnsi" w:hAnsiTheme="minorHAnsi" w:cstheme="minorHAnsi"/>
              </w:rPr>
              <w:t xml:space="preserve">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2097E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presentar al Supervisor o el CONCEDENTE los informes ampliatorios que sean solicitados.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70C0D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4F7E007F"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EA6294"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6.41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D4A368"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8D85E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solicitar la recepción de las Obras e implementación de Equipamiento Electromecánico adjuntando la documentación señalada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55CBF3"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10CF054C"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E5D799" w14:textId="36A9DE04"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6.44</w:t>
            </w:r>
            <w:r w:rsidR="000E6243" w:rsidRPr="00285D58">
              <w:rPr>
                <w:rFonts w:asciiTheme="minorHAnsi" w:hAnsiTheme="minorHAnsi" w:cstheme="minorHAnsi"/>
              </w:rPr>
              <w:t>. 6.46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8CE77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97B23D"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Atraso en la subsanación de observaciones dentro del plazo máximo establecido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9DC65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2DD2ADC5"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CFD777"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89CFE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FA1C2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brinda al Supervisor las facilidades de acceso respectivo a las instalaciones en las zonas respectivas para la verificación de las pruebas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15C27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vez</w:t>
            </w:r>
          </w:p>
        </w:tc>
      </w:tr>
      <w:tr w:rsidR="00CA5B93" w:rsidRPr="00285D58" w14:paraId="76C20E1F"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61242E"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B5A25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E22F00C"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o implementar las recomendaciones del Supervisor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5FFEE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CA5B93" w:rsidRPr="00285D58" w14:paraId="2D201D51" w14:textId="77777777" w:rsidTr="00AD76BB">
        <w:trPr>
          <w:trHeight w:val="273"/>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A4BC4B"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6.56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D834A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67E4D9"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 xml:space="preserve">No iniciar la gestión para la emisión del </w:t>
            </w:r>
            <w:r w:rsidRPr="00285D58">
              <w:rPr>
                <w:rFonts w:asciiTheme="minorHAnsi" w:hAnsiTheme="minorHAnsi" w:cstheme="minorHAnsi"/>
              </w:rPr>
              <w:lastRenderedPageBreak/>
              <w:t>Certificado de Puesta en Marcha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C322EF"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 xml:space="preserve">Cada Día </w:t>
            </w:r>
            <w:r w:rsidRPr="00285D58">
              <w:rPr>
                <w:rFonts w:asciiTheme="minorHAnsi" w:hAnsiTheme="minorHAnsi" w:cstheme="minorHAnsi"/>
              </w:rPr>
              <w:lastRenderedPageBreak/>
              <w:t>Calendario</w:t>
            </w:r>
          </w:p>
        </w:tc>
      </w:tr>
      <w:tr w:rsidR="00CA5B93" w:rsidRPr="00285D58" w14:paraId="0867FA7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1174E2"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lastRenderedPageBreak/>
              <w:t>6.57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BDCE60"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A335A1"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No subsanar las observaciones para la emisión del Certificado de Puesta en Marcha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4D4BF6" w14:textId="77777777" w:rsidR="00CA5B93" w:rsidRPr="00285D58" w:rsidRDefault="00CA5B93" w:rsidP="008D1FFF">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29D87E5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DC09EB" w14:textId="285E21FD" w:rsidR="00BD3AF0" w:rsidRPr="00BD3AF0" w:rsidRDefault="00BD3AF0" w:rsidP="00BD3AF0">
            <w:pPr>
              <w:spacing w:line="276" w:lineRule="auto"/>
              <w:jc w:val="both"/>
              <w:rPr>
                <w:rFonts w:asciiTheme="minorHAnsi" w:hAnsiTheme="minorHAnsi" w:cstheme="minorHAnsi"/>
              </w:rPr>
            </w:pPr>
            <w:r w:rsidRPr="00BB5F42">
              <w:rPr>
                <w:rFonts w:asciiTheme="minorHAnsi" w:hAnsiTheme="minorHAnsi" w:cstheme="minorHAnsi"/>
              </w:rPr>
              <w:t>6.60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752E1F" w14:textId="3E4AB210"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774C7A" w14:textId="529DF0C5"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implementar el SIDIG de acuerdo con los alcances mínimos </w:t>
            </w:r>
            <w:r>
              <w:rPr>
                <w:rFonts w:asciiTheme="minorHAnsi" w:hAnsiTheme="minorHAnsi" w:cstheme="minorHAnsi"/>
              </w:rPr>
              <w:t xml:space="preserve">o actividades </w:t>
            </w:r>
            <w:r w:rsidRPr="00285D58">
              <w:rPr>
                <w:rFonts w:asciiTheme="minorHAnsi" w:hAnsiTheme="minorHAnsi" w:cstheme="minorHAnsi"/>
              </w:rPr>
              <w:t xml:space="preserve">dispuestos en la </w:t>
            </w:r>
            <w:r>
              <w:rPr>
                <w:rFonts w:asciiTheme="minorHAnsi" w:hAnsiTheme="minorHAnsi" w:cstheme="minorHAnsi"/>
              </w:rPr>
              <w:t>C</w:t>
            </w:r>
            <w:r w:rsidRPr="00285D58">
              <w:rPr>
                <w:rFonts w:asciiTheme="minorHAnsi" w:hAnsiTheme="minorHAnsi" w:cstheme="minorHAnsi"/>
              </w:rPr>
              <w:t xml:space="preserve">láusula 6.60 </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BDCFC5" w14:textId="102A910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6A37959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00F98F" w14:textId="77777777" w:rsidR="00BD3AF0" w:rsidRPr="00BD3AF0" w:rsidRDefault="00BD3AF0" w:rsidP="00BD3AF0">
            <w:pPr>
              <w:spacing w:line="276" w:lineRule="auto"/>
              <w:jc w:val="both"/>
              <w:rPr>
                <w:rFonts w:asciiTheme="minorHAnsi" w:hAnsiTheme="minorHAnsi" w:cstheme="minorHAnsi"/>
              </w:rPr>
            </w:pPr>
            <w:r w:rsidRPr="00BD3AF0">
              <w:rPr>
                <w:rFonts w:asciiTheme="minorHAnsi" w:hAnsiTheme="minorHAnsi" w:cstheme="minorHAnsi"/>
              </w:rPr>
              <w:t>6.62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7291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3B4E31" w14:textId="7551A1A3"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implementar el SIDIG durante el periodo </w:t>
            </w:r>
            <w:r>
              <w:rPr>
                <w:rFonts w:asciiTheme="minorHAnsi" w:hAnsiTheme="minorHAnsi" w:cstheme="minorHAnsi"/>
              </w:rPr>
              <w:t>P</w:t>
            </w:r>
            <w:r w:rsidRPr="00285D58">
              <w:rPr>
                <w:rFonts w:asciiTheme="minorHAnsi" w:hAnsiTheme="minorHAnsi" w:cstheme="minorHAnsi"/>
              </w:rPr>
              <w:t>re</w:t>
            </w:r>
            <w:r>
              <w:rPr>
                <w:rFonts w:asciiTheme="minorHAnsi" w:hAnsiTheme="minorHAnsi" w:cstheme="minorHAnsi"/>
              </w:rPr>
              <w:t>-O</w:t>
            </w:r>
            <w:r w:rsidRPr="00285D58">
              <w:rPr>
                <w:rFonts w:asciiTheme="minorHAnsi" w:hAnsiTheme="minorHAnsi" w:cstheme="minorHAnsi"/>
              </w:rPr>
              <w:t>perativo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33971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C385BDB"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821A5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VII del Contrato: Operación y Mantenimiento</w:t>
            </w:r>
          </w:p>
        </w:tc>
      </w:tr>
      <w:tr w:rsidR="00BD3AF0" w:rsidRPr="00285D58" w14:paraId="30A009F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28D6D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7.5, 7.37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C7FB9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0B639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cualquiera de los planes en los plazos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F75C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 por plan</w:t>
            </w:r>
          </w:p>
        </w:tc>
      </w:tr>
      <w:tr w:rsidR="00BD3AF0" w:rsidRPr="00285D58" w14:paraId="5AF886B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AB5E4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7.7, 7.10</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4D05A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DE265D" w14:textId="05B46560"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subsanar las observaciones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72AA3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16FFD2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554E6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ACE40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B41B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suscribir el Acta de Inicio de Operación.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9CA4E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D3432B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297F8" w14:textId="57B2E505" w:rsidR="00BD3AF0" w:rsidRPr="00285D58" w:rsidRDefault="00BD3AF0" w:rsidP="00BD3AF0">
            <w:pPr>
              <w:spacing w:line="276" w:lineRule="auto"/>
              <w:jc w:val="both"/>
              <w:rPr>
                <w:rFonts w:asciiTheme="minorHAnsi" w:hAnsiTheme="minorHAnsi" w:cstheme="minorHAnsi"/>
              </w:rPr>
            </w:pPr>
            <w:r w:rsidRPr="00BD3AF0">
              <w:rPr>
                <w:rFonts w:asciiTheme="minorHAnsi" w:hAnsiTheme="minorHAnsi" w:cstheme="minorHAnsi"/>
              </w:rPr>
              <w:t>7.1</w:t>
            </w:r>
            <w:r>
              <w:rPr>
                <w:rFonts w:asciiTheme="minorHAnsi" w:hAnsiTheme="minorHAnsi" w:cstheme="minorHAnsi"/>
              </w:rPr>
              <w:t>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DCE095" w14:textId="57A6B05C"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A085A7" w14:textId="30C8A99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iniciar las operaciones luego de emitida el Acta de Inicio de Operación por razones imputables al CONCESIONARIO.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342320" w14:textId="1D1EDC7A"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4BC23E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50827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7.18, 7.23, 7.27, 7.31, 7.34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A9BDE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E773B4" w14:textId="34B840D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los informes sobre el desarrollo de los servicios prestados en los plazos y</w:t>
            </w:r>
            <w:r>
              <w:rPr>
                <w:rFonts w:asciiTheme="minorHAnsi" w:hAnsiTheme="minorHAnsi" w:cstheme="minorHAnsi"/>
              </w:rPr>
              <w:t>/o</w:t>
            </w:r>
            <w:r w:rsidRPr="00285D58">
              <w:rPr>
                <w:rFonts w:asciiTheme="minorHAnsi" w:hAnsiTheme="minorHAnsi" w:cstheme="minorHAnsi"/>
              </w:rPr>
              <w:t xml:space="preserve"> condiciones establecidos en las respectivas cláusulas.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4E952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835AC3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BA13C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7.19,  7.22, 7.26, 7.30, 7.34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95C8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41948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contar, el CONCESIONARIO o la empresa que subcontrate, con los permisos, autorizaciones y licencias que correspondan a la prestación de los Servicios Obligatorios.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ECEC6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547E7F48"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9F39F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VIII del Contrato: Cierre Financiero</w:t>
            </w:r>
          </w:p>
        </w:tc>
      </w:tr>
      <w:tr w:rsidR="00BD3AF0" w:rsidRPr="00285D58" w14:paraId="655876D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E5D7D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96C4A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03EBB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los documentos para el Cierre Financiero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761D8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DDBF84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D542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8.6, 8.7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5B40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5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CD2C3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obtener el Cierre Financiero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267ED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832CFFE"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D0D2C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 del Contrato: Garantías</w:t>
            </w:r>
          </w:p>
        </w:tc>
      </w:tr>
      <w:tr w:rsidR="00BD3AF0" w:rsidRPr="00285D58" w14:paraId="0E60134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6229D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10.3 </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EC5D4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C402E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 xml:space="preserve">No presentar, renovar y/o mantener vigente la Garantía de Fiel Cumplimiento del Periodo Pre-Operativo, en el plazo y/o bajo las </w:t>
            </w:r>
            <w:r w:rsidRPr="00285D58">
              <w:rPr>
                <w:rFonts w:asciiTheme="minorHAnsi" w:hAnsiTheme="minorHAnsi" w:cstheme="minorHAnsi"/>
              </w:rPr>
              <w:lastRenderedPageBreak/>
              <w:t>especificaciones previstas.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B1218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lastRenderedPageBreak/>
              <w:t>Cada Día Calendario</w:t>
            </w:r>
          </w:p>
        </w:tc>
      </w:tr>
      <w:tr w:rsidR="00BD3AF0" w:rsidRPr="00285D58" w14:paraId="22A4525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D17A5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4E4D3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F618D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renovar y/o mantener vigente la Garantía de Fiel Cumplimiento del PPO.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24D24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31881F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F71425" w14:textId="67BC5492"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10.3</w:t>
            </w:r>
            <w:r>
              <w:rPr>
                <w:rFonts w:asciiTheme="minorHAnsi" w:hAnsiTheme="minorHAnsi" w:cstheme="minorHAnsi"/>
              </w:rPr>
              <w:t>, 10.4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CC88A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A4991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renovar y/o mantener vigente la Garantía de Fiel Cumplimiento del Periodo Operativo.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1AFF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E0102E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3E44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DEB02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10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18448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restituir el monto establecido de la Garantía de Fiel Cumplimiento correspondiente en el plazo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0899C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49C573D3"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D8F89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 del Contrato: Régimen de Seguros</w:t>
            </w:r>
          </w:p>
        </w:tc>
      </w:tr>
      <w:tr w:rsidR="00BD3AF0" w:rsidRPr="00285D58" w14:paraId="2367CE5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F93D9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BDB9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89158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y/o mantener vigentes las pólizas de seguro requeridas por el Contrato durante los periodos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0C13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69FB0D2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63BBF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2FD7B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7261A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y/o mantener vigentes las pólizas de seguro requeridas por el Contrato de acuerdo a las características mínimas establecidas en el capítulo.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1991C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29779A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35A8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8499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0E608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las propuestas de pólizas al CONCEDENTE, para su conformidad, en los plazos máximos previstos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995D2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AFBDFD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2326B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11.4</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91A1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6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F58B6C" w14:textId="0DE3D3C3"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remitir a la CONCEDENTE copia de los contratos de seguro firmados en los plazos previstos.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F292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0CB1988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C664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1B296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0F07B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contratar las exigencias mínimas de coberturas previstas en el Capítulo XI.</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1A7C80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8D6064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3425D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9B890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E5DEE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adecuar las pólizas a los requerimientos del CONCEDENTE en los plazos indicados para ello.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A48D8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0AE2CB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BAA469" w14:textId="0508E5E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r>
              <w:rPr>
                <w:rFonts w:asciiTheme="minorHAnsi" w:hAnsiTheme="minorHAnsi" w:cstheme="minorHAnsi"/>
              </w:rPr>
              <w:t>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421DD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7FCF2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comunicar al CONCEDENTE, en los plazos establecidos en la cláusula, la existencia o no de modificaciones a los términos y condiciones de las pólizas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3B8D7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7339CB2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F78F99" w14:textId="4169B1A1"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w:t>
            </w:r>
            <w:r>
              <w:rPr>
                <w:rFonts w:asciiTheme="minorHAnsi" w:hAnsiTheme="minorHAnsi" w:cstheme="minorHAnsi"/>
              </w:rPr>
              <w:t>2</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4CD64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C5E2C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comunicar al CONCEDENTE las condiciones y fechas de renovación.</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9A86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16D5F5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32EA2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4D144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9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0F162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Demora en reportar un siniestro a la compañía aseguradora y al CONCEDENTE.</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D07D8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3038414"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EF73A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33DE5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E4F32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el informe de cobertura al CONCEDENTE dentro del plazo previsto en</w:t>
            </w:r>
          </w:p>
          <w:p w14:paraId="66506F8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2E0B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5946E47"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EEC49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lastRenderedPageBreak/>
              <w:t>11.19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F7A53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0.5% del monto de la</w:t>
            </w:r>
          </w:p>
          <w:p w14:paraId="598A5E8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Prima respectiva</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599E0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hacerse responsable sobre los eventos no</w:t>
            </w:r>
          </w:p>
          <w:p w14:paraId="050FB6A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cubiertos en las pólizas de seguros.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DFDFA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48C793FA"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5754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11.19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4D357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0874B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Retraso en el pago del costo del peritaje dentro del plazo máximo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73491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1FBFC676"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84C67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XII del Contrato: Consideraciones Socio Ambientales</w:t>
            </w:r>
          </w:p>
        </w:tc>
      </w:tr>
      <w:tr w:rsidR="00BD3AF0" w:rsidRPr="00285D58" w14:paraId="54E0F36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EDCF07" w14:textId="73B40906" w:rsidR="00BD3AF0" w:rsidRPr="00285D58" w:rsidRDefault="00BD3AF0" w:rsidP="00BD3AF0">
            <w:pPr>
              <w:spacing w:line="276" w:lineRule="auto"/>
              <w:jc w:val="both"/>
              <w:rPr>
                <w:rFonts w:asciiTheme="minorHAnsi" w:hAnsiTheme="minorHAnsi" w:cstheme="minorHAnsi"/>
              </w:rPr>
            </w:pPr>
            <w:r w:rsidRPr="00BD3AF0">
              <w:rPr>
                <w:rFonts w:asciiTheme="minorHAnsi" w:hAnsiTheme="minorHAnsi" w:cstheme="minorHAnsi"/>
              </w:rPr>
              <w:t>12.1</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2BE1A2" w14:textId="5CCB2F6D"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7BF67D" w14:textId="79E7595D"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cumplir con lo dispuesto en los artículos 12 y 13 del Reglamento de Gestión Ambiental del Sector Turístico, aprobado por Decreto Supremo N° 003-2023-MINCETUR</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0AC1651" w14:textId="3B5C2CC9"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Dia Calendario</w:t>
            </w:r>
          </w:p>
        </w:tc>
      </w:tr>
      <w:tr w:rsidR="00BD3AF0" w:rsidRPr="00285D58" w14:paraId="09DBE656"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2D6BE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12.28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91E20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99D1B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gestionar la Certificación Ambiental del Proyecto en el plazo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0FD7F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4B0BE99"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20240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1399A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3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FB805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cumplir con la obtención de la documentación y/o títulos habilitantes requeridos por la Normativa de protección de patrimonio cultural.</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76E15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ACB523E"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8CB93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A95CD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5AE43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en el plazo previsto los informes socio ambientales.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F107F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AA91A0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1EE140"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12.38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B42E1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0.8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58FA0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entregar la información requerida en los Informes socio ambientales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7CB7E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C3E5778"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F9E7C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XIII del Contrato: Relaciones con Terceros y Personal</w:t>
            </w:r>
          </w:p>
        </w:tc>
      </w:tr>
      <w:tr w:rsidR="00BD3AF0" w:rsidRPr="00285D58" w14:paraId="63757668"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AE990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13.5</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321DF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B4D7B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Ceder su posición contractual sin autorización del CONCEDENTE en el plazo previsto en 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C43D6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49D99F4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4C5EA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D7211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1CC6E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incluir en los contratos suscritos con terceros las cláusulas requeridas.</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0715B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5D71F33B"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BFE8F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13.8</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592FD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8CF1F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presentar al CONCEDENTE, copia de los contratos referidos en la presente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2C818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670DA5A"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8CFA7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t>Capítulo XIV del Contrato: Control y Supervisión</w:t>
            </w:r>
          </w:p>
        </w:tc>
      </w:tr>
      <w:tr w:rsidR="00BD3AF0" w:rsidRPr="00285D58" w14:paraId="3434888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75A11C"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14.3</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B2971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5B717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Incumplir desembolsos para el pago de</w:t>
            </w:r>
          </w:p>
          <w:p w14:paraId="321C1AA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supervisión en el plazo establecido.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3826C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341103E3"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66234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14.6</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63D67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26BF17"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brindar las facilidades necesarias al Supervisor y/o CONCEDENTE para que cumplan sus funciones de supervisión conforme a lo indicado en la Cláusula 13.8 del Contrato.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7D8981"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72A6366F"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CEF62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Literal c) de la Cláusula 14.9</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C5219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A649EA"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suministrar la información solicitada dentro del plazo máximo establecido, o, habiéndose presentado dentro de dicho plazo, entregarla incompleta.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6E685B"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5DC29EA3"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83362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b/>
              </w:rPr>
              <w:lastRenderedPageBreak/>
              <w:t>Capítulo XV del Contrato: Fuerza Mayor o Caso Fortuito</w:t>
            </w:r>
          </w:p>
        </w:tc>
      </w:tr>
      <w:tr w:rsidR="00BD3AF0" w:rsidRPr="00285D58" w14:paraId="120C8A65"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4CACE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92040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B0EF16"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informar, en el plazo previsto, un evento de fuerza mayor o caso fortuito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D0EC7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Día Calendario</w:t>
            </w:r>
          </w:p>
        </w:tc>
      </w:tr>
      <w:tr w:rsidR="00BD3AF0" w:rsidRPr="00285D58" w14:paraId="40B74B4D"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25ED2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15.7</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07CE4D"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8257B5"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incluir la información indicada en la cláusula</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6B9EC8"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2B307E26" w14:textId="77777777" w:rsidTr="00AD76BB">
        <w:trPr>
          <w:trHeight w:val="454"/>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D0B159" w14:textId="77777777" w:rsidR="00BD3AF0" w:rsidRPr="00285D58" w:rsidRDefault="00BD3AF0" w:rsidP="00BD3AF0">
            <w:pPr>
              <w:spacing w:line="276" w:lineRule="auto"/>
              <w:jc w:val="both"/>
              <w:rPr>
                <w:rFonts w:asciiTheme="minorHAnsi" w:hAnsiTheme="minorHAnsi" w:cstheme="minorHAnsi"/>
                <w:b/>
              </w:rPr>
            </w:pPr>
            <w:r w:rsidRPr="00285D58">
              <w:rPr>
                <w:rFonts w:asciiTheme="minorHAnsi" w:hAnsiTheme="minorHAnsi" w:cstheme="minorHAnsi"/>
                <w:b/>
              </w:rPr>
              <w:t>Anexo 01 Definiciones</w:t>
            </w:r>
          </w:p>
        </w:tc>
      </w:tr>
      <w:tr w:rsidR="00BD3AF0" w:rsidRPr="00285D58" w14:paraId="2D8F6EB0" w14:textId="77777777" w:rsidTr="00AD76BB">
        <w:trPr>
          <w:trHeight w:val="454"/>
          <w:jc w:val="center"/>
        </w:trPr>
        <w:tc>
          <w:tcPr>
            <w:tcW w:w="135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6430F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Numeral 1</w:t>
            </w:r>
          </w:p>
          <w:p w14:paraId="64B7B0FF"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Acreedores Permitidos</w:t>
            </w:r>
          </w:p>
          <w:p w14:paraId="760E203E"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 Régimen de Inegibilidad</w:t>
            </w:r>
          </w:p>
          <w:p w14:paraId="16F7E32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(Último Párrafo)</w:t>
            </w:r>
          </w:p>
        </w:tc>
        <w:tc>
          <w:tcPr>
            <w:tcW w:w="132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D2607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4 UIT</w:t>
            </w:r>
          </w:p>
        </w:tc>
        <w:tc>
          <w:tcPr>
            <w:tcW w:w="46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CB23B3"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 brindar la información y documentación prevista en los numerales del (i) al (v) en el plazo de ciento veinte (120) Días Calendario previsto</w:t>
            </w:r>
          </w:p>
        </w:tc>
        <w:tc>
          <w:tcPr>
            <w:tcW w:w="15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255089"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Cada vez</w:t>
            </w:r>
          </w:p>
        </w:tc>
      </w:tr>
      <w:tr w:rsidR="00BD3AF0" w:rsidRPr="00285D58" w14:paraId="0B9754DC" w14:textId="77777777" w:rsidTr="00AD76BB">
        <w:trPr>
          <w:trHeight w:val="1233"/>
          <w:jc w:val="center"/>
        </w:trPr>
        <w:tc>
          <w:tcPr>
            <w:tcW w:w="8828" w:type="dxa"/>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962462"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Notas:</w:t>
            </w:r>
          </w:p>
          <w:p w14:paraId="04FECAA0" w14:textId="4066E7EF"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1. El criterio de aplicación “Cada Día Calendario” será considerado para contabilizar el atraso de cumplimiento de obligaciones según la definición de Día Calendario del Anexo 1.</w:t>
            </w:r>
          </w:p>
          <w:p w14:paraId="3DB01BE4" w14:textId="77777777" w:rsidR="00BD3AF0" w:rsidRPr="00285D58" w:rsidRDefault="00BD3AF0" w:rsidP="00BD3AF0">
            <w:pPr>
              <w:spacing w:line="276" w:lineRule="auto"/>
              <w:jc w:val="both"/>
              <w:rPr>
                <w:rFonts w:asciiTheme="minorHAnsi" w:hAnsiTheme="minorHAnsi" w:cstheme="minorHAnsi"/>
              </w:rPr>
            </w:pPr>
            <w:r w:rsidRPr="00285D58">
              <w:rPr>
                <w:rFonts w:asciiTheme="minorHAnsi" w:hAnsiTheme="minorHAnsi" w:cstheme="minorHAnsi"/>
              </w:rPr>
              <w:t>2. El criterio de aplicación “Cada vez” será considerado por cada oportunidad en la que el Supervisor ha verificado el supuesto incumplimiento.</w:t>
            </w:r>
          </w:p>
          <w:p w14:paraId="282AC369" w14:textId="77777777" w:rsidR="00BD3AF0" w:rsidRPr="00285D58" w:rsidRDefault="00BD3AF0" w:rsidP="00BD3AF0">
            <w:pPr>
              <w:spacing w:line="276" w:lineRule="auto"/>
              <w:jc w:val="both"/>
              <w:rPr>
                <w:rFonts w:asciiTheme="minorHAnsi" w:hAnsiTheme="minorHAnsi" w:cstheme="minorHAnsi"/>
              </w:rPr>
            </w:pPr>
          </w:p>
        </w:tc>
      </w:tr>
    </w:tbl>
    <w:p w14:paraId="525A14CE" w14:textId="2239AB40" w:rsidR="009201AB" w:rsidRPr="00285D58" w:rsidRDefault="006049C1" w:rsidP="008D1FFF">
      <w:pPr>
        <w:spacing w:line="276" w:lineRule="auto"/>
        <w:jc w:val="both"/>
        <w:rPr>
          <w:rFonts w:asciiTheme="minorHAnsi" w:eastAsia="Calibri" w:hAnsiTheme="minorHAnsi" w:cstheme="minorHAnsi"/>
        </w:rPr>
      </w:pPr>
      <w:r w:rsidRPr="00285D58">
        <w:rPr>
          <w:rFonts w:asciiTheme="minorHAnsi" w:hAnsiTheme="minorHAnsi" w:cstheme="minorHAnsi"/>
        </w:rPr>
        <w:br w:type="page"/>
      </w:r>
    </w:p>
    <w:p w14:paraId="0000325E" w14:textId="6633C895" w:rsidR="00F664DB"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7" w:name="_Toc193979300"/>
      <w:r w:rsidRPr="00285D58">
        <w:rPr>
          <w:rFonts w:asciiTheme="minorHAnsi" w:eastAsia="Calibri" w:hAnsiTheme="minorHAnsi" w:cstheme="minorHAnsi"/>
          <w:b/>
          <w:color w:val="1F4E79"/>
          <w:sz w:val="24"/>
          <w:szCs w:val="24"/>
          <w:u w:val="single"/>
        </w:rPr>
        <w:lastRenderedPageBreak/>
        <w:t xml:space="preserve">ANEXO 13: </w:t>
      </w:r>
      <w:r w:rsidR="009807E0" w:rsidRPr="00285D58">
        <w:rPr>
          <w:rFonts w:asciiTheme="minorHAnsi" w:eastAsia="Calibri" w:hAnsiTheme="minorHAnsi" w:cstheme="minorHAnsi"/>
          <w:b/>
          <w:color w:val="1F4E79"/>
          <w:sz w:val="24"/>
          <w:szCs w:val="24"/>
          <w:u w:val="single"/>
        </w:rPr>
        <w:t>PROPUESTA TÉCNICA</w:t>
      </w:r>
      <w:bookmarkEnd w:id="347"/>
      <w:r w:rsidR="009807E0" w:rsidRPr="00285D58">
        <w:rPr>
          <w:rFonts w:asciiTheme="minorHAnsi" w:eastAsia="Calibri" w:hAnsiTheme="minorHAnsi" w:cstheme="minorHAnsi"/>
          <w:b/>
          <w:color w:val="1F4E79"/>
          <w:sz w:val="24"/>
          <w:szCs w:val="24"/>
          <w:u w:val="single"/>
        </w:rPr>
        <w:t xml:space="preserve"> </w:t>
      </w:r>
    </w:p>
    <w:p w14:paraId="0000325F" w14:textId="77777777" w:rsidR="00F664DB" w:rsidRPr="00285D58" w:rsidRDefault="00F664DB" w:rsidP="008D1FFF">
      <w:pPr>
        <w:spacing w:line="276" w:lineRule="auto"/>
        <w:jc w:val="both"/>
        <w:rPr>
          <w:rFonts w:asciiTheme="minorHAnsi" w:eastAsia="Calibri" w:hAnsiTheme="minorHAnsi" w:cstheme="minorHAnsi"/>
        </w:rPr>
      </w:pPr>
    </w:p>
    <w:p w14:paraId="00003260" w14:textId="77777777" w:rsidR="00F664DB" w:rsidRPr="00285D58" w:rsidRDefault="00F664DB" w:rsidP="008D1FFF">
      <w:pPr>
        <w:spacing w:line="276" w:lineRule="auto"/>
        <w:jc w:val="both"/>
        <w:rPr>
          <w:rFonts w:asciiTheme="minorHAnsi" w:eastAsia="Calibri" w:hAnsiTheme="minorHAnsi" w:cstheme="minorHAnsi"/>
        </w:rPr>
      </w:pPr>
    </w:p>
    <w:p w14:paraId="00003261" w14:textId="0334EDAB" w:rsidR="00F664DB" w:rsidRPr="00285D58" w:rsidRDefault="006049C1" w:rsidP="008D1FFF">
      <w:pPr>
        <w:tabs>
          <w:tab w:val="left" w:pos="2925"/>
        </w:tabs>
        <w:spacing w:line="276" w:lineRule="auto"/>
        <w:jc w:val="both"/>
        <w:rPr>
          <w:rFonts w:asciiTheme="minorHAnsi" w:eastAsia="Calibri" w:hAnsiTheme="minorHAnsi" w:cstheme="minorHAnsi"/>
          <w:i/>
        </w:rPr>
      </w:pPr>
      <w:r w:rsidRPr="00285D58">
        <w:rPr>
          <w:rFonts w:asciiTheme="minorHAnsi" w:eastAsia="Calibri" w:hAnsiTheme="minorHAnsi" w:cstheme="minorHAnsi"/>
        </w:rPr>
        <w:tab/>
      </w:r>
      <w:r w:rsidRPr="00285D58">
        <w:rPr>
          <w:rFonts w:asciiTheme="minorHAnsi" w:eastAsia="Calibri" w:hAnsiTheme="minorHAnsi" w:cstheme="minorHAnsi"/>
          <w:i/>
        </w:rPr>
        <w:t>(</w:t>
      </w:r>
      <w:r w:rsidR="00FB01D4">
        <w:rPr>
          <w:rFonts w:asciiTheme="minorHAnsi" w:eastAsia="Calibri" w:hAnsiTheme="minorHAnsi" w:cstheme="minorHAnsi"/>
          <w:i/>
        </w:rPr>
        <w:t>se adjuntará al momento de obtener la Buena Pro</w:t>
      </w:r>
      <w:r w:rsidRPr="00285D58">
        <w:rPr>
          <w:rFonts w:asciiTheme="minorHAnsi" w:eastAsia="Calibri" w:hAnsiTheme="minorHAnsi" w:cstheme="minorHAnsi"/>
          <w:i/>
        </w:rPr>
        <w:t>)</w:t>
      </w:r>
    </w:p>
    <w:p w14:paraId="07CE1646" w14:textId="4BF9F141" w:rsidR="009201AB" w:rsidRPr="00285D58" w:rsidRDefault="006049C1" w:rsidP="008D1FFF">
      <w:pPr>
        <w:widowControl/>
        <w:spacing w:after="160" w:line="276" w:lineRule="auto"/>
        <w:jc w:val="both"/>
        <w:rPr>
          <w:rFonts w:asciiTheme="minorHAnsi" w:eastAsia="Calibri" w:hAnsiTheme="minorHAnsi" w:cstheme="minorHAnsi"/>
        </w:rPr>
      </w:pPr>
      <w:r w:rsidRPr="00285D58">
        <w:rPr>
          <w:rFonts w:asciiTheme="minorHAnsi" w:hAnsiTheme="minorHAnsi" w:cstheme="minorHAnsi"/>
        </w:rPr>
        <w:br w:type="page"/>
      </w:r>
      <w:bookmarkStart w:id="348" w:name="_heading=h.319y80a" w:colFirst="0" w:colLast="0"/>
      <w:bookmarkEnd w:id="348"/>
    </w:p>
    <w:p w14:paraId="1DD89813" w14:textId="47B7835F" w:rsidR="009807E0"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49" w:name="_Toc193979301"/>
      <w:r w:rsidRPr="00285D58">
        <w:rPr>
          <w:rFonts w:asciiTheme="minorHAnsi" w:eastAsia="Calibri" w:hAnsiTheme="minorHAnsi" w:cstheme="minorHAnsi"/>
          <w:b/>
          <w:color w:val="1F4E79"/>
          <w:sz w:val="24"/>
          <w:szCs w:val="24"/>
          <w:u w:val="single"/>
        </w:rPr>
        <w:lastRenderedPageBreak/>
        <w:t xml:space="preserve">ANEXO 14: </w:t>
      </w:r>
      <w:r w:rsidR="009807E0" w:rsidRPr="00285D58">
        <w:rPr>
          <w:rFonts w:asciiTheme="minorHAnsi" w:eastAsia="Calibri" w:hAnsiTheme="minorHAnsi" w:cstheme="minorHAnsi"/>
          <w:b/>
          <w:color w:val="1F4E79"/>
          <w:sz w:val="24"/>
          <w:szCs w:val="24"/>
          <w:u w:val="single"/>
        </w:rPr>
        <w:t>OFERTA ECONÓMICA</w:t>
      </w:r>
      <w:bookmarkEnd w:id="349"/>
    </w:p>
    <w:p w14:paraId="7E0FCC10" w14:textId="77777777" w:rsidR="009807E0" w:rsidRPr="00285D58" w:rsidRDefault="009807E0" w:rsidP="008D1FFF">
      <w:pPr>
        <w:spacing w:line="276" w:lineRule="auto"/>
        <w:jc w:val="both"/>
        <w:rPr>
          <w:rFonts w:asciiTheme="minorHAnsi" w:eastAsia="Calibri" w:hAnsiTheme="minorHAnsi" w:cstheme="minorHAnsi"/>
        </w:rPr>
      </w:pPr>
    </w:p>
    <w:p w14:paraId="3F1473A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Lima, …. de………………….de 20….</w:t>
      </w:r>
    </w:p>
    <w:p w14:paraId="0EA4BE0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611B0AE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Señores</w:t>
      </w:r>
    </w:p>
    <w:p w14:paraId="657D28A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AGENCIA DE PROMOCIÓN DE LA INVERSIÓN PRIVADA</w:t>
      </w:r>
    </w:p>
    <w:p w14:paraId="0D8CD95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PROINVERSIÓN</w:t>
      </w:r>
    </w:p>
    <w:p w14:paraId="6F79EC0A"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Av. Enrique Canaval Moreyra Nro. 150</w:t>
      </w:r>
    </w:p>
    <w:p w14:paraId="33611FE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Lima, Perú</w:t>
      </w:r>
    </w:p>
    <w:p w14:paraId="301122C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C70FC6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Referencia</w:t>
      </w:r>
      <w:r w:rsidRPr="00285D58">
        <w:rPr>
          <w:rFonts w:asciiTheme="minorHAnsi" w:eastAsia="Calibri" w:hAnsiTheme="minorHAnsi" w:cstheme="minorHAnsi"/>
          <w:sz w:val="20"/>
          <w:szCs w:val="20"/>
        </w:rPr>
        <w:t>:</w:t>
      </w:r>
      <w:r w:rsidRPr="00285D58">
        <w:rPr>
          <w:rFonts w:asciiTheme="minorHAnsi" w:eastAsia="Calibri" w:hAnsiTheme="minorHAnsi" w:cstheme="minorHAnsi"/>
          <w:sz w:val="20"/>
          <w:szCs w:val="20"/>
        </w:rPr>
        <w:tab/>
        <w:t>Concurso de Proyectos Integrales para la entrega en concesión al sector privado del Proyecto “Mejoramiento de los Servicios Turísticos Públicos del Parque Arqueológico Choquequirao”</w:t>
      </w:r>
    </w:p>
    <w:p w14:paraId="35908EE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5C8162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Postor Precalificado ……………………………………….</w:t>
      </w:r>
    </w:p>
    <w:p w14:paraId="6807B4C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AAE4C5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Por medio del presente cumplimos con presentar nuestra Oferta en los siguientes términos:</w:t>
      </w:r>
    </w:p>
    <w:p w14:paraId="5BB3ABF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6D87D45"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0A4A7A7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En valor porcentual (con dos decimales)</w:t>
      </w:r>
    </w:p>
    <w:p w14:paraId="6647E145"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6E99F1F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w:t>
      </w:r>
    </w:p>
    <w:p w14:paraId="22E3E7F9" w14:textId="77777777" w:rsidR="009807E0" w:rsidRPr="00285D58" w:rsidRDefault="009807E0" w:rsidP="008D1FFF">
      <w:pPr>
        <w:spacing w:line="276" w:lineRule="auto"/>
        <w:ind w:hanging="2"/>
        <w:jc w:val="both"/>
        <w:rPr>
          <w:rFonts w:asciiTheme="minorHAnsi" w:eastAsia="Calibri" w:hAnsiTheme="minorHAnsi" w:cstheme="minorHAnsi"/>
          <w:b/>
          <w:sz w:val="20"/>
          <w:szCs w:val="20"/>
        </w:rPr>
      </w:pPr>
    </w:p>
    <w:p w14:paraId="1C46F62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b/>
          <w:sz w:val="20"/>
          <w:szCs w:val="20"/>
        </w:rPr>
        <w:t>En letras</w:t>
      </w:r>
    </w:p>
    <w:p w14:paraId="695D0C14" w14:textId="77777777" w:rsidR="009807E0" w:rsidRPr="00285D58" w:rsidRDefault="009807E0" w:rsidP="008D1FFF">
      <w:pPr>
        <w:spacing w:line="276" w:lineRule="auto"/>
        <w:ind w:hanging="1"/>
        <w:jc w:val="both"/>
        <w:rPr>
          <w:rFonts w:asciiTheme="minorHAnsi" w:eastAsia="Calibri" w:hAnsiTheme="minorHAnsi" w:cstheme="minorHAnsi"/>
          <w:sz w:val="20"/>
          <w:szCs w:val="20"/>
        </w:rPr>
      </w:pPr>
    </w:p>
    <w:tbl>
      <w:tblPr>
        <w:tblStyle w:val="138"/>
        <w:tblW w:w="9359" w:type="dxa"/>
        <w:jc w:val="righ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59"/>
      </w:tblGrid>
      <w:tr w:rsidR="009807E0" w:rsidRPr="00285D58" w14:paraId="2DD5B1BC" w14:textId="77777777" w:rsidTr="006C5E05">
        <w:trPr>
          <w:trHeight w:val="643"/>
          <w:jc w:val="right"/>
        </w:trPr>
        <w:tc>
          <w:tcPr>
            <w:tcW w:w="9359" w:type="dxa"/>
            <w:shd w:val="clear" w:color="auto" w:fill="DBE5F1"/>
            <w:vAlign w:val="center"/>
          </w:tcPr>
          <w:p w14:paraId="31A54F08" w14:textId="77777777" w:rsidR="009807E0" w:rsidRPr="00285D58" w:rsidRDefault="009807E0" w:rsidP="008D1FFF">
            <w:pPr>
              <w:spacing w:line="276" w:lineRule="auto"/>
              <w:ind w:hanging="1"/>
              <w:jc w:val="both"/>
              <w:rPr>
                <w:rFonts w:asciiTheme="minorHAnsi" w:eastAsia="Calibri" w:hAnsiTheme="minorHAnsi" w:cstheme="minorHAnsi"/>
                <w:sz w:val="20"/>
                <w:szCs w:val="20"/>
              </w:rPr>
            </w:pPr>
          </w:p>
        </w:tc>
      </w:tr>
    </w:tbl>
    <w:p w14:paraId="7A104C3D"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5E49C348"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4ED59C9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Atentamente,</w:t>
      </w:r>
    </w:p>
    <w:p w14:paraId="73E4205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11BAB11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Firma del Representante Legal: </w:t>
      </w:r>
      <w:r w:rsidRPr="00285D58">
        <w:rPr>
          <w:rFonts w:asciiTheme="minorHAnsi" w:eastAsia="Calibri" w:hAnsiTheme="minorHAnsi" w:cstheme="minorHAnsi"/>
          <w:sz w:val="20"/>
          <w:szCs w:val="20"/>
        </w:rPr>
        <w:tab/>
        <w:t>……………………………………….</w:t>
      </w:r>
    </w:p>
    <w:p w14:paraId="4229357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Nombre del Representante Legal: </w:t>
      </w:r>
      <w:r w:rsidRPr="00285D58">
        <w:rPr>
          <w:rFonts w:asciiTheme="minorHAnsi" w:eastAsia="Calibri" w:hAnsiTheme="minorHAnsi" w:cstheme="minorHAnsi"/>
          <w:sz w:val="20"/>
          <w:szCs w:val="20"/>
        </w:rPr>
        <w:tab/>
        <w:t>……………………………………….</w:t>
      </w:r>
    </w:p>
    <w:p w14:paraId="41F61710"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 xml:space="preserve">Documento de Identidad: </w:t>
      </w:r>
      <w:r w:rsidRPr="00285D58">
        <w:rPr>
          <w:rFonts w:asciiTheme="minorHAnsi" w:eastAsia="Calibri" w:hAnsiTheme="minorHAnsi" w:cstheme="minorHAnsi"/>
          <w:sz w:val="20"/>
          <w:szCs w:val="20"/>
        </w:rPr>
        <w:tab/>
      </w:r>
      <w:r w:rsidRPr="00285D58">
        <w:rPr>
          <w:rFonts w:asciiTheme="minorHAnsi" w:eastAsia="Calibri" w:hAnsiTheme="minorHAnsi" w:cstheme="minorHAnsi"/>
          <w:sz w:val="20"/>
          <w:szCs w:val="20"/>
        </w:rPr>
        <w:tab/>
        <w:t>……………………………………….</w:t>
      </w:r>
    </w:p>
    <w:p w14:paraId="18DF970F"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p>
    <w:p w14:paraId="54B2D08C"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Nota:</w:t>
      </w:r>
    </w:p>
    <w:p w14:paraId="6AF76A3E"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(1) La Oferta Económica deberá ser expresada en un número seguido del signo de porcentaje (%)</w:t>
      </w:r>
    </w:p>
    <w:p w14:paraId="30B3AF21"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(2) Solo se considerarán valores con dos (2) dígitos después del punto decimal.</w:t>
      </w:r>
    </w:p>
    <w:p w14:paraId="78526053"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(3) Los importes calculados a partir de dicho valor no incluyen I.G.V.</w:t>
      </w:r>
    </w:p>
    <w:p w14:paraId="0B463A1B"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(4) En caso de existir diferencias entre los valores expresados en letras y números, prevalecerán los valores expresados en letras.</w:t>
      </w:r>
    </w:p>
    <w:p w14:paraId="202FCB4B"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(5) El valor señalado es a la fecha de presentación de la Oferta.</w:t>
      </w:r>
    </w:p>
    <w:p w14:paraId="6496B989" w14:textId="77777777" w:rsidR="009807E0" w:rsidRPr="00285D58" w:rsidRDefault="009807E0" w:rsidP="008D1FFF">
      <w:pPr>
        <w:spacing w:line="276" w:lineRule="auto"/>
        <w:ind w:hanging="2"/>
        <w:jc w:val="both"/>
        <w:rPr>
          <w:rFonts w:asciiTheme="minorHAnsi" w:eastAsia="Calibri" w:hAnsiTheme="minorHAnsi" w:cstheme="minorHAnsi"/>
          <w:sz w:val="20"/>
          <w:szCs w:val="20"/>
        </w:rPr>
      </w:pPr>
      <w:r w:rsidRPr="00285D58">
        <w:rPr>
          <w:rFonts w:asciiTheme="minorHAnsi" w:eastAsia="Calibri" w:hAnsiTheme="minorHAnsi" w:cstheme="minorHAnsi"/>
          <w:sz w:val="20"/>
          <w:szCs w:val="20"/>
        </w:rPr>
        <w:t>(6) Declaramos que nuestra Oferta Económica tiene el carácter de incondicional e irrevocable y que mantendrá su plena vigencia hasta la Fecha de Cierre. Declaramos que nuestra Oferta Económica se incorporará al Contrato de Concesión en todos sus términos y condiciones, y sin excepción alguna, en caso de resultar Adjudicatario.</w:t>
      </w:r>
    </w:p>
    <w:p w14:paraId="06630E88" w14:textId="5873ECC2" w:rsidR="009807E0" w:rsidRPr="00285D58" w:rsidRDefault="009201AB" w:rsidP="008D1FFF">
      <w:pPr>
        <w:pStyle w:val="Ttulo1"/>
        <w:spacing w:before="1" w:line="276" w:lineRule="auto"/>
        <w:jc w:val="both"/>
        <w:rPr>
          <w:rFonts w:asciiTheme="minorHAnsi" w:eastAsia="Calibri" w:hAnsiTheme="minorHAnsi" w:cstheme="minorHAnsi"/>
          <w:b/>
          <w:color w:val="1F4E79"/>
          <w:sz w:val="24"/>
          <w:szCs w:val="24"/>
          <w:u w:val="single"/>
        </w:rPr>
      </w:pPr>
      <w:bookmarkStart w:id="350" w:name="_heading=h.1gf8i83" w:colFirst="0" w:colLast="0"/>
      <w:bookmarkStart w:id="351" w:name="_Toc193979302"/>
      <w:bookmarkEnd w:id="350"/>
      <w:r w:rsidRPr="00285D58">
        <w:rPr>
          <w:rFonts w:asciiTheme="minorHAnsi" w:eastAsia="Calibri" w:hAnsiTheme="minorHAnsi" w:cstheme="minorHAnsi"/>
          <w:b/>
          <w:color w:val="1F4E79"/>
          <w:sz w:val="24"/>
          <w:szCs w:val="24"/>
          <w:u w:val="single"/>
        </w:rPr>
        <w:lastRenderedPageBreak/>
        <w:t xml:space="preserve">ANEXO 15: </w:t>
      </w:r>
      <w:r w:rsidR="009807E0" w:rsidRPr="00285D58">
        <w:rPr>
          <w:rFonts w:asciiTheme="minorHAnsi" w:eastAsia="Calibri" w:hAnsiTheme="minorHAnsi" w:cstheme="minorHAnsi"/>
          <w:b/>
          <w:color w:val="1F4E79"/>
          <w:sz w:val="24"/>
          <w:szCs w:val="24"/>
          <w:u w:val="single"/>
        </w:rPr>
        <w:t>DOCUMENTO RELACIONADO CON LA COMPATIBILIDAD DEL PROYECTO CON EL ÁREA DE CONSERVACIÓN REGIONAL CHOQUEQUIRAO</w:t>
      </w:r>
      <w:bookmarkEnd w:id="351"/>
    </w:p>
    <w:p w14:paraId="3BE31F20" w14:textId="77777777" w:rsidR="009807E0" w:rsidRPr="00285D58" w:rsidRDefault="009807E0" w:rsidP="008D1FFF">
      <w:pPr>
        <w:widowControl/>
        <w:spacing w:after="160" w:line="276" w:lineRule="auto"/>
        <w:jc w:val="both"/>
        <w:rPr>
          <w:rFonts w:asciiTheme="minorHAnsi" w:eastAsia="Calibri" w:hAnsiTheme="minorHAnsi" w:cstheme="minorHAnsi"/>
          <w:b/>
          <w:color w:val="1F4E79"/>
          <w:sz w:val="24"/>
          <w:szCs w:val="24"/>
          <w:u w:val="single"/>
        </w:rPr>
      </w:pPr>
    </w:p>
    <w:p w14:paraId="27C7D280" w14:textId="2FE4EF68" w:rsidR="009807E0" w:rsidRDefault="009807E0" w:rsidP="008D1FFF">
      <w:pPr>
        <w:spacing w:line="276" w:lineRule="auto"/>
        <w:jc w:val="both"/>
        <w:rPr>
          <w:rFonts w:asciiTheme="minorHAnsi" w:eastAsia="Calibri" w:hAnsiTheme="minorHAnsi" w:cstheme="minorHAnsi"/>
          <w:i/>
        </w:rPr>
      </w:pPr>
      <w:r w:rsidRPr="00285D58">
        <w:rPr>
          <w:rFonts w:asciiTheme="minorHAnsi" w:eastAsia="Calibri" w:hAnsiTheme="minorHAnsi" w:cstheme="minorHAnsi"/>
          <w:i/>
        </w:rPr>
        <w:t>(en evaluación)</w:t>
      </w:r>
    </w:p>
    <w:p w14:paraId="534A191C" w14:textId="77777777" w:rsidR="00F237EF" w:rsidRPr="00285D58" w:rsidRDefault="00F237EF" w:rsidP="008D1FFF">
      <w:pPr>
        <w:spacing w:line="276" w:lineRule="auto"/>
        <w:jc w:val="both"/>
        <w:rPr>
          <w:rFonts w:asciiTheme="minorHAnsi" w:eastAsia="Calibri" w:hAnsiTheme="minorHAnsi" w:cstheme="minorHAnsi"/>
        </w:rPr>
      </w:pPr>
    </w:p>
    <w:sectPr w:rsidR="00F237EF" w:rsidRPr="00285D58">
      <w:headerReference w:type="even" r:id="rId130"/>
      <w:headerReference w:type="default" r:id="rId131"/>
      <w:footerReference w:type="even" r:id="rId132"/>
      <w:footerReference w:type="default" r:id="rId133"/>
      <w:headerReference w:type="first" r:id="rId134"/>
      <w:footerReference w:type="first" r:id="rId135"/>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0F5110" w14:textId="77777777" w:rsidR="004D2B96" w:rsidRDefault="004D2B96">
      <w:r>
        <w:separator/>
      </w:r>
    </w:p>
  </w:endnote>
  <w:endnote w:type="continuationSeparator" w:id="0">
    <w:p w14:paraId="62CB6713" w14:textId="77777777" w:rsidR="004D2B96" w:rsidRDefault="004D2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sig w:usb0="00000000" w:usb1="00000000" w:usb2="00000000" w:usb3="00000000" w:csb0="00000001" w:csb1="00000000"/>
    <w:embedRegular r:id="rId1" w:fontKey="{E1C8FE74-DB34-4A69-9D6C-4CD041964B2D}"/>
    <w:embedBold r:id="rId2" w:fontKey="{3FBEEEFD-7A92-440D-88E8-0D23F595932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3" w:fontKey="{1587A21A-1867-471A-9801-254578D4DB56}"/>
    <w:embedBold r:id="rId4" w:fontKey="{1910F7DF-71C9-49AD-98E1-34A536AA96AE}"/>
    <w:embedBoldItalic r:id="rId5" w:fontKey="{A8D6E4A0-A6A9-478B-BC10-CEAAA84B453E}"/>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6" w:fontKey="{685B9931-C15F-4F0F-817E-D0230A7794DB}"/>
    <w:embedBold r:id="rId7" w:fontKey="{D1BC20A5-14E5-4F9D-8515-64C5536DF922}"/>
    <w:embedItalic r:id="rId8" w:fontKey="{EC4CEBD3-9140-412C-882C-98960B5FC1C8}"/>
    <w:embedBoldItalic r:id="rId9" w:fontKey="{3F76001A-2B6D-4450-8EBC-8A099DDB2BB1}"/>
  </w:font>
  <w:font w:name="Calibri">
    <w:panose1 w:val="020F0502020204030204"/>
    <w:charset w:val="00"/>
    <w:family w:val="swiss"/>
    <w:pitch w:val="variable"/>
    <w:sig w:usb0="E4002EFF" w:usb1="C000247B" w:usb2="00000009" w:usb3="00000000" w:csb0="000001FF" w:csb1="00000000"/>
    <w:embedRegular r:id="rId10" w:fontKey="{2FE09FA8-64B1-446C-848C-1FE3E950A318}"/>
    <w:embedBold r:id="rId11" w:fontKey="{A8371305-5795-4859-8D42-8F2E0CBFBECA}"/>
    <w:embedItalic r:id="rId12" w:fontKey="{FE826EEF-74C2-48EB-B9D0-F1155AAB4806}"/>
    <w:embedBoldItalic r:id="rId13" w:fontKey="{0F9BB6B9-E66C-45DB-8208-DA6B6872A6C3}"/>
  </w:font>
  <w:font w:name="TimesNewRomanPSMT">
    <w:altName w:val="MS Gothic"/>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embedRegular r:id="rId14" w:fontKey="{9EC8E868-E6E5-41B1-AE74-3C3BBAEC784E}"/>
    <w:embedBold r:id="rId15" w:fontKey="{0EDBCE1F-6565-42ED-9FA9-C46385686998}"/>
    <w:embedItalic r:id="rId16" w:fontKey="{BFFDE605-0679-49A0-B591-429C157AA367}"/>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17" w:fontKey="{E42CA53E-3BE2-4AAD-A6A3-277604920F2A}"/>
  </w:font>
  <w:font w:name="CG Omega">
    <w:altName w:val="Candar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Arial Unicode MS">
    <w:panose1 w:val="020B0604020202020204"/>
    <w:charset w:val="80"/>
    <w:family w:val="swiss"/>
    <w:pitch w:val="variable"/>
    <w:sig w:usb0="F7FFAEFF" w:usb1="F9DFFFFF" w:usb2="0000007F" w:usb3="00000000" w:csb0="003F01FF" w:csb1="00000000"/>
  </w:font>
  <w:font w:name="Times">
    <w:panose1 w:val="02020603050405020304"/>
    <w:charset w:val="00"/>
    <w:family w:val="roman"/>
    <w:pitch w:val="variable"/>
    <w:sig w:usb0="E0002EFF" w:usb1="C000785B" w:usb2="00000009" w:usb3="00000000" w:csb0="000001FF" w:csb1="00000000"/>
    <w:embedRegular r:id="rId18" w:fontKey="{67622207-1299-46FA-AB71-534DBAAA6715}"/>
  </w:font>
  <w:font w:name="Tahoma">
    <w:panose1 w:val="020B0604030504040204"/>
    <w:charset w:val="00"/>
    <w:family w:val="swiss"/>
    <w:pitch w:val="variable"/>
    <w:sig w:usb0="E1002EFF" w:usb1="C000605B" w:usb2="00000029" w:usb3="00000000" w:csb0="000101FF" w:csb1="00000000"/>
    <w:embedRegular r:id="rId19" w:fontKey="{DD84E625-43F2-4595-A1BB-C32146D47FF8}"/>
    <w:embedBold r:id="rId20" w:fontKey="{9F0B9CCD-E166-49B2-B98F-172EB33294E7}"/>
  </w:font>
  <w:font w:name="Century Gothic">
    <w:panose1 w:val="020B0502020202020204"/>
    <w:charset w:val="00"/>
    <w:family w:val="swiss"/>
    <w:pitch w:val="variable"/>
    <w:sig w:usb0="00000287" w:usb1="00000000" w:usb2="00000000" w:usb3="00000000" w:csb0="0000009F" w:csb1="00000000"/>
    <w:embedRegular r:id="rId21" w:fontKey="{E2EAE207-1546-49B1-A335-3B43AFB1FEB1}"/>
    <w:embedBold r:id="rId22" w:fontKey="{BE7B1F2B-43CF-4B18-B4A5-FD698058F591}"/>
  </w:font>
  <w:font w:name="Cambria">
    <w:panose1 w:val="02040503050406030204"/>
    <w:charset w:val="00"/>
    <w:family w:val="roman"/>
    <w:pitch w:val="variable"/>
    <w:sig w:usb0="E00006FF" w:usb1="420024FF" w:usb2="02000000" w:usb3="00000000" w:csb0="0000019F" w:csb1="00000000"/>
    <w:embedRegular r:id="rId23" w:fontKey="{86523D4E-0D15-4209-BDF7-DF75EED0AD6F}"/>
    <w:embedBold r:id="rId24" w:fontKey="{9790FCAD-0C97-4127-850C-CEAB2157F479}"/>
    <w:embedItalic r:id="rId25" w:fontKey="{71084C9A-4421-40D0-B1E0-C39D65C84E6A}"/>
    <w:embedBoldItalic r:id="rId26" w:fontKey="{30FE657E-D56A-4CC8-8230-F6E9DFDDED13}"/>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embedRegular r:id="rId27" w:fontKey="{782403F1-9F22-47C2-81F5-FE170F6C0EE2}"/>
    <w:embedBold r:id="rId28" w:fontKey="{25D00C35-4699-4977-9C55-3B29942E1256}"/>
  </w:font>
  <w:font w:name="AvantGarde Bk BT">
    <w:altName w:val="Arial Narrow"/>
    <w:panose1 w:val="00000000000000000000"/>
    <w:charset w:val="00"/>
    <w:family w:val="roman"/>
    <w:notTrueType/>
    <w:pitch w:val="default"/>
  </w:font>
  <w:font w:name="MS Sans Serif">
    <w:altName w:val="Microsoft Sans Serif"/>
    <w:panose1 w:val="00000000000000000000"/>
    <w:charset w:val="00"/>
    <w:family w:val="roman"/>
    <w:notTrueType/>
    <w:pitch w:val="default"/>
  </w:font>
  <w:font w:name="Garamond">
    <w:panose1 w:val="02020404030301010803"/>
    <w:charset w:val="00"/>
    <w:family w:val="roman"/>
    <w:pitch w:val="variable"/>
    <w:sig w:usb0="00000287" w:usb1="00000000" w:usb2="00000000" w:usb3="00000000" w:csb0="0000009F" w:csb1="00000000"/>
    <w:embedRegular r:id="rId29" w:fontKey="{596B5AF4-725D-4FD4-8E9B-1B7B1198A787}"/>
    <w:embedItalic r:id="rId30" w:fontKey="{175C7580-3C35-4B40-AA5E-1B59E7CA37E6}"/>
  </w:font>
  <w:font w:name="Comic Sans MS">
    <w:panose1 w:val="030F0702030302020204"/>
    <w:charset w:val="00"/>
    <w:family w:val="script"/>
    <w:pitch w:val="variable"/>
    <w:sig w:usb0="00000287" w:usb1="00000013" w:usb2="00000000" w:usb3="00000000" w:csb0="0000009F" w:csb1="00000000"/>
    <w:embedRegular r:id="rId31" w:fontKey="{A21B5A9F-25EA-4D69-B128-07D2A8C103A3}"/>
  </w:font>
  <w:font w:name="Arial Negrita">
    <w:altName w:val="Arial"/>
    <w:panose1 w:val="00000000000000000000"/>
    <w:charset w:val="00"/>
    <w:family w:val="roman"/>
    <w:notTrueType/>
    <w:pitch w:val="default"/>
  </w:font>
  <w:font w:name="Liberation Sans">
    <w:charset w:val="00"/>
    <w:family w:val="swiss"/>
    <w:pitch w:val="default"/>
  </w:font>
  <w:font w:name="Mangal">
    <w:panose1 w:val="00000400000000000000"/>
    <w:charset w:val="00"/>
    <w:family w:val="roman"/>
    <w:pitch w:val="variable"/>
    <w:sig w:usb0="00008003" w:usb1="00000000" w:usb2="00000000" w:usb3="00000000" w:csb0="00000001" w:csb1="00000000"/>
    <w:embedRegular r:id="rId32" w:fontKey="{3BB37674-2D91-42E4-A1F5-45FB290521DE}"/>
  </w:font>
  <w:font w:name="Adif Fago Co Regular">
    <w:altName w:val="Calibri"/>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33" w:fontKey="{2474D6CB-ACEE-4872-8995-14A8E897A3F1}"/>
  </w:font>
  <w:font w:name="Calisto MT">
    <w:panose1 w:val="02040603050505030304"/>
    <w:charset w:val="00"/>
    <w:family w:val="roman"/>
    <w:pitch w:val="variable"/>
    <w:sig w:usb0="00000003" w:usb1="00000000" w:usb2="00000000" w:usb3="00000000" w:csb0="00000001" w:csb1="00000000"/>
    <w:embedBold r:id="rId34" w:fontKey="{B97711C4-3FEC-49A8-884C-FBCC7E5779AD}"/>
    <w:embedBoldItalic r:id="rId35" w:fontKey="{D8E0AB89-223B-4C35-B3E8-3A809FAE5588}"/>
  </w:font>
  <w:font w:name="Trebuchet MS">
    <w:panose1 w:val="020B0603020202020204"/>
    <w:charset w:val="00"/>
    <w:family w:val="swiss"/>
    <w:pitch w:val="variable"/>
    <w:sig w:usb0="00000687" w:usb1="00000000" w:usb2="00000000" w:usb3="00000000" w:csb0="0000009F" w:csb1="00000000"/>
    <w:embedRegular r:id="rId36" w:fontKey="{C38D7B55-E797-4A7C-9581-429D4D34726A}"/>
    <w:embedBold r:id="rId37" w:fontKey="{DEB26BA7-B41C-48F6-90ED-9B743818CD18}"/>
    <w:embedItalic r:id="rId38" w:fontKey="{BA41B335-1076-4C45-92CA-A3334F21F7C9}"/>
  </w:font>
  <w:font w:name="Humanst521 BT">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9" w:fontKey="{7E2BE277-0CB9-4BEE-97C3-AE4551FFD484}"/>
  </w:font>
  <w:font w:name="Helvetica">
    <w:panose1 w:val="020B0604020202020204"/>
    <w:charset w:val="00"/>
    <w:family w:val="swiss"/>
    <w:pitch w:val="variable"/>
    <w:sig w:usb0="E0002EFF" w:usb1="C000785B" w:usb2="00000009" w:usb3="00000000" w:csb0="000001FF" w:csb1="00000000"/>
    <w:embedRegular r:id="rId40" w:fontKey="{EA93A307-1B55-4BA7-B42B-BE78ABE3B355}"/>
    <w:embedBold r:id="rId41" w:fontKey="{C61437E1-FA95-43D2-9DFE-62424B364EE6}"/>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embedRegular r:id="rId42" w:fontKey="{E2294AF8-B683-4003-8D11-B4BB4194BE70}"/>
    <w:embedBold r:id="rId43" w:fontKey="{AF7775A1-1CCC-46E9-AACD-35FDEF68DCFF}"/>
  </w:font>
  <w:font w:name="Tms Rmn">
    <w:panose1 w:val="02020603040505020304"/>
    <w:charset w:val="00"/>
    <w:family w:val="roman"/>
    <w:notTrueType/>
    <w:pitch w:val="variable"/>
    <w:sig w:usb0="00000003" w:usb1="00000000" w:usb2="00000000" w:usb3="00000000" w:csb0="00000001" w:csb1="00000000"/>
  </w:font>
  <w:font w:name="Helvetica Neue">
    <w:altName w:val="Sylfae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ヒラギノ角ゴ Pro W3">
    <w:panose1 w:val="00000000000000000000"/>
    <w:charset w:val="80"/>
    <w:family w:val="roman"/>
    <w:notTrueType/>
    <w:pitch w:val="default"/>
  </w:font>
  <w:font w:name="Cambria Bold">
    <w:panose1 w:val="00000000000000000000"/>
    <w:charset w:val="00"/>
    <w:family w:val="roman"/>
    <w:notTrueType/>
    <w:pitch w:val="default"/>
  </w:font>
  <w:font w:name="Calibri Bold">
    <w:altName w:val="Calibri"/>
    <w:panose1 w:val="00000000000000000000"/>
    <w:charset w:val="00"/>
    <w:family w:val="roman"/>
    <w:notTrueType/>
    <w:pitch w:val="default"/>
  </w:font>
  <w:font w:name="Gill Sans MT">
    <w:panose1 w:val="020B0502020104020203"/>
    <w:charset w:val="00"/>
    <w:family w:val="swiss"/>
    <w:pitch w:val="variable"/>
    <w:sig w:usb0="00000007" w:usb1="00000000" w:usb2="00000000" w:usb3="00000000" w:csb0="00000003" w:csb1="00000000"/>
    <w:embedRegular r:id="rId44" w:fontKey="{F6D50B9F-0F00-4504-9E67-86079F270115}"/>
  </w:font>
  <w:font w:name="SimSun">
    <w:altName w:val="宋体"/>
    <w:panose1 w:val="02010600030101010101"/>
    <w:charset w:val="86"/>
    <w:family w:val="auto"/>
    <w:pitch w:val="variable"/>
    <w:sig w:usb0="00000203" w:usb1="288F0000" w:usb2="00000016" w:usb3="00000000" w:csb0="00040001" w:csb1="00000000"/>
  </w:font>
  <w:font w:name="AKKOFD+TimesNewRoman">
    <w:altName w:val="Times New Roman"/>
    <w:panose1 w:val="00000000000000000000"/>
    <w:charset w:val="00"/>
    <w:family w:val="roman"/>
    <w:notTrueType/>
    <w:pitch w:val="default"/>
  </w:font>
  <w:font w:name="FLJXOI+Frutiger-BoldItalic">
    <w:altName w:val="Calibri"/>
    <w:panose1 w:val="00000000000000000000"/>
    <w:charset w:val="00"/>
    <w:family w:val="roman"/>
    <w:notTrueType/>
    <w:pitch w:val="default"/>
  </w:font>
  <w:font w:name="Engebrechtre">
    <w:altName w:val="Calibri"/>
    <w:panose1 w:val="00000000000000000000"/>
    <w:charset w:val="00"/>
    <w:family w:val="roman"/>
    <w:notTrueType/>
    <w:pitch w:val="default"/>
  </w:font>
  <w:font w:name="VPZFEC+Frutiger-Light">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embedRegular r:id="rId45" w:fontKey="{FCAFFD81-FBF1-4783-B031-F10E03572B9B}"/>
  </w:font>
  <w:font w:name="Times New Roman Negrita">
    <w:altName w:val="Times New Roman"/>
    <w:panose1 w:val="00000000000000000000"/>
    <w:charset w:val="00"/>
    <w:family w:val="roman"/>
    <w:notTrueType/>
    <w:pitch w:val="default"/>
  </w:font>
  <w:font w:name="Liberation Sans Narrow">
    <w:altName w:val="Arial"/>
    <w:panose1 w:val="00000000000000000000"/>
    <w:charset w:val="00"/>
    <w:family w:val="roman"/>
    <w:notTrueType/>
    <w:pitch w:val="default"/>
  </w:font>
  <w:font w:name="Eurostar Regular Extended">
    <w:altName w:val="Arial"/>
    <w:panose1 w:val="00000000000000000000"/>
    <w:charset w:val="00"/>
    <w:family w:val="roman"/>
    <w:notTrueType/>
    <w:pitch w:val="default"/>
  </w:font>
  <w:font w:name="Whitney Medium">
    <w:altName w:val="Calibri"/>
    <w:panose1 w:val="00000000000000000000"/>
    <w:charset w:val="00"/>
    <w:family w:val="roman"/>
    <w:notTrueType/>
    <w:pitch w:val="default"/>
  </w:font>
  <w:font w:name="Whitney Light">
    <w:altName w:val="Calibri"/>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embedRegular r:id="rId46" w:fontKey="{EF183796-672C-491A-8CB1-FDE8856E58E7}"/>
  </w:font>
  <w:font w:name="Corbel">
    <w:panose1 w:val="020B0503020204020204"/>
    <w:charset w:val="00"/>
    <w:family w:val="swiss"/>
    <w:pitch w:val="variable"/>
    <w:sig w:usb0="A00002EF" w:usb1="4000A44B" w:usb2="00000000" w:usb3="00000000" w:csb0="0000019F" w:csb1="00000000"/>
    <w:embedRegular r:id="rId47" w:fontKey="{C2AA211E-D9C3-4CBC-9AD2-E226860964DE}"/>
    <w:embedBold r:id="rId48" w:fontKey="{392A7803-B051-4488-96DA-AE53EBAAB366}"/>
  </w:font>
  <w:font w:name="Yu Mincho">
    <w:altName w:val="游明朝"/>
    <w:charset w:val="80"/>
    <w:family w:val="roman"/>
    <w:pitch w:val="variable"/>
    <w:sig w:usb0="800002E7" w:usb1="2AC7FCFF" w:usb2="00000012" w:usb3="00000000" w:csb0="0002009F" w:csb1="00000000"/>
  </w:font>
  <w:font w:name="Times New Roman Bold">
    <w:altName w:val="Times New Roman"/>
    <w:panose1 w:val="00000000000000000000"/>
    <w:charset w:val="00"/>
    <w:family w:val="roman"/>
    <w:notTrueType/>
    <w:pitch w:val="default"/>
  </w:font>
  <w:font w:name="Helv 11pt">
    <w:altName w:val="Arial"/>
    <w:panose1 w:val="00000000000000000000"/>
    <w:charset w:val="00"/>
    <w:family w:val="roman"/>
    <w:notTrueType/>
    <w:pitch w:val="default"/>
  </w:font>
  <w:font w:name="inherit">
    <w:altName w:val="Times New Roman"/>
    <w:panose1 w:val="00000000000000000000"/>
    <w:charset w:val="00"/>
    <w:family w:val="roman"/>
    <w:notTrueType/>
    <w:pitch w:val="default"/>
    <w:sig w:usb0="00000003" w:usb1="00000000" w:usb2="00000000" w:usb3="00000000" w:csb0="00000001" w:csb1="00000000"/>
  </w:font>
  <w:font w:name="FAALAJ+TimesNewRoman">
    <w:altName w:val="Times New Roman"/>
    <w:panose1 w:val="00000000000000000000"/>
    <w:charset w:val="00"/>
    <w:family w:val="roman"/>
    <w:notTrueType/>
    <w:pitch w:val="default"/>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Frutiger 45 Light">
    <w:altName w:val="Calibri"/>
    <w:charset w:val="00"/>
    <w:family w:val="swiss"/>
    <w:pitch w:val="variable"/>
    <w:sig w:usb0="80000027" w:usb1="00000000" w:usb2="00000000" w:usb3="00000000" w:csb0="00000001" w:csb1="00000000"/>
  </w:font>
  <w:font w:name="Arial-ItalicMT">
    <w:charset w:val="00"/>
    <w:family w:val="roman"/>
    <w:pitch w:val="default"/>
  </w:font>
  <w:font w:name="Courier">
    <w:panose1 w:val="02070409020205020404"/>
    <w:charset w:val="00"/>
    <w:family w:val="modern"/>
    <w:notTrueType/>
    <w:pitch w:val="fixed"/>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embedRegular r:id="rId49" w:fontKey="{C5D1EAD9-8D4E-4C5C-BE66-C739B0B5EA65}"/>
  </w:font>
  <w:font w:name="Montserrat">
    <w:charset w:val="00"/>
    <w:family w:val="auto"/>
    <w:pitch w:val="variable"/>
    <w:sig w:usb0="2000020F" w:usb1="00000003" w:usb2="00000000" w:usb3="00000000" w:csb0="00000197" w:csb1="00000000"/>
    <w:embedRegular r:id="rId50" w:fontKey="{0E7AC91F-0DA2-428A-B5BC-F3EBAFA28A1F}"/>
    <w:embedItalic r:id="rId51" w:fontKey="{7C5B866C-1C2A-43A6-A7ED-9C7D8E7C5ED9}"/>
  </w:font>
  <w:font w:name="@Microsoft JhengHei Light">
    <w:charset w:val="88"/>
    <w:family w:val="swiss"/>
    <w:pitch w:val="variable"/>
    <w:sig w:usb0="800002A7" w:usb1="28CF4400" w:usb2="00000016" w:usb3="00000000" w:csb0="00100009" w:csb1="00000000"/>
  </w:font>
  <w:font w:name="Microsoft JhengHei UI Light">
    <w:panose1 w:val="020B0304030504040204"/>
    <w:charset w:val="88"/>
    <w:family w:val="swiss"/>
    <w:pitch w:val="variable"/>
    <w:sig w:usb0="800002A7" w:usb1="28CF4400" w:usb2="00000016" w:usb3="00000000" w:csb0="00100009" w:csb1="00000000"/>
  </w:font>
  <w:font w:name="@Microsoft JhengHei UI Light">
    <w:charset w:val="88"/>
    <w:family w:val="swiss"/>
    <w:pitch w:val="variable"/>
    <w:sig w:usb0="800002A7" w:usb1="28CF4400" w:usb2="00000016" w:usb3="00000000" w:csb0="00100009" w:csb1="00000000"/>
  </w:font>
  <w:font w:name="Open Sans Light">
    <w:charset w:val="00"/>
    <w:family w:val="swiss"/>
    <w:pitch w:val="variable"/>
    <w:sig w:usb0="E00002EF" w:usb1="4000205B" w:usb2="00000028" w:usb3="00000000" w:csb0="0000019F" w:csb1="00000000"/>
  </w:font>
  <w:font w:name="Gisha">
    <w:charset w:val="B1"/>
    <w:family w:val="swiss"/>
    <w:pitch w:val="variable"/>
    <w:sig w:usb0="80000807" w:usb1="40000042" w:usb2="00000000" w:usb3="00000000" w:csb0="00000021" w:csb1="00000000"/>
  </w:font>
  <w:font w:name="Cambria Math">
    <w:panose1 w:val="02040503050406030204"/>
    <w:charset w:val="00"/>
    <w:family w:val="roman"/>
    <w:pitch w:val="variable"/>
    <w:sig w:usb0="E00006FF" w:usb1="420024FF" w:usb2="02000000" w:usb3="00000000" w:csb0="0000019F" w:csb1="00000000"/>
    <w:embedRegular r:id="rId52" w:fontKey="{91B791F4-AE82-454F-8F87-7A4BFFE4FC87}"/>
    <w:embedItalic r:id="rId53" w:fontKey="{D046867F-8665-410D-B734-B3344A8A89E8}"/>
  </w:font>
  <w:font w:name="+mn-e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072811720"/>
      <w:docPartObj>
        <w:docPartGallery w:val="Page Numbers (Bottom of Page)"/>
        <w:docPartUnique/>
      </w:docPartObj>
    </w:sdtPr>
    <w:sdtContent>
      <w:p w14:paraId="7B3F1F14" w14:textId="2A28564B" w:rsidR="00F237EF" w:rsidRPr="001C3C47" w:rsidRDefault="00F237EF" w:rsidP="00AD1DF1">
        <w:pPr>
          <w:pStyle w:val="Piedepgina"/>
          <w:jc w:val="right"/>
          <w:rPr>
            <w:sz w:val="20"/>
            <w:szCs w:val="20"/>
          </w:rPr>
        </w:pPr>
        <w:r w:rsidRPr="001C3C47">
          <w:rPr>
            <w:sz w:val="20"/>
            <w:szCs w:val="20"/>
          </w:rPr>
          <w:t xml:space="preserve">Página </w:t>
        </w:r>
        <w:r w:rsidRPr="001C3C47">
          <w:rPr>
            <w:sz w:val="20"/>
            <w:szCs w:val="20"/>
          </w:rPr>
          <w:fldChar w:fldCharType="begin"/>
        </w:r>
        <w:r w:rsidRPr="001C3C47">
          <w:rPr>
            <w:sz w:val="20"/>
            <w:szCs w:val="20"/>
          </w:rPr>
          <w:instrText>PAGE   \* MERGEFORMAT</w:instrText>
        </w:r>
        <w:r w:rsidRPr="001C3C47">
          <w:rPr>
            <w:sz w:val="20"/>
            <w:szCs w:val="20"/>
          </w:rPr>
          <w:fldChar w:fldCharType="separate"/>
        </w:r>
        <w:r w:rsidR="008B0335">
          <w:rPr>
            <w:noProof/>
            <w:sz w:val="20"/>
            <w:szCs w:val="20"/>
          </w:rPr>
          <w:t>179</w:t>
        </w:r>
        <w:r w:rsidRPr="001C3C47">
          <w:rPr>
            <w:sz w:val="20"/>
            <w:szCs w:val="20"/>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3"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C"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E" w14:textId="15B1486C" w:rsidR="00F237EF" w:rsidRPr="001C3C47" w:rsidRDefault="00F237EF"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008B0335">
      <w:rPr>
        <w:noProof/>
        <w:color w:val="323E4F"/>
        <w:sz w:val="20"/>
        <w:szCs w:val="20"/>
      </w:rPr>
      <w:t>226</w:t>
    </w:r>
    <w:r w:rsidRPr="001C3C47">
      <w:rPr>
        <w:color w:val="323E4F"/>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F"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0645F8"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7DF88" w14:textId="15BAC4FC" w:rsidR="00F237EF" w:rsidRPr="001C3C47" w:rsidRDefault="00F237EF"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00E01C21">
      <w:rPr>
        <w:noProof/>
        <w:color w:val="323E4F"/>
        <w:sz w:val="20"/>
        <w:szCs w:val="20"/>
      </w:rPr>
      <w:t>560</w:t>
    </w:r>
    <w:r w:rsidRPr="001C3C47">
      <w:rPr>
        <w:color w:val="323E4F"/>
        <w:sz w:val="20"/>
        <w:szCs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C981F"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0" w14:textId="77777777" w:rsidR="00F237EF" w:rsidRDefault="00F237EF">
    <w:pPr>
      <w:pBdr>
        <w:top w:val="nil"/>
        <w:left w:val="nil"/>
        <w:bottom w:val="nil"/>
        <w:right w:val="nil"/>
        <w:between w:val="nil"/>
      </w:pBdr>
      <w:tabs>
        <w:tab w:val="center" w:pos="4419"/>
        <w:tab w:val="right" w:pos="8838"/>
      </w:tabs>
      <w:ind w:firstLine="567"/>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D2" w14:textId="5213367F" w:rsidR="00F237EF" w:rsidRPr="001C3C47" w:rsidRDefault="00F237EF" w:rsidP="001C3C47">
    <w:pPr>
      <w:tabs>
        <w:tab w:val="center" w:pos="4550"/>
        <w:tab w:val="left" w:pos="5818"/>
      </w:tabs>
      <w:ind w:right="260"/>
      <w:jc w:val="right"/>
      <w:rPr>
        <w:color w:val="222A35"/>
        <w:sz w:val="20"/>
        <w:szCs w:val="20"/>
      </w:rPr>
    </w:pPr>
    <w:r w:rsidRPr="001C3C47">
      <w:rPr>
        <w:color w:val="8496B0"/>
        <w:sz w:val="20"/>
        <w:szCs w:val="20"/>
      </w:rPr>
      <w:t xml:space="preserve">Página </w:t>
    </w:r>
    <w:r w:rsidRPr="001C3C47">
      <w:rPr>
        <w:color w:val="323E4F"/>
        <w:sz w:val="20"/>
        <w:szCs w:val="20"/>
      </w:rPr>
      <w:fldChar w:fldCharType="begin"/>
    </w:r>
    <w:r w:rsidRPr="001C3C47">
      <w:rPr>
        <w:color w:val="323E4F"/>
        <w:sz w:val="20"/>
        <w:szCs w:val="20"/>
      </w:rPr>
      <w:instrText>PAGE</w:instrText>
    </w:r>
    <w:r w:rsidRPr="001C3C47">
      <w:rPr>
        <w:color w:val="323E4F"/>
        <w:sz w:val="20"/>
        <w:szCs w:val="20"/>
      </w:rPr>
      <w:fldChar w:fldCharType="separate"/>
    </w:r>
    <w:r w:rsidR="00C535B7">
      <w:rPr>
        <w:noProof/>
        <w:color w:val="323E4F"/>
        <w:sz w:val="20"/>
        <w:szCs w:val="20"/>
      </w:rPr>
      <w:t>573</w:t>
    </w:r>
    <w:r w:rsidRPr="001C3C47">
      <w:rPr>
        <w:color w:val="323E4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0D823" w14:textId="77777777" w:rsidR="004D2B96" w:rsidRDefault="004D2B96">
      <w:r>
        <w:separator/>
      </w:r>
    </w:p>
  </w:footnote>
  <w:footnote w:type="continuationSeparator" w:id="0">
    <w:p w14:paraId="3DE508ED" w14:textId="77777777" w:rsidR="004D2B96" w:rsidRDefault="004D2B96">
      <w:r>
        <w:continuationSeparator/>
      </w:r>
    </w:p>
  </w:footnote>
  <w:footnote w:id="1">
    <w:p w14:paraId="7F96701D" w14:textId="77777777" w:rsidR="00F237EF" w:rsidRDefault="00F237EF" w:rsidP="00457A67">
      <w:pPr>
        <w:pStyle w:val="Textonotapie"/>
      </w:pPr>
      <w:r>
        <w:rPr>
          <w:rStyle w:val="Refdenotaalpie"/>
        </w:rPr>
        <w:footnoteRef/>
      </w:r>
      <w:r>
        <w:t xml:space="preserve"> Franja de servidumbre de 12.5 metros a cada lado del eje del trazo del teleférico. </w:t>
      </w:r>
    </w:p>
  </w:footnote>
  <w:footnote w:id="2">
    <w:p w14:paraId="4957FF99" w14:textId="77777777" w:rsidR="00F237EF" w:rsidRPr="00973187" w:rsidRDefault="00F237EF" w:rsidP="00457A67">
      <w:pPr>
        <w:pStyle w:val="Textonotapie"/>
        <w:rPr>
          <w:rFonts w:ascii="Calibri" w:hAnsi="Calibri" w:cs="Calibri"/>
          <w:sz w:val="20"/>
          <w:szCs w:val="16"/>
        </w:rPr>
      </w:pPr>
      <w:r w:rsidRPr="00973187">
        <w:rPr>
          <w:rStyle w:val="Refdenotaalpie"/>
          <w:rFonts w:ascii="Calibri" w:hAnsi="Calibri" w:cs="Calibri"/>
          <w:sz w:val="20"/>
          <w:szCs w:val="16"/>
        </w:rPr>
        <w:footnoteRef/>
      </w:r>
      <w:r w:rsidRPr="00973187">
        <w:rPr>
          <w:rFonts w:ascii="Calibri" w:hAnsi="Calibri" w:cs="Calibri"/>
          <w:sz w:val="20"/>
          <w:szCs w:val="16"/>
        </w:rPr>
        <w:t xml:space="preserve"> Franja de servidumbre de 12.5 metros a cada lado del eje del trazo del teleférico. </w:t>
      </w:r>
    </w:p>
  </w:footnote>
  <w:footnote w:id="3">
    <w:p w14:paraId="4AC85FAA" w14:textId="6292AEF9" w:rsidR="00F237EF" w:rsidRDefault="00F237EF" w:rsidP="0046458D">
      <w:pPr>
        <w:pBdr>
          <w:top w:val="nil"/>
          <w:left w:val="nil"/>
          <w:bottom w:val="nil"/>
          <w:right w:val="nil"/>
          <w:between w:val="nil"/>
        </w:pBdr>
        <w:rPr>
          <w:color w:val="000000"/>
        </w:rPr>
      </w:pPr>
      <w:r>
        <w:rPr>
          <w:vertAlign w:val="superscript"/>
        </w:rPr>
        <w:footnoteRef/>
      </w:r>
      <w:r>
        <w:rPr>
          <w:color w:val="000000"/>
        </w:rPr>
        <w:t xml:space="preserve"> </w:t>
      </w:r>
      <w:r>
        <w:rPr>
          <w:color w:val="000000"/>
          <w:sz w:val="18"/>
          <w:szCs w:val="18"/>
        </w:rPr>
        <w:t>Las garantías otorgadas se encuentran dentro de las garantías permitidas por la Cláusula 8.16 del Contrato suscrito entre el CONDEDENTE y [</w:t>
      </w:r>
      <w:r>
        <w:rPr>
          <w:i/>
          <w:color w:val="000000"/>
          <w:sz w:val="18"/>
          <w:szCs w:val="18"/>
        </w:rPr>
        <w:t>Nombre del Concesionario</w:t>
      </w:r>
      <w:r>
        <w:rPr>
          <w:color w:val="000000"/>
          <w:sz w:val="18"/>
          <w:szCs w:val="18"/>
        </w:rPr>
        <w:t>], como CONCESIONARIO.</w:t>
      </w:r>
    </w:p>
  </w:footnote>
  <w:footnote w:id="4">
    <w:p w14:paraId="6FC3AAB7" w14:textId="77777777" w:rsidR="00F237EF" w:rsidRPr="00764D55" w:rsidRDefault="00F237EF" w:rsidP="001F600C">
      <w:pPr>
        <w:pBdr>
          <w:top w:val="nil"/>
          <w:left w:val="nil"/>
          <w:bottom w:val="nil"/>
          <w:right w:val="nil"/>
          <w:between w:val="nil"/>
        </w:pBdr>
        <w:ind w:firstLine="567"/>
        <w:rPr>
          <w:rFonts w:ascii="Calibri" w:hAnsi="Calibri" w:cs="Calibri"/>
          <w:color w:val="000000"/>
          <w:sz w:val="20"/>
          <w:szCs w:val="20"/>
        </w:rPr>
      </w:pPr>
      <w:r w:rsidRPr="00764D55">
        <w:rPr>
          <w:rFonts w:ascii="Calibri" w:hAnsi="Calibri" w:cs="Calibri"/>
          <w:sz w:val="20"/>
          <w:szCs w:val="20"/>
          <w:vertAlign w:val="superscript"/>
        </w:rPr>
        <w:footnoteRef/>
      </w:r>
      <w:r w:rsidRPr="00764D55">
        <w:rPr>
          <w:rFonts w:ascii="Calibri" w:hAnsi="Calibri" w:cs="Calibri"/>
          <w:color w:val="000000"/>
          <w:sz w:val="20"/>
          <w:szCs w:val="20"/>
        </w:rPr>
        <w:t xml:space="preserve"> Para los buses que parten de la Estacion Central Yanama, se ha considerado una velocidad de operación ligeramente menor debido a la orografia y a las pendientes de la zona.</w:t>
      </w:r>
    </w:p>
  </w:footnote>
  <w:footnote w:id="5">
    <w:p w14:paraId="40790F37" w14:textId="77777777" w:rsidR="00F237EF" w:rsidRPr="006032F1" w:rsidRDefault="00F237EF" w:rsidP="001F600C">
      <w:pPr>
        <w:pBdr>
          <w:top w:val="nil"/>
          <w:left w:val="nil"/>
          <w:bottom w:val="nil"/>
          <w:right w:val="nil"/>
          <w:between w:val="nil"/>
        </w:pBdr>
        <w:ind w:firstLine="567"/>
        <w:rPr>
          <w:rFonts w:ascii="Calibri" w:hAnsi="Calibri" w:cs="Calibri"/>
          <w:color w:val="000000"/>
          <w:sz w:val="18"/>
          <w:szCs w:val="18"/>
        </w:rPr>
      </w:pPr>
      <w:r w:rsidRPr="006032F1">
        <w:rPr>
          <w:rFonts w:ascii="Calibri" w:hAnsi="Calibri" w:cs="Calibri"/>
          <w:sz w:val="18"/>
          <w:szCs w:val="18"/>
          <w:vertAlign w:val="superscript"/>
        </w:rPr>
        <w:footnoteRef/>
      </w:r>
      <w:r w:rsidRPr="006032F1">
        <w:rPr>
          <w:rFonts w:ascii="Calibri" w:hAnsi="Calibri" w:cs="Calibri"/>
          <w:color w:val="000000"/>
          <w:sz w:val="18"/>
          <w:szCs w:val="18"/>
        </w:rPr>
        <w:t xml:space="preserve"> Ver Análisis Técnico c) Tecnología.</w:t>
      </w:r>
    </w:p>
  </w:footnote>
  <w:footnote w:id="6">
    <w:p w14:paraId="7F4977A2" w14:textId="77777777" w:rsidR="00F237EF" w:rsidRDefault="00F237EF" w:rsidP="001F600C">
      <w:pPr>
        <w:pBdr>
          <w:top w:val="nil"/>
          <w:left w:val="nil"/>
          <w:bottom w:val="nil"/>
          <w:right w:val="nil"/>
          <w:between w:val="nil"/>
        </w:pBdr>
        <w:ind w:firstLine="567"/>
        <w:rPr>
          <w:color w:val="000000"/>
        </w:rPr>
      </w:pPr>
      <w:r w:rsidRPr="006032F1">
        <w:rPr>
          <w:rFonts w:ascii="Calibri" w:hAnsi="Calibri" w:cs="Calibri"/>
          <w:sz w:val="18"/>
          <w:szCs w:val="18"/>
          <w:vertAlign w:val="superscript"/>
        </w:rPr>
        <w:footnoteRef/>
      </w:r>
      <w:r w:rsidRPr="006032F1">
        <w:rPr>
          <w:rFonts w:ascii="Calibri" w:hAnsi="Calibri" w:cs="Calibri"/>
          <w:color w:val="000000"/>
          <w:sz w:val="18"/>
          <w:szCs w:val="18"/>
        </w:rPr>
        <w:t xml:space="preserve"> La capacidad de las cabinas se determina a partir de la capacidad de transporte requerida (brecha oferta – demanda) y la longitud del trazo. Estudio Especifico N°09: Diseño de Ingeniería.</w:t>
      </w:r>
    </w:p>
  </w:footnote>
  <w:footnote w:id="7">
    <w:p w14:paraId="000032C4" w14:textId="77777777" w:rsidR="00F237EF" w:rsidRPr="00502E7E" w:rsidRDefault="00F237EF">
      <w:pPr>
        <w:widowControl/>
        <w:pBdr>
          <w:top w:val="nil"/>
          <w:left w:val="nil"/>
          <w:bottom w:val="nil"/>
          <w:right w:val="nil"/>
          <w:between w:val="nil"/>
        </w:pBdr>
        <w:rPr>
          <w:rFonts w:ascii="Calibri" w:hAnsi="Calibri" w:cs="Calibri"/>
          <w:color w:val="000000"/>
          <w:sz w:val="20"/>
          <w:szCs w:val="20"/>
        </w:rPr>
      </w:pPr>
      <w:r w:rsidRPr="00502E7E">
        <w:rPr>
          <w:rFonts w:ascii="Calibri" w:hAnsi="Calibri" w:cs="Calibri"/>
          <w:sz w:val="20"/>
          <w:szCs w:val="20"/>
          <w:vertAlign w:val="superscript"/>
        </w:rPr>
        <w:footnoteRef/>
      </w:r>
      <w:r w:rsidRPr="00502E7E">
        <w:rPr>
          <w:rFonts w:ascii="Calibri" w:hAnsi="Calibri" w:cs="Calibri"/>
          <w:color w:val="000000"/>
          <w:sz w:val="20"/>
          <w:szCs w:val="20"/>
        </w:rPr>
        <w:t xml:space="preserve"> El Estudio de Trazo de los Teleféricos no forma parte del EDI de las Estaciones Centrales.</w:t>
      </w:r>
    </w:p>
  </w:footnote>
  <w:footnote w:id="8">
    <w:p w14:paraId="000032C5" w14:textId="77777777" w:rsidR="00F237EF" w:rsidRPr="00495C3C" w:rsidRDefault="00F237EF">
      <w:pPr>
        <w:widowControl/>
        <w:pBdr>
          <w:top w:val="nil"/>
          <w:left w:val="nil"/>
          <w:bottom w:val="nil"/>
          <w:right w:val="nil"/>
          <w:between w:val="nil"/>
        </w:pBdr>
        <w:rPr>
          <w:rFonts w:ascii="Calibri" w:hAnsi="Calibri" w:cs="Calibri"/>
          <w:color w:val="000000"/>
          <w:sz w:val="18"/>
          <w:szCs w:val="18"/>
        </w:rPr>
      </w:pPr>
      <w:r w:rsidRPr="00495C3C">
        <w:rPr>
          <w:rFonts w:ascii="Calibri" w:hAnsi="Calibri" w:cs="Calibri"/>
          <w:sz w:val="18"/>
          <w:szCs w:val="18"/>
          <w:vertAlign w:val="superscript"/>
        </w:rPr>
        <w:footnoteRef/>
      </w:r>
      <w:r w:rsidRPr="00495C3C">
        <w:rPr>
          <w:rFonts w:ascii="Calibri" w:hAnsi="Calibri" w:cs="Calibri"/>
          <w:color w:val="000000"/>
          <w:sz w:val="18"/>
          <w:szCs w:val="18"/>
        </w:rPr>
        <w:t xml:space="preserve"> El Estudio Electromecánico no forma parte del EDI de las Estaciones Centrales.</w:t>
      </w:r>
    </w:p>
  </w:footnote>
  <w:footnote w:id="9">
    <w:p w14:paraId="6B8AB72D" w14:textId="77777777" w:rsidR="00F237EF" w:rsidRPr="00D55B7A" w:rsidRDefault="00F237EF" w:rsidP="009F2B65">
      <w:pPr>
        <w:pStyle w:val="Textonotapie"/>
        <w:rPr>
          <w:rFonts w:ascii="Calibri" w:hAnsi="Calibri" w:cs="Calibri"/>
          <w:sz w:val="18"/>
          <w:szCs w:val="14"/>
          <w:lang w:val="es-PE"/>
        </w:rPr>
      </w:pPr>
      <w:r w:rsidRPr="00D55B7A">
        <w:rPr>
          <w:rStyle w:val="Refdenotaalpie"/>
          <w:rFonts w:ascii="Calibri" w:hAnsi="Calibri" w:cs="Calibri"/>
          <w:sz w:val="18"/>
          <w:szCs w:val="14"/>
        </w:rPr>
        <w:footnoteRef/>
      </w:r>
      <w:r w:rsidRPr="00D55B7A">
        <w:rPr>
          <w:rFonts w:ascii="Calibri" w:hAnsi="Calibri" w:cs="Calibri"/>
          <w:sz w:val="18"/>
          <w:szCs w:val="14"/>
        </w:rPr>
        <w:t xml:space="preserve"> </w:t>
      </w:r>
      <w:r w:rsidRPr="00D55B7A">
        <w:rPr>
          <w:rFonts w:ascii="Calibri" w:hAnsi="Calibri" w:cs="Calibri"/>
          <w:sz w:val="18"/>
          <w:szCs w:val="14"/>
          <w:lang w:val="es-PE"/>
        </w:rPr>
        <w:t>Ley N°28551.</w:t>
      </w:r>
    </w:p>
  </w:footnote>
  <w:footnote w:id="10">
    <w:p w14:paraId="41E6B243" w14:textId="77777777" w:rsidR="00F237EF" w:rsidRPr="005D054D" w:rsidRDefault="00F237EF" w:rsidP="004A2CCE">
      <w:pPr>
        <w:pStyle w:val="Textonotapie"/>
      </w:pPr>
      <w:r>
        <w:rPr>
          <w:rStyle w:val="Refdenotaalpie"/>
        </w:rPr>
        <w:footnoteRef/>
      </w:r>
      <w:r>
        <w:t xml:space="preserve"> </w:t>
      </w:r>
      <w:r>
        <w:rPr>
          <w:rFonts w:ascii="Calibri" w:eastAsiaTheme="minorHAnsi" w:hAnsi="Calibri" w:cs="Calibri"/>
          <w:sz w:val="20"/>
          <w:szCs w:val="20"/>
          <w:lang w:eastAsia="en-US"/>
          <w14:ligatures w14:val="standardContextual"/>
        </w:rPr>
        <w:t>En el 1er trimestre de operación de cada Componente j, el saldo a liquidar tiene el valor de 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6" w14:textId="5B621493" w:rsidR="00F237EF" w:rsidRDefault="00F237EF">
    <w:pPr>
      <w:pBdr>
        <w:top w:val="nil"/>
        <w:left w:val="nil"/>
        <w:bottom w:val="nil"/>
        <w:right w:val="nil"/>
        <w:between w:val="nil"/>
      </w:pBdr>
      <w:tabs>
        <w:tab w:val="center" w:pos="4419"/>
        <w:tab w:val="right" w:pos="8838"/>
      </w:tabs>
      <w:ind w:firstLine="56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7" w14:textId="5CBC3427" w:rsidR="00F237EF" w:rsidRDefault="00F237EF">
    <w:pPr>
      <w:pBdr>
        <w:top w:val="nil"/>
        <w:left w:val="nil"/>
        <w:bottom w:val="nil"/>
        <w:right w:val="nil"/>
        <w:between w:val="nil"/>
      </w:pBdr>
      <w:tabs>
        <w:tab w:val="center" w:pos="4419"/>
        <w:tab w:val="right" w:pos="8838"/>
      </w:tabs>
      <w:ind w:firstLine="567"/>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8" w14:textId="06F76172" w:rsidR="00F237EF" w:rsidRDefault="00F237EF">
    <w:pPr>
      <w:pBdr>
        <w:top w:val="nil"/>
        <w:left w:val="nil"/>
        <w:bottom w:val="nil"/>
        <w:right w:val="nil"/>
        <w:between w:val="nil"/>
      </w:pBdr>
      <w:tabs>
        <w:tab w:val="center" w:pos="4419"/>
        <w:tab w:val="right" w:pos="8838"/>
      </w:tabs>
      <w:ind w:firstLine="567"/>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191C6" w14:textId="77777777" w:rsidR="00F237EF" w:rsidRDefault="00F237EF">
    <w:pPr>
      <w:pBdr>
        <w:top w:val="nil"/>
        <w:left w:val="nil"/>
        <w:bottom w:val="nil"/>
        <w:right w:val="nil"/>
        <w:between w:val="nil"/>
      </w:pBdr>
      <w:tabs>
        <w:tab w:val="center" w:pos="4419"/>
        <w:tab w:val="right" w:pos="8838"/>
      </w:tabs>
      <w:ind w:firstLine="567"/>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AFFBF" w14:textId="77777777" w:rsidR="00F237EF" w:rsidRDefault="00F237EF">
    <w:pPr>
      <w:pBdr>
        <w:top w:val="nil"/>
        <w:left w:val="nil"/>
        <w:bottom w:val="nil"/>
        <w:right w:val="nil"/>
        <w:between w:val="nil"/>
      </w:pBdr>
      <w:tabs>
        <w:tab w:val="center" w:pos="4419"/>
        <w:tab w:val="right" w:pos="8838"/>
      </w:tabs>
      <w:ind w:firstLine="567"/>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A131A" w14:textId="77777777" w:rsidR="00F237EF" w:rsidRDefault="00F237EF">
    <w:pPr>
      <w:pBdr>
        <w:top w:val="nil"/>
        <w:left w:val="nil"/>
        <w:bottom w:val="nil"/>
        <w:right w:val="nil"/>
        <w:between w:val="nil"/>
      </w:pBdr>
      <w:tabs>
        <w:tab w:val="center" w:pos="4419"/>
        <w:tab w:val="right" w:pos="8838"/>
      </w:tabs>
      <w:ind w:firstLine="567"/>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9" w14:textId="450AE0CC" w:rsidR="00F237EF" w:rsidRDefault="00F237EF">
    <w:pPr>
      <w:pBdr>
        <w:top w:val="nil"/>
        <w:left w:val="nil"/>
        <w:bottom w:val="nil"/>
        <w:right w:val="nil"/>
        <w:between w:val="nil"/>
      </w:pBdr>
      <w:tabs>
        <w:tab w:val="center" w:pos="4419"/>
        <w:tab w:val="right" w:pos="8838"/>
      </w:tabs>
      <w:ind w:firstLine="567"/>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A" w14:textId="4D5EBE29" w:rsidR="00F237EF" w:rsidRDefault="00F237EF">
    <w:pPr>
      <w:pBdr>
        <w:top w:val="nil"/>
        <w:left w:val="nil"/>
        <w:bottom w:val="nil"/>
        <w:right w:val="nil"/>
        <w:between w:val="nil"/>
      </w:pBdr>
      <w:tabs>
        <w:tab w:val="center" w:pos="4419"/>
        <w:tab w:val="right" w:pos="8838"/>
      </w:tabs>
      <w:ind w:firstLine="567"/>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32CB" w14:textId="3B299376" w:rsidR="00F237EF" w:rsidRDefault="00F237EF">
    <w:pPr>
      <w:pBdr>
        <w:top w:val="nil"/>
        <w:left w:val="nil"/>
        <w:bottom w:val="nil"/>
        <w:right w:val="nil"/>
        <w:between w:val="nil"/>
      </w:pBdr>
      <w:tabs>
        <w:tab w:val="center" w:pos="4419"/>
        <w:tab w:val="right" w:pos="8838"/>
      </w:tabs>
      <w:ind w:firstLine="567"/>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cs="Symbol"/>
        <w:color w:val="auto"/>
      </w:rPr>
    </w:lvl>
  </w:abstractNum>
  <w:abstractNum w:abstractNumId="1" w15:restartNumberingAfterBreak="0">
    <w:nsid w:val="00000008"/>
    <w:multiLevelType w:val="singleLevel"/>
    <w:tmpl w:val="00000008"/>
    <w:name w:val="WW8Num19"/>
    <w:lvl w:ilvl="0">
      <w:start w:val="1"/>
      <w:numFmt w:val="bullet"/>
      <w:lvlText w:val=""/>
      <w:lvlJc w:val="left"/>
      <w:pPr>
        <w:tabs>
          <w:tab w:val="num" w:pos="360"/>
        </w:tabs>
        <w:ind w:left="360" w:hanging="360"/>
      </w:pPr>
      <w:rPr>
        <w:rFonts w:ascii="Symbol" w:hAnsi="Symbol" w:cs="Symbol"/>
        <w:color w:val="auto"/>
      </w:rPr>
    </w:lvl>
  </w:abstractNum>
  <w:abstractNum w:abstractNumId="2" w15:restartNumberingAfterBreak="0">
    <w:nsid w:val="00026CD1"/>
    <w:multiLevelType w:val="multilevel"/>
    <w:tmpl w:val="93B4EAD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00543A9F"/>
    <w:multiLevelType w:val="multilevel"/>
    <w:tmpl w:val="54E425F0"/>
    <w:lvl w:ilvl="0">
      <w:start w:val="1"/>
      <w:numFmt w:val="lowerLetter"/>
      <w:pStyle w:val="Vieta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 w15:restartNumberingAfterBreak="0">
    <w:nsid w:val="00E6D164"/>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3B724D"/>
    <w:multiLevelType w:val="multilevel"/>
    <w:tmpl w:val="9AE0EA12"/>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6" w15:restartNumberingAfterBreak="0">
    <w:nsid w:val="01681493"/>
    <w:multiLevelType w:val="multilevel"/>
    <w:tmpl w:val="DA848F1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 w15:restartNumberingAfterBreak="0">
    <w:nsid w:val="01B83101"/>
    <w:multiLevelType w:val="multilevel"/>
    <w:tmpl w:val="84345692"/>
    <w:lvl w:ilvl="0">
      <w:start w:val="1"/>
      <w:numFmt w:val="lowerLetter"/>
      <w:pStyle w:val="TtuloN13"/>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 w15:restartNumberingAfterBreak="0">
    <w:nsid w:val="0215106C"/>
    <w:multiLevelType w:val="multilevel"/>
    <w:tmpl w:val="54F843A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02467066"/>
    <w:multiLevelType w:val="multilevel"/>
    <w:tmpl w:val="7BF6F8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 w15:restartNumberingAfterBreak="0">
    <w:nsid w:val="037C6198"/>
    <w:multiLevelType w:val="multilevel"/>
    <w:tmpl w:val="BEE2744C"/>
    <w:lvl w:ilvl="0">
      <w:start w:val="1"/>
      <w:numFmt w:val="lowerLetter"/>
      <w:lvlText w:val="%1)"/>
      <w:lvlJc w:val="left"/>
      <w:pPr>
        <w:ind w:left="927" w:hanging="360"/>
      </w:pPr>
    </w:lvl>
    <w:lvl w:ilvl="1">
      <w:start w:val="1"/>
      <w:numFmt w:val="decimal"/>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038664C7"/>
    <w:multiLevelType w:val="multilevel"/>
    <w:tmpl w:val="D368CE40"/>
    <w:lvl w:ilvl="0">
      <w:start w:val="1"/>
      <w:numFmt w:val="lowerLetter"/>
      <w:pStyle w:val="Anexo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03EC2413"/>
    <w:multiLevelType w:val="hybridMultilevel"/>
    <w:tmpl w:val="278446BE"/>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3" w15:restartNumberingAfterBreak="0">
    <w:nsid w:val="04AA209F"/>
    <w:multiLevelType w:val="multilevel"/>
    <w:tmpl w:val="4AE4807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04AE453E"/>
    <w:multiLevelType w:val="hybridMultilevel"/>
    <w:tmpl w:val="BB3EBC88"/>
    <w:lvl w:ilvl="0" w:tplc="4D68F754">
      <w:start w:val="1"/>
      <w:numFmt w:val="lowerRoman"/>
      <w:lvlText w:val="%1)"/>
      <w:lvlJc w:val="left"/>
      <w:pPr>
        <w:ind w:left="1080" w:hanging="720"/>
      </w:pPr>
      <w:rPr>
        <w:rFonts w:ascii="Arial Narrow" w:eastAsia="Arial" w:hAnsi="Arial Narrow" w:cs="Arial"/>
        <w:sz w:val="22"/>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05F24012"/>
    <w:multiLevelType w:val="multilevel"/>
    <w:tmpl w:val="7FF2EE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 w15:restartNumberingAfterBreak="0">
    <w:nsid w:val="05FE113C"/>
    <w:multiLevelType w:val="multilevel"/>
    <w:tmpl w:val="CB6C61C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 w15:restartNumberingAfterBreak="0">
    <w:nsid w:val="06621E4A"/>
    <w:multiLevelType w:val="multilevel"/>
    <w:tmpl w:val="72FEEAE6"/>
    <w:lvl w:ilvl="0">
      <w:start w:val="1"/>
      <w:numFmt w:val="lowerLetter"/>
      <w:pStyle w:val="TituloN1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15:restartNumberingAfterBreak="0">
    <w:nsid w:val="070A3DA4"/>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07312070"/>
    <w:multiLevelType w:val="multilevel"/>
    <w:tmpl w:val="66E4CF1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 w15:restartNumberingAfterBreak="0">
    <w:nsid w:val="08543E8A"/>
    <w:multiLevelType w:val="multilevel"/>
    <w:tmpl w:val="F6B063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08670425"/>
    <w:multiLevelType w:val="hybridMultilevel"/>
    <w:tmpl w:val="EA80B2C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2" w15:restartNumberingAfterBreak="0">
    <w:nsid w:val="089F7563"/>
    <w:multiLevelType w:val="multilevel"/>
    <w:tmpl w:val="4EC8B2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 w15:restartNumberingAfterBreak="0">
    <w:nsid w:val="08B23A5B"/>
    <w:multiLevelType w:val="multilevel"/>
    <w:tmpl w:val="E266E6D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 w15:restartNumberingAfterBreak="0">
    <w:nsid w:val="096053D9"/>
    <w:multiLevelType w:val="multilevel"/>
    <w:tmpl w:val="F3D2631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 w15:restartNumberingAfterBreak="0">
    <w:nsid w:val="09827A64"/>
    <w:multiLevelType w:val="hybridMultilevel"/>
    <w:tmpl w:val="28E648A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6" w15:restartNumberingAfterBreak="0">
    <w:nsid w:val="098E442B"/>
    <w:multiLevelType w:val="multilevel"/>
    <w:tmpl w:val="B75CD8B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 w15:restartNumberingAfterBreak="0">
    <w:nsid w:val="09D1391A"/>
    <w:multiLevelType w:val="multilevel"/>
    <w:tmpl w:val="AD285C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 w15:restartNumberingAfterBreak="0">
    <w:nsid w:val="0AE40D6C"/>
    <w:multiLevelType w:val="multilevel"/>
    <w:tmpl w:val="23FAA02A"/>
    <w:lvl w:ilvl="0">
      <w:start w:val="1"/>
      <w:numFmt w:val="lowerRoman"/>
      <w:lvlText w:val="%1."/>
      <w:lvlJc w:val="right"/>
      <w:pPr>
        <w:ind w:left="1647"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0B531D1C"/>
    <w:multiLevelType w:val="multilevel"/>
    <w:tmpl w:val="C17A00D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0" w15:restartNumberingAfterBreak="0">
    <w:nsid w:val="0B84018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0BC776E3"/>
    <w:multiLevelType w:val="multilevel"/>
    <w:tmpl w:val="636460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2" w15:restartNumberingAfterBreak="0">
    <w:nsid w:val="0BD33E95"/>
    <w:multiLevelType w:val="hybridMultilevel"/>
    <w:tmpl w:val="F0D82168"/>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0BEA3839"/>
    <w:multiLevelType w:val="multilevel"/>
    <w:tmpl w:val="230CDF6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4" w15:restartNumberingAfterBreak="0">
    <w:nsid w:val="0C03036F"/>
    <w:multiLevelType w:val="hybridMultilevel"/>
    <w:tmpl w:val="66982A8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15:restartNumberingAfterBreak="0">
    <w:nsid w:val="0C095D75"/>
    <w:multiLevelType w:val="multilevel"/>
    <w:tmpl w:val="20E4423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6" w15:restartNumberingAfterBreak="0">
    <w:nsid w:val="0C154376"/>
    <w:multiLevelType w:val="multilevel"/>
    <w:tmpl w:val="85D0E65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0CEA2CFE"/>
    <w:multiLevelType w:val="multilevel"/>
    <w:tmpl w:val="748EFF9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8" w15:restartNumberingAfterBreak="0">
    <w:nsid w:val="0D1C149C"/>
    <w:multiLevelType w:val="multilevel"/>
    <w:tmpl w:val="A40858FE"/>
    <w:lvl w:ilvl="0">
      <w:start w:val="1"/>
      <w:numFmt w:val="lowerLetter"/>
      <w:lvlText w:val="%1)"/>
      <w:lvlJc w:val="left"/>
      <w:pPr>
        <w:ind w:left="927" w:hanging="360"/>
      </w:pPr>
    </w:lvl>
    <w:lvl w:ilvl="1">
      <w:start w:val="1"/>
      <w:numFmt w:val="lowerLetter"/>
      <w:pStyle w:val="Titulo2"/>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9" w15:restartNumberingAfterBreak="0">
    <w:nsid w:val="0D4B20D0"/>
    <w:multiLevelType w:val="multilevel"/>
    <w:tmpl w:val="0D84FB3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0" w15:restartNumberingAfterBreak="0">
    <w:nsid w:val="0D8F4E1F"/>
    <w:multiLevelType w:val="multilevel"/>
    <w:tmpl w:val="8A9E5110"/>
    <w:lvl w:ilvl="0">
      <w:start w:val="1"/>
      <w:numFmt w:val="decimal"/>
      <w:lvlText w:val="%1."/>
      <w:lvlJc w:val="left"/>
      <w:pPr>
        <w:ind w:left="720" w:hanging="360"/>
      </w:pPr>
    </w:lvl>
    <w:lvl w:ilvl="1">
      <w:start w:val="1"/>
      <w:numFmt w:val="decimal"/>
      <w:lvlText w:val="4.%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41" w15:restartNumberingAfterBreak="0">
    <w:nsid w:val="0DE5429B"/>
    <w:multiLevelType w:val="hybridMultilevel"/>
    <w:tmpl w:val="F6B08034"/>
    <w:lvl w:ilvl="0" w:tplc="1DAE03C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0DF21C95"/>
    <w:multiLevelType w:val="multilevel"/>
    <w:tmpl w:val="86EECBD8"/>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0E03439F"/>
    <w:multiLevelType w:val="multilevel"/>
    <w:tmpl w:val="CAD2683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4" w15:restartNumberingAfterBreak="0">
    <w:nsid w:val="0EAA4CD2"/>
    <w:multiLevelType w:val="multilevel"/>
    <w:tmpl w:val="9E64F396"/>
    <w:lvl w:ilvl="0">
      <w:start w:val="1"/>
      <w:numFmt w:val="decimal"/>
      <w:lvlText w:val="6.%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45" w15:restartNumberingAfterBreak="0">
    <w:nsid w:val="0ECE33DC"/>
    <w:multiLevelType w:val="multilevel"/>
    <w:tmpl w:val="5DB0A44C"/>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Arial" w:eastAsia="Arial" w:hAnsi="Arial" w:cs="Arial"/>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46" w15:restartNumberingAfterBreak="0">
    <w:nsid w:val="0F4B5A1A"/>
    <w:multiLevelType w:val="multilevel"/>
    <w:tmpl w:val="AAA656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7" w15:restartNumberingAfterBreak="0">
    <w:nsid w:val="0F944C29"/>
    <w:multiLevelType w:val="multilevel"/>
    <w:tmpl w:val="E84068A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8" w15:restartNumberingAfterBreak="0">
    <w:nsid w:val="0FB7220F"/>
    <w:multiLevelType w:val="multilevel"/>
    <w:tmpl w:val="8F088EB0"/>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pStyle w:val="TituloN4"/>
      <w:lvlText w:val="%4."/>
      <w:lvlJc w:val="left"/>
      <w:pPr>
        <w:ind w:left="3087" w:hanging="360"/>
      </w:pPr>
    </w:lvl>
    <w:lvl w:ilvl="4">
      <w:start w:val="1"/>
      <w:numFmt w:val="lowerLetter"/>
      <w:pStyle w:val="TituloN5"/>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9" w15:restartNumberingAfterBreak="0">
    <w:nsid w:val="1086150B"/>
    <w:multiLevelType w:val="multilevel"/>
    <w:tmpl w:val="01160C00"/>
    <w:lvl w:ilvl="0">
      <w:start w:val="1"/>
      <w:numFmt w:val="lowerRoman"/>
      <w:lvlText w:val="%1."/>
      <w:lvlJc w:val="right"/>
      <w:pPr>
        <w:ind w:left="1434" w:hanging="360"/>
      </w:pPr>
    </w:lvl>
    <w:lvl w:ilvl="1">
      <w:start w:val="1"/>
      <w:numFmt w:val="bullet"/>
      <w:lvlText w:val="o"/>
      <w:lvlJc w:val="left"/>
      <w:pPr>
        <w:ind w:left="2154" w:hanging="360"/>
      </w:pPr>
      <w:rPr>
        <w:rFonts w:ascii="Courier New" w:eastAsia="Courier New" w:hAnsi="Courier New" w:cs="Courier New"/>
      </w:rPr>
    </w:lvl>
    <w:lvl w:ilvl="2">
      <w:start w:val="1"/>
      <w:numFmt w:val="bullet"/>
      <w:lvlText w:val="▪"/>
      <w:lvlJc w:val="left"/>
      <w:pPr>
        <w:ind w:left="2874" w:hanging="360"/>
      </w:pPr>
      <w:rPr>
        <w:rFonts w:ascii="Noto Sans Symbols" w:eastAsia="Noto Sans Symbols" w:hAnsi="Noto Sans Symbols" w:cs="Noto Sans Symbols"/>
      </w:rPr>
    </w:lvl>
    <w:lvl w:ilvl="3">
      <w:start w:val="1"/>
      <w:numFmt w:val="bullet"/>
      <w:lvlText w:val="●"/>
      <w:lvlJc w:val="left"/>
      <w:pPr>
        <w:ind w:left="3594" w:hanging="360"/>
      </w:pPr>
      <w:rPr>
        <w:rFonts w:ascii="Noto Sans Symbols" w:eastAsia="Noto Sans Symbols" w:hAnsi="Noto Sans Symbols" w:cs="Noto Sans Symbols"/>
      </w:rPr>
    </w:lvl>
    <w:lvl w:ilvl="4">
      <w:start w:val="1"/>
      <w:numFmt w:val="bullet"/>
      <w:lvlText w:val="o"/>
      <w:lvlJc w:val="left"/>
      <w:pPr>
        <w:ind w:left="4314" w:hanging="360"/>
      </w:pPr>
      <w:rPr>
        <w:rFonts w:ascii="Courier New" w:eastAsia="Courier New" w:hAnsi="Courier New" w:cs="Courier New"/>
      </w:rPr>
    </w:lvl>
    <w:lvl w:ilvl="5">
      <w:start w:val="1"/>
      <w:numFmt w:val="bullet"/>
      <w:lvlText w:val="▪"/>
      <w:lvlJc w:val="left"/>
      <w:pPr>
        <w:ind w:left="5034" w:hanging="360"/>
      </w:pPr>
      <w:rPr>
        <w:rFonts w:ascii="Noto Sans Symbols" w:eastAsia="Noto Sans Symbols" w:hAnsi="Noto Sans Symbols" w:cs="Noto Sans Symbols"/>
      </w:rPr>
    </w:lvl>
    <w:lvl w:ilvl="6">
      <w:start w:val="1"/>
      <w:numFmt w:val="bullet"/>
      <w:lvlText w:val="●"/>
      <w:lvlJc w:val="left"/>
      <w:pPr>
        <w:ind w:left="5754" w:hanging="360"/>
      </w:pPr>
      <w:rPr>
        <w:rFonts w:ascii="Noto Sans Symbols" w:eastAsia="Noto Sans Symbols" w:hAnsi="Noto Sans Symbols" w:cs="Noto Sans Symbols"/>
      </w:rPr>
    </w:lvl>
    <w:lvl w:ilvl="7">
      <w:start w:val="1"/>
      <w:numFmt w:val="bullet"/>
      <w:lvlText w:val="o"/>
      <w:lvlJc w:val="left"/>
      <w:pPr>
        <w:ind w:left="6474" w:hanging="360"/>
      </w:pPr>
      <w:rPr>
        <w:rFonts w:ascii="Courier New" w:eastAsia="Courier New" w:hAnsi="Courier New" w:cs="Courier New"/>
      </w:rPr>
    </w:lvl>
    <w:lvl w:ilvl="8">
      <w:start w:val="1"/>
      <w:numFmt w:val="bullet"/>
      <w:lvlText w:val="▪"/>
      <w:lvlJc w:val="left"/>
      <w:pPr>
        <w:ind w:left="7194" w:hanging="360"/>
      </w:pPr>
      <w:rPr>
        <w:rFonts w:ascii="Noto Sans Symbols" w:eastAsia="Noto Sans Symbols" w:hAnsi="Noto Sans Symbols" w:cs="Noto Sans Symbols"/>
      </w:rPr>
    </w:lvl>
  </w:abstractNum>
  <w:abstractNum w:abstractNumId="50" w15:restartNumberingAfterBreak="0">
    <w:nsid w:val="10B51F0A"/>
    <w:multiLevelType w:val="multilevel"/>
    <w:tmpl w:val="D14CD0A4"/>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1" w15:restartNumberingAfterBreak="0">
    <w:nsid w:val="10B9302D"/>
    <w:multiLevelType w:val="multilevel"/>
    <w:tmpl w:val="E12A884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2" w15:restartNumberingAfterBreak="0">
    <w:nsid w:val="118B427A"/>
    <w:multiLevelType w:val="multilevel"/>
    <w:tmpl w:val="110C565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3" w15:restartNumberingAfterBreak="0">
    <w:nsid w:val="11F06291"/>
    <w:multiLevelType w:val="multilevel"/>
    <w:tmpl w:val="62049B5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4" w15:restartNumberingAfterBreak="0">
    <w:nsid w:val="1312545A"/>
    <w:multiLevelType w:val="multilevel"/>
    <w:tmpl w:val="6D469FC4"/>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55" w15:restartNumberingAfterBreak="0">
    <w:nsid w:val="13A559A0"/>
    <w:multiLevelType w:val="multilevel"/>
    <w:tmpl w:val="4AF4C8E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6" w15:restartNumberingAfterBreak="0">
    <w:nsid w:val="13F430B3"/>
    <w:multiLevelType w:val="hybridMultilevel"/>
    <w:tmpl w:val="47A61AA0"/>
    <w:lvl w:ilvl="0" w:tplc="742AF478">
      <w:start w:val="1"/>
      <w:numFmt w:val="low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57" w15:restartNumberingAfterBreak="0">
    <w:nsid w:val="14DD0F4F"/>
    <w:multiLevelType w:val="multilevel"/>
    <w:tmpl w:val="F550A33A"/>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0"/>
      <w:numFmt w:val="decimal"/>
      <w:lvlText w:val="%3"/>
      <w:lvlJc w:val="left"/>
      <w:pPr>
        <w:ind w:left="2547" w:hanging="36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8" w15:restartNumberingAfterBreak="0">
    <w:nsid w:val="152A3080"/>
    <w:multiLevelType w:val="multilevel"/>
    <w:tmpl w:val="A59E4FB0"/>
    <w:lvl w:ilvl="0">
      <w:start w:val="1"/>
      <w:numFmt w:val="bullet"/>
      <w:pStyle w:val="TITULO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163F280F"/>
    <w:multiLevelType w:val="multilevel"/>
    <w:tmpl w:val="E2708FC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0" w15:restartNumberingAfterBreak="0">
    <w:nsid w:val="167E1D8E"/>
    <w:multiLevelType w:val="hybridMultilevel"/>
    <w:tmpl w:val="C5608B66"/>
    <w:lvl w:ilvl="0" w:tplc="B47A2E8A">
      <w:start w:val="1"/>
      <w:numFmt w:val="bullet"/>
      <w:lvlText w:val="-"/>
      <w:lvlJc w:val="left"/>
      <w:pPr>
        <w:ind w:left="1080" w:hanging="360"/>
      </w:pPr>
      <w:rPr>
        <w:rFonts w:ascii="Aptos" w:eastAsiaTheme="minorHAnsi" w:hAnsi="Aptos" w:cstheme="minorBid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61" w15:restartNumberingAfterBreak="0">
    <w:nsid w:val="169A4359"/>
    <w:multiLevelType w:val="multilevel"/>
    <w:tmpl w:val="CD3E61B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2" w15:restartNumberingAfterBreak="0">
    <w:nsid w:val="169B78AD"/>
    <w:multiLevelType w:val="multilevel"/>
    <w:tmpl w:val="B0C2998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3" w15:restartNumberingAfterBreak="0">
    <w:nsid w:val="16A44062"/>
    <w:multiLevelType w:val="multilevel"/>
    <w:tmpl w:val="93FA72BA"/>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Calibri" w:eastAsia="Arial" w:hAnsi="Calibri" w:cs="Calibri" w:hint="default"/>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64" w15:restartNumberingAfterBreak="0">
    <w:nsid w:val="16D40101"/>
    <w:multiLevelType w:val="hybridMultilevel"/>
    <w:tmpl w:val="55BC71C6"/>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15:restartNumberingAfterBreak="0">
    <w:nsid w:val="171230E7"/>
    <w:multiLevelType w:val="multilevel"/>
    <w:tmpl w:val="950ECB1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6" w15:restartNumberingAfterBreak="0">
    <w:nsid w:val="1766574D"/>
    <w:multiLevelType w:val="multilevel"/>
    <w:tmpl w:val="E5407CA2"/>
    <w:lvl w:ilvl="0">
      <w:start w:val="1"/>
      <w:numFmt w:val="decimal"/>
      <w:lvlText w:val="%1."/>
      <w:lvlJc w:val="left"/>
      <w:pPr>
        <w:ind w:left="720" w:hanging="360"/>
      </w:pPr>
      <w:rPr>
        <w:b/>
      </w:rPr>
    </w:lvl>
    <w:lvl w:ilvl="1">
      <w:start w:val="1"/>
      <w:numFmt w:val="decimal"/>
      <w:lvlText w:val="%1.%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67" w15:restartNumberingAfterBreak="0">
    <w:nsid w:val="18970412"/>
    <w:multiLevelType w:val="multilevel"/>
    <w:tmpl w:val="AB72C3C2"/>
    <w:lvl w:ilvl="0">
      <w:start w:val="1"/>
      <w:numFmt w:val="decimal"/>
      <w:lvlText w:val="%1."/>
      <w:lvlJc w:val="left"/>
      <w:pPr>
        <w:ind w:left="360" w:hanging="360"/>
      </w:pPr>
    </w:lvl>
    <w:lvl w:ilvl="1">
      <w:start w:val="1"/>
      <w:numFmt w:val="decimal"/>
      <w:lvlText w:val="%1.%2."/>
      <w:lvlJc w:val="left"/>
      <w:pPr>
        <w:ind w:left="1352" w:hanging="360"/>
      </w:pPr>
    </w:lvl>
    <w:lvl w:ilvl="2">
      <w:start w:val="1"/>
      <w:numFmt w:val="decimal"/>
      <w:lvlText w:val="%1.%2.%3."/>
      <w:lvlJc w:val="left"/>
      <w:pPr>
        <w:ind w:left="2704" w:hanging="720"/>
      </w:pPr>
    </w:lvl>
    <w:lvl w:ilvl="3">
      <w:start w:val="1"/>
      <w:numFmt w:val="decimal"/>
      <w:lvlText w:val="%1.%2.%3.%4."/>
      <w:lvlJc w:val="left"/>
      <w:pPr>
        <w:ind w:left="3696" w:hanging="720"/>
      </w:pPr>
    </w:lvl>
    <w:lvl w:ilvl="4">
      <w:start w:val="1"/>
      <w:numFmt w:val="decimal"/>
      <w:lvlText w:val="%1.%2.%3.%4.%5."/>
      <w:lvlJc w:val="left"/>
      <w:pPr>
        <w:ind w:left="5048" w:hanging="1080"/>
      </w:pPr>
    </w:lvl>
    <w:lvl w:ilvl="5">
      <w:start w:val="1"/>
      <w:numFmt w:val="decimal"/>
      <w:lvlText w:val="%1.%2.%3.%4.%5.%6."/>
      <w:lvlJc w:val="left"/>
      <w:pPr>
        <w:ind w:left="6040" w:hanging="1080"/>
      </w:pPr>
    </w:lvl>
    <w:lvl w:ilvl="6">
      <w:start w:val="1"/>
      <w:numFmt w:val="decimal"/>
      <w:lvlText w:val="%1.%2.%3.%4.%5.%6.%7."/>
      <w:lvlJc w:val="left"/>
      <w:pPr>
        <w:ind w:left="7392" w:hanging="1440"/>
      </w:pPr>
    </w:lvl>
    <w:lvl w:ilvl="7">
      <w:start w:val="1"/>
      <w:numFmt w:val="decimal"/>
      <w:lvlText w:val="%1.%2.%3.%4.%5.%6.%7.%8."/>
      <w:lvlJc w:val="left"/>
      <w:pPr>
        <w:ind w:left="8384" w:hanging="1440"/>
      </w:pPr>
    </w:lvl>
    <w:lvl w:ilvl="8">
      <w:start w:val="1"/>
      <w:numFmt w:val="decimal"/>
      <w:lvlText w:val="%1.%2.%3.%4.%5.%6.%7.%8.%9."/>
      <w:lvlJc w:val="left"/>
      <w:pPr>
        <w:ind w:left="9736" w:hanging="1800"/>
      </w:pPr>
    </w:lvl>
  </w:abstractNum>
  <w:abstractNum w:abstractNumId="68" w15:restartNumberingAfterBreak="0">
    <w:nsid w:val="19B15237"/>
    <w:multiLevelType w:val="multilevel"/>
    <w:tmpl w:val="84287A70"/>
    <w:lvl w:ilvl="0">
      <w:start w:val="1"/>
      <w:numFmt w:val="lowerRoman"/>
      <w:lvlText w:val="%1."/>
      <w:lvlJc w:val="right"/>
      <w:pPr>
        <w:ind w:left="1647" w:hanging="360"/>
      </w:pPr>
      <w:rPr>
        <w:color w:val="000000"/>
      </w:rPr>
    </w:lvl>
    <w:lvl w:ilvl="1">
      <w:start w:val="1"/>
      <w:numFmt w:val="lowerLetter"/>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69" w15:restartNumberingAfterBreak="0">
    <w:nsid w:val="1AAA20EE"/>
    <w:multiLevelType w:val="multilevel"/>
    <w:tmpl w:val="1886170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0" w15:restartNumberingAfterBreak="0">
    <w:nsid w:val="1B07065E"/>
    <w:multiLevelType w:val="multilevel"/>
    <w:tmpl w:val="F26E0F00"/>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1" w15:restartNumberingAfterBreak="0">
    <w:nsid w:val="1B4567CD"/>
    <w:multiLevelType w:val="multilevel"/>
    <w:tmpl w:val="BFA80F9C"/>
    <w:lvl w:ilvl="0">
      <w:start w:val="1"/>
      <w:numFmt w:val="lowerLetter"/>
      <w:pStyle w:val="titulo6"/>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2" w15:restartNumberingAfterBreak="0">
    <w:nsid w:val="1BB9306B"/>
    <w:multiLevelType w:val="multilevel"/>
    <w:tmpl w:val="7DB64CA0"/>
    <w:lvl w:ilvl="0">
      <w:start w:val="5"/>
      <w:numFmt w:val="decimal"/>
      <w:pStyle w:val="VietasPunto"/>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3" w15:restartNumberingAfterBreak="0">
    <w:nsid w:val="1C3A1F17"/>
    <w:multiLevelType w:val="multilevel"/>
    <w:tmpl w:val="E21E5470"/>
    <w:lvl w:ilvl="0">
      <w:start w:val="1"/>
      <w:numFmt w:val="decimal"/>
      <w:lvlText w:val="5.%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1CC447FD"/>
    <w:multiLevelType w:val="multilevel"/>
    <w:tmpl w:val="D044400C"/>
    <w:lvl w:ilvl="0">
      <w:start w:val="1"/>
      <w:numFmt w:val="decimal"/>
      <w:lvlText w:val="7.%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5" w15:restartNumberingAfterBreak="0">
    <w:nsid w:val="1CD96E33"/>
    <w:multiLevelType w:val="hybridMultilevel"/>
    <w:tmpl w:val="BDB0B30E"/>
    <w:lvl w:ilvl="0" w:tplc="E5268D2C">
      <w:numFmt w:val="bullet"/>
      <w:lvlText w:val="-"/>
      <w:lvlJc w:val="left"/>
      <w:pPr>
        <w:ind w:left="720" w:hanging="360"/>
      </w:pPr>
      <w:rPr>
        <w:rFonts w:ascii="TimesNewRomanPSMT" w:eastAsia="Times New Roman" w:hAnsi="TimesNewRomanPSMT"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6" w15:restartNumberingAfterBreak="0">
    <w:nsid w:val="1CEE7DB5"/>
    <w:multiLevelType w:val="multilevel"/>
    <w:tmpl w:val="BF2696F4"/>
    <w:lvl w:ilvl="0">
      <w:start w:val="5"/>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7" w15:restartNumberingAfterBreak="0">
    <w:nsid w:val="1D02126A"/>
    <w:multiLevelType w:val="multilevel"/>
    <w:tmpl w:val="21482FC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pStyle w:val="Subtitulo5"/>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8" w15:restartNumberingAfterBreak="0">
    <w:nsid w:val="1D3F314E"/>
    <w:multiLevelType w:val="multilevel"/>
    <w:tmpl w:val="5E4E6F0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9" w15:restartNumberingAfterBreak="0">
    <w:nsid w:val="1DB55553"/>
    <w:multiLevelType w:val="multilevel"/>
    <w:tmpl w:val="4F2EF26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0" w15:restartNumberingAfterBreak="0">
    <w:nsid w:val="1DD36610"/>
    <w:multiLevelType w:val="multilevel"/>
    <w:tmpl w:val="7166EDA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1" w15:restartNumberingAfterBreak="0">
    <w:nsid w:val="1E805CCE"/>
    <w:multiLevelType w:val="hybridMultilevel"/>
    <w:tmpl w:val="1B76DD5A"/>
    <w:lvl w:ilvl="0" w:tplc="68D2A50C">
      <w:numFmt w:val="bullet"/>
      <w:lvlText w:val="-"/>
      <w:lvlJc w:val="left"/>
      <w:pPr>
        <w:ind w:left="360" w:hanging="360"/>
      </w:pPr>
      <w:rPr>
        <w:rFonts w:ascii="Calibri" w:eastAsia="Times New Roman" w:hAnsi="Calibri" w:cs="Calibri"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82" w15:restartNumberingAfterBreak="0">
    <w:nsid w:val="1EC40E97"/>
    <w:multiLevelType w:val="multilevel"/>
    <w:tmpl w:val="E9A63A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1ED61EBC"/>
    <w:multiLevelType w:val="multilevel"/>
    <w:tmpl w:val="9BCC79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1F65301E"/>
    <w:multiLevelType w:val="multilevel"/>
    <w:tmpl w:val="6A24644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5" w15:restartNumberingAfterBreak="0">
    <w:nsid w:val="1FA06A62"/>
    <w:multiLevelType w:val="multilevel"/>
    <w:tmpl w:val="0F42946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6" w15:restartNumberingAfterBreak="0">
    <w:nsid w:val="205A4D3A"/>
    <w:multiLevelType w:val="multilevel"/>
    <w:tmpl w:val="EBC0AB1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87" w15:restartNumberingAfterBreak="0">
    <w:nsid w:val="20CD1983"/>
    <w:multiLevelType w:val="multilevel"/>
    <w:tmpl w:val="AFB8C7FE"/>
    <w:lvl w:ilvl="0">
      <w:start w:val="1"/>
      <w:numFmt w:val="decimal"/>
      <w:lvlText w:val="%1."/>
      <w:lvlJc w:val="left"/>
      <w:pPr>
        <w:ind w:left="397" w:hanging="397"/>
      </w:pPr>
    </w:lvl>
    <w:lvl w:ilvl="1">
      <w:start w:val="1"/>
      <w:numFmt w:val="decimal"/>
      <w:lvlText w:val="%1.%2"/>
      <w:lvlJc w:val="left"/>
      <w:pPr>
        <w:ind w:left="709" w:hanging="567"/>
      </w:pPr>
    </w:lvl>
    <w:lvl w:ilvl="2">
      <w:start w:val="1"/>
      <w:numFmt w:val="decimal"/>
      <w:lvlText w:val="%1.%2.%3"/>
      <w:lvlJc w:val="left"/>
      <w:pPr>
        <w:ind w:left="1786" w:hanging="794"/>
      </w:pPr>
    </w:lvl>
    <w:lvl w:ilvl="3">
      <w:start w:val="1"/>
      <w:numFmt w:val="decimal"/>
      <w:lvlText w:val="%1.%2.%3.%4"/>
      <w:lvlJc w:val="left"/>
      <w:pPr>
        <w:ind w:left="964" w:hanging="964"/>
      </w:pPr>
    </w:lvl>
    <w:lvl w:ilvl="4">
      <w:start w:val="1"/>
      <w:numFmt w:val="decimal"/>
      <w:lvlText w:val="%1.%2.%3.%4.%5"/>
      <w:lvlJc w:val="left"/>
      <w:pPr>
        <w:ind w:left="1191" w:hanging="1191"/>
      </w:pPr>
    </w:lvl>
    <w:lvl w:ilvl="5">
      <w:start w:val="1"/>
      <w:numFmt w:val="decimal"/>
      <w:lvlText w:val="%1.%2.%3.%4.%5.%6"/>
      <w:lvlJc w:val="left"/>
      <w:pPr>
        <w:ind w:left="1361" w:hanging="1361"/>
      </w:pPr>
    </w:lvl>
    <w:lvl w:ilvl="6">
      <w:start w:val="1"/>
      <w:numFmt w:val="decimal"/>
      <w:lvlRestart w:val="1"/>
      <w:lvlText w:val="%1.%7"/>
      <w:lvlJc w:val="left"/>
      <w:pPr>
        <w:ind w:left="624" w:hanging="624"/>
      </w:pPr>
      <w:rPr>
        <w:color w:val="D22328"/>
      </w:rPr>
    </w:lvl>
    <w:lvl w:ilvl="7">
      <w:start w:val="1"/>
      <w:numFmt w:val="decimal"/>
      <w:lvlText w:val="%1.%7.%8"/>
      <w:lvlJc w:val="left"/>
      <w:pPr>
        <w:ind w:left="1021" w:hanging="1021"/>
      </w:pPr>
      <w:rPr>
        <w:color w:val="D22328"/>
      </w:rPr>
    </w:lvl>
    <w:lvl w:ilvl="8">
      <w:start w:val="1"/>
      <w:numFmt w:val="decimal"/>
      <w:lvlText w:val="%1.%7.%8.%9"/>
      <w:lvlJc w:val="left"/>
      <w:pPr>
        <w:ind w:left="1418" w:hanging="1418"/>
      </w:pPr>
      <w:rPr>
        <w:color w:val="D22328"/>
      </w:rPr>
    </w:lvl>
  </w:abstractNum>
  <w:abstractNum w:abstractNumId="88" w15:restartNumberingAfterBreak="0">
    <w:nsid w:val="20E35496"/>
    <w:multiLevelType w:val="hybridMultilevel"/>
    <w:tmpl w:val="6B96F516"/>
    <w:lvl w:ilvl="0" w:tplc="0409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9" w15:restartNumberingAfterBreak="0">
    <w:nsid w:val="20E7651A"/>
    <w:multiLevelType w:val="hybridMultilevel"/>
    <w:tmpl w:val="10FABB68"/>
    <w:lvl w:ilvl="0" w:tplc="280A0017">
      <w:start w:val="1"/>
      <w:numFmt w:val="lowerLetter"/>
      <w:lvlText w:val="%1)"/>
      <w:lvlJc w:val="left"/>
      <w:pPr>
        <w:ind w:left="1440" w:hanging="360"/>
      </w:pPr>
    </w:lvl>
    <w:lvl w:ilvl="1" w:tplc="280A0019" w:tentative="1">
      <w:start w:val="1"/>
      <w:numFmt w:val="lowerLetter"/>
      <w:lvlText w:val="%2."/>
      <w:lvlJc w:val="left"/>
      <w:pPr>
        <w:ind w:left="2160" w:hanging="360"/>
      </w:pPr>
    </w:lvl>
    <w:lvl w:ilvl="2" w:tplc="280A001B">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90" w15:restartNumberingAfterBreak="0">
    <w:nsid w:val="20EC3E9B"/>
    <w:multiLevelType w:val="multilevel"/>
    <w:tmpl w:val="E304C5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1" w15:restartNumberingAfterBreak="0">
    <w:nsid w:val="216B2E7D"/>
    <w:multiLevelType w:val="multilevel"/>
    <w:tmpl w:val="AED6E7CC"/>
    <w:lvl w:ilvl="0">
      <w:start w:val="1"/>
      <w:numFmt w:val="decimal"/>
      <w:lvlText w:val="%1."/>
      <w:lvlJc w:val="left"/>
      <w:pPr>
        <w:ind w:left="720" w:hanging="360"/>
      </w:pPr>
      <w:rPr>
        <w:rFonts w:hint="default"/>
      </w:rPr>
    </w:lvl>
    <w:lvl w:ilvl="1">
      <w:start w:val="1"/>
      <w:numFmt w:val="decimal"/>
      <w:isLgl/>
      <w:lvlText w:val="%1.%2."/>
      <w:lvlJc w:val="left"/>
      <w:pPr>
        <w:ind w:left="1352" w:hanging="360"/>
      </w:pPr>
      <w:rPr>
        <w:rFonts w:hint="default"/>
      </w:rPr>
    </w:lvl>
    <w:lvl w:ilvl="2">
      <w:start w:val="1"/>
      <w:numFmt w:val="decimal"/>
      <w:isLgl/>
      <w:lvlText w:val="%1.%2.%3."/>
      <w:lvlJc w:val="left"/>
      <w:pPr>
        <w:ind w:left="2344" w:hanging="720"/>
      </w:pPr>
      <w:rPr>
        <w:rFonts w:hint="default"/>
      </w:rPr>
    </w:lvl>
    <w:lvl w:ilvl="3">
      <w:start w:val="1"/>
      <w:numFmt w:val="decimal"/>
      <w:isLgl/>
      <w:lvlText w:val="%1.%2.%3.%4."/>
      <w:lvlJc w:val="left"/>
      <w:pPr>
        <w:ind w:left="2976"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600" w:hanging="1080"/>
      </w:pPr>
      <w:rPr>
        <w:rFonts w:hint="default"/>
      </w:rPr>
    </w:lvl>
    <w:lvl w:ilvl="6">
      <w:start w:val="1"/>
      <w:numFmt w:val="decimal"/>
      <w:isLgl/>
      <w:lvlText w:val="%1.%2.%3.%4.%5.%6.%7."/>
      <w:lvlJc w:val="left"/>
      <w:pPr>
        <w:ind w:left="5592" w:hanging="1440"/>
      </w:pPr>
      <w:rPr>
        <w:rFonts w:hint="default"/>
      </w:rPr>
    </w:lvl>
    <w:lvl w:ilvl="7">
      <w:start w:val="1"/>
      <w:numFmt w:val="decimal"/>
      <w:isLgl/>
      <w:lvlText w:val="%1.%2.%3.%4.%5.%6.%7.%8."/>
      <w:lvlJc w:val="left"/>
      <w:pPr>
        <w:ind w:left="6224" w:hanging="1440"/>
      </w:pPr>
      <w:rPr>
        <w:rFonts w:hint="default"/>
      </w:rPr>
    </w:lvl>
    <w:lvl w:ilvl="8">
      <w:start w:val="1"/>
      <w:numFmt w:val="decimal"/>
      <w:isLgl/>
      <w:lvlText w:val="%1.%2.%3.%4.%5.%6.%7.%8.%9."/>
      <w:lvlJc w:val="left"/>
      <w:pPr>
        <w:ind w:left="7216" w:hanging="1800"/>
      </w:pPr>
      <w:rPr>
        <w:rFonts w:hint="default"/>
      </w:rPr>
    </w:lvl>
  </w:abstractNum>
  <w:abstractNum w:abstractNumId="92" w15:restartNumberingAfterBreak="0">
    <w:nsid w:val="217F444F"/>
    <w:multiLevelType w:val="multilevel"/>
    <w:tmpl w:val="9790D53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3" w15:restartNumberingAfterBreak="0">
    <w:nsid w:val="217F4E19"/>
    <w:multiLevelType w:val="multilevel"/>
    <w:tmpl w:val="B7A8231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4" w15:restartNumberingAfterBreak="0">
    <w:nsid w:val="219A551A"/>
    <w:multiLevelType w:val="hybridMultilevel"/>
    <w:tmpl w:val="34F62BAC"/>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15:restartNumberingAfterBreak="0">
    <w:nsid w:val="223C0476"/>
    <w:multiLevelType w:val="multilevel"/>
    <w:tmpl w:val="976C81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6" w15:restartNumberingAfterBreak="0">
    <w:nsid w:val="22FC6300"/>
    <w:multiLevelType w:val="multilevel"/>
    <w:tmpl w:val="80FA5A8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7" w15:restartNumberingAfterBreak="0">
    <w:nsid w:val="230418B3"/>
    <w:multiLevelType w:val="multilevel"/>
    <w:tmpl w:val="230CDF6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8" w15:restartNumberingAfterBreak="0">
    <w:nsid w:val="232A429E"/>
    <w:multiLevelType w:val="multilevel"/>
    <w:tmpl w:val="B1545D4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9" w15:restartNumberingAfterBreak="0">
    <w:nsid w:val="244C20EE"/>
    <w:multiLevelType w:val="hybridMultilevel"/>
    <w:tmpl w:val="FF0AA5F8"/>
    <w:lvl w:ilvl="0" w:tplc="1DAE03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4521D48"/>
    <w:multiLevelType w:val="hybridMultilevel"/>
    <w:tmpl w:val="169E1A84"/>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1" w15:restartNumberingAfterBreak="0">
    <w:nsid w:val="24A20BA2"/>
    <w:multiLevelType w:val="multilevel"/>
    <w:tmpl w:val="E91EA7FA"/>
    <w:lvl w:ilvl="0">
      <w:start w:val="1"/>
      <w:numFmt w:val="lowerLetter"/>
      <w:pStyle w:val="TITULO4TITO"/>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2" w15:restartNumberingAfterBreak="0">
    <w:nsid w:val="26385F25"/>
    <w:multiLevelType w:val="multilevel"/>
    <w:tmpl w:val="C48835D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3" w15:restartNumberingAfterBreak="0">
    <w:nsid w:val="288C4B8D"/>
    <w:multiLevelType w:val="hybridMultilevel"/>
    <w:tmpl w:val="5014A100"/>
    <w:lvl w:ilvl="0" w:tplc="04090017">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4" w15:restartNumberingAfterBreak="0">
    <w:nsid w:val="28C545A5"/>
    <w:multiLevelType w:val="hybridMultilevel"/>
    <w:tmpl w:val="10FABB68"/>
    <w:lvl w:ilvl="0" w:tplc="280A0017">
      <w:start w:val="1"/>
      <w:numFmt w:val="lowerLetter"/>
      <w:lvlText w:val="%1)"/>
      <w:lvlJc w:val="left"/>
      <w:pPr>
        <w:ind w:left="1440" w:hanging="360"/>
      </w:pPr>
    </w:lvl>
    <w:lvl w:ilvl="1" w:tplc="280A0019" w:tentative="1">
      <w:start w:val="1"/>
      <w:numFmt w:val="lowerLetter"/>
      <w:lvlText w:val="%2."/>
      <w:lvlJc w:val="left"/>
      <w:pPr>
        <w:ind w:left="2160" w:hanging="360"/>
      </w:pPr>
    </w:lvl>
    <w:lvl w:ilvl="2" w:tplc="280A001B">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105" w15:restartNumberingAfterBreak="0">
    <w:nsid w:val="29044A87"/>
    <w:multiLevelType w:val="multilevel"/>
    <w:tmpl w:val="D7DE023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6" w15:restartNumberingAfterBreak="0">
    <w:nsid w:val="29BF42FB"/>
    <w:multiLevelType w:val="multilevel"/>
    <w:tmpl w:val="BFF4746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7" w15:restartNumberingAfterBreak="0">
    <w:nsid w:val="2ABF2589"/>
    <w:multiLevelType w:val="multilevel"/>
    <w:tmpl w:val="7C3CAA62"/>
    <w:lvl w:ilvl="0">
      <w:start w:val="1"/>
      <w:numFmt w:val="lowerLetter"/>
      <w:lvlText w:val="%1)"/>
      <w:lvlJc w:val="left"/>
      <w:pPr>
        <w:ind w:left="927" w:hanging="360"/>
      </w:pPr>
    </w:lvl>
    <w:lvl w:ilvl="1">
      <w:start w:val="1"/>
      <w:numFmt w:val="lowerLetter"/>
      <w:pStyle w:val="Elenco03"/>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8" w15:restartNumberingAfterBreak="0">
    <w:nsid w:val="2AF358FF"/>
    <w:multiLevelType w:val="multilevel"/>
    <w:tmpl w:val="E13448D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9" w15:restartNumberingAfterBreak="0">
    <w:nsid w:val="2B0225C1"/>
    <w:multiLevelType w:val="multilevel"/>
    <w:tmpl w:val="501A4D5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0" w15:restartNumberingAfterBreak="0">
    <w:nsid w:val="2B587C92"/>
    <w:multiLevelType w:val="multilevel"/>
    <w:tmpl w:val="6D62C2E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1" w15:restartNumberingAfterBreak="0">
    <w:nsid w:val="2BDA0E6E"/>
    <w:multiLevelType w:val="multilevel"/>
    <w:tmpl w:val="A7A843AA"/>
    <w:lvl w:ilvl="0">
      <w:start w:val="1"/>
      <w:numFmt w:val="decimal"/>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2" w15:restartNumberingAfterBreak="0">
    <w:nsid w:val="2CEE74C0"/>
    <w:multiLevelType w:val="multilevel"/>
    <w:tmpl w:val="8F5E93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3" w15:restartNumberingAfterBreak="0">
    <w:nsid w:val="2D1244C7"/>
    <w:multiLevelType w:val="multilevel"/>
    <w:tmpl w:val="A6BACCD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4" w15:restartNumberingAfterBreak="0">
    <w:nsid w:val="2D705900"/>
    <w:multiLevelType w:val="multilevel"/>
    <w:tmpl w:val="558683A2"/>
    <w:lvl w:ilvl="0">
      <w:start w:val="5"/>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5" w15:restartNumberingAfterBreak="0">
    <w:nsid w:val="2DCE6D36"/>
    <w:multiLevelType w:val="multilevel"/>
    <w:tmpl w:val="75BE800A"/>
    <w:lvl w:ilvl="0">
      <w:start w:val="16"/>
      <w:numFmt w:val="decimal"/>
      <w:lvlText w:val="%1"/>
      <w:lvlJc w:val="left"/>
      <w:pPr>
        <w:ind w:left="822" w:hanging="720"/>
      </w:pPr>
    </w:lvl>
    <w:lvl w:ilvl="1">
      <w:start w:val="1"/>
      <w:numFmt w:val="decimal"/>
      <w:lvlText w:val="%1.%2."/>
      <w:lvlJc w:val="left"/>
      <w:pPr>
        <w:ind w:left="822" w:hanging="720"/>
      </w:pPr>
      <w:rPr>
        <w:rFonts w:ascii="Arial" w:eastAsia="Arial" w:hAnsi="Arial" w:cs="Arial"/>
        <w:b w:val="0"/>
        <w:i w:val="0"/>
        <w:sz w:val="22"/>
        <w:szCs w:val="22"/>
      </w:rPr>
    </w:lvl>
    <w:lvl w:ilvl="2">
      <w:start w:val="1"/>
      <w:numFmt w:val="lowerLetter"/>
      <w:lvlText w:val="%3)"/>
      <w:lvlJc w:val="left"/>
      <w:pPr>
        <w:ind w:left="1234" w:hanging="425"/>
      </w:pPr>
      <w:rPr>
        <w:rFonts w:asciiTheme="minorHAnsi" w:eastAsia="Arial" w:hAnsiTheme="minorHAnsi" w:cstheme="minorHAnsi" w:hint="default"/>
        <w:b w:val="0"/>
        <w:i w:val="0"/>
        <w:sz w:val="22"/>
        <w:szCs w:val="22"/>
      </w:rPr>
    </w:lvl>
    <w:lvl w:ilvl="3">
      <w:start w:val="1"/>
      <w:numFmt w:val="lowerRoman"/>
      <w:lvlText w:val="(%4)"/>
      <w:lvlJc w:val="left"/>
      <w:pPr>
        <w:ind w:left="1803" w:hanging="530"/>
      </w:pPr>
      <w:rPr>
        <w:rFonts w:ascii="Arial" w:eastAsia="Arial" w:hAnsi="Arial" w:cs="Arial"/>
        <w:b w:val="0"/>
        <w:i w:val="0"/>
        <w:sz w:val="20"/>
        <w:szCs w:val="20"/>
      </w:rPr>
    </w:lvl>
    <w:lvl w:ilvl="4">
      <w:numFmt w:val="bullet"/>
      <w:lvlText w:val="•"/>
      <w:lvlJc w:val="left"/>
      <w:pPr>
        <w:ind w:left="1800" w:hanging="531"/>
      </w:pPr>
    </w:lvl>
    <w:lvl w:ilvl="5">
      <w:numFmt w:val="bullet"/>
      <w:lvlText w:val="•"/>
      <w:lvlJc w:val="left"/>
      <w:pPr>
        <w:ind w:left="3010" w:hanging="531"/>
      </w:pPr>
    </w:lvl>
    <w:lvl w:ilvl="6">
      <w:numFmt w:val="bullet"/>
      <w:lvlText w:val="•"/>
      <w:lvlJc w:val="left"/>
      <w:pPr>
        <w:ind w:left="4220" w:hanging="531"/>
      </w:pPr>
    </w:lvl>
    <w:lvl w:ilvl="7">
      <w:numFmt w:val="bullet"/>
      <w:lvlText w:val="•"/>
      <w:lvlJc w:val="left"/>
      <w:pPr>
        <w:ind w:left="5430" w:hanging="531"/>
      </w:pPr>
    </w:lvl>
    <w:lvl w:ilvl="8">
      <w:numFmt w:val="bullet"/>
      <w:lvlText w:val="•"/>
      <w:lvlJc w:val="left"/>
      <w:pPr>
        <w:ind w:left="6640" w:hanging="531"/>
      </w:pPr>
    </w:lvl>
  </w:abstractNum>
  <w:abstractNum w:abstractNumId="116" w15:restartNumberingAfterBreak="0">
    <w:nsid w:val="2DE43350"/>
    <w:multiLevelType w:val="multilevel"/>
    <w:tmpl w:val="8F6EE69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2E9E2E17"/>
    <w:multiLevelType w:val="multilevel"/>
    <w:tmpl w:val="E5DCBDD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8" w15:restartNumberingAfterBreak="0">
    <w:nsid w:val="2F366903"/>
    <w:multiLevelType w:val="multilevel"/>
    <w:tmpl w:val="A6720BB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9" w15:restartNumberingAfterBreak="0">
    <w:nsid w:val="30A43663"/>
    <w:multiLevelType w:val="multilevel"/>
    <w:tmpl w:val="6C685264"/>
    <w:lvl w:ilvl="0">
      <w:start w:val="1"/>
      <w:numFmt w:val="lowerLetter"/>
      <w:pStyle w:val="Listaconnmeros2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0" w15:restartNumberingAfterBreak="0">
    <w:nsid w:val="30B01E71"/>
    <w:multiLevelType w:val="multilevel"/>
    <w:tmpl w:val="0F00B2AC"/>
    <w:lvl w:ilvl="0">
      <w:numFmt w:val="bullet"/>
      <w:pStyle w:val="CUADRO"/>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30F42CD9"/>
    <w:multiLevelType w:val="multilevel"/>
    <w:tmpl w:val="6E762C5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2" w15:restartNumberingAfterBreak="0">
    <w:nsid w:val="311D6CDF"/>
    <w:multiLevelType w:val="multilevel"/>
    <w:tmpl w:val="D01AF21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3" w15:restartNumberingAfterBreak="0">
    <w:nsid w:val="31292E6F"/>
    <w:multiLevelType w:val="multilevel"/>
    <w:tmpl w:val="26CA804A"/>
    <w:lvl w:ilvl="0">
      <w:start w:val="1"/>
      <w:numFmt w:val="lowerLetter"/>
      <w:pStyle w:val="ALG-Vieta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4" w15:restartNumberingAfterBreak="0">
    <w:nsid w:val="317179F7"/>
    <w:multiLevelType w:val="multilevel"/>
    <w:tmpl w:val="8B2A4C3C"/>
    <w:lvl w:ilvl="0">
      <w:start w:val="1"/>
      <w:numFmt w:val="lowerLetter"/>
      <w:pStyle w:val="Numera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5" w15:restartNumberingAfterBreak="0">
    <w:nsid w:val="318E48AB"/>
    <w:multiLevelType w:val="multilevel"/>
    <w:tmpl w:val="0D246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292545F"/>
    <w:multiLevelType w:val="hybridMultilevel"/>
    <w:tmpl w:val="A18E3C00"/>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7" w15:restartNumberingAfterBreak="0">
    <w:nsid w:val="339C21BD"/>
    <w:multiLevelType w:val="hybridMultilevel"/>
    <w:tmpl w:val="169E1A84"/>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8" w15:restartNumberingAfterBreak="0">
    <w:nsid w:val="34126062"/>
    <w:multiLevelType w:val="multilevel"/>
    <w:tmpl w:val="75BE800A"/>
    <w:lvl w:ilvl="0">
      <w:start w:val="16"/>
      <w:numFmt w:val="decimal"/>
      <w:lvlText w:val="%1"/>
      <w:lvlJc w:val="left"/>
      <w:pPr>
        <w:ind w:left="822" w:hanging="720"/>
      </w:pPr>
    </w:lvl>
    <w:lvl w:ilvl="1">
      <w:start w:val="1"/>
      <w:numFmt w:val="decimal"/>
      <w:lvlText w:val="%1.%2."/>
      <w:lvlJc w:val="left"/>
      <w:pPr>
        <w:ind w:left="822" w:hanging="720"/>
      </w:pPr>
      <w:rPr>
        <w:rFonts w:ascii="Arial" w:eastAsia="Arial" w:hAnsi="Arial" w:cs="Arial"/>
        <w:b w:val="0"/>
        <w:i w:val="0"/>
        <w:sz w:val="22"/>
        <w:szCs w:val="22"/>
      </w:rPr>
    </w:lvl>
    <w:lvl w:ilvl="2">
      <w:start w:val="1"/>
      <w:numFmt w:val="lowerLetter"/>
      <w:lvlText w:val="%3)"/>
      <w:lvlJc w:val="left"/>
      <w:pPr>
        <w:ind w:left="1234" w:hanging="425"/>
      </w:pPr>
      <w:rPr>
        <w:rFonts w:asciiTheme="minorHAnsi" w:eastAsia="Arial" w:hAnsiTheme="minorHAnsi" w:cstheme="minorHAnsi" w:hint="default"/>
        <w:b w:val="0"/>
        <w:i w:val="0"/>
        <w:sz w:val="22"/>
        <w:szCs w:val="22"/>
      </w:rPr>
    </w:lvl>
    <w:lvl w:ilvl="3">
      <w:start w:val="1"/>
      <w:numFmt w:val="lowerRoman"/>
      <w:lvlText w:val="(%4)"/>
      <w:lvlJc w:val="left"/>
      <w:pPr>
        <w:ind w:left="1803" w:hanging="530"/>
      </w:pPr>
      <w:rPr>
        <w:rFonts w:ascii="Arial" w:eastAsia="Arial" w:hAnsi="Arial" w:cs="Arial"/>
        <w:b w:val="0"/>
        <w:i w:val="0"/>
        <w:sz w:val="20"/>
        <w:szCs w:val="20"/>
      </w:rPr>
    </w:lvl>
    <w:lvl w:ilvl="4">
      <w:numFmt w:val="bullet"/>
      <w:lvlText w:val="•"/>
      <w:lvlJc w:val="left"/>
      <w:pPr>
        <w:ind w:left="1800" w:hanging="531"/>
      </w:pPr>
    </w:lvl>
    <w:lvl w:ilvl="5">
      <w:numFmt w:val="bullet"/>
      <w:lvlText w:val="•"/>
      <w:lvlJc w:val="left"/>
      <w:pPr>
        <w:ind w:left="3010" w:hanging="531"/>
      </w:pPr>
    </w:lvl>
    <w:lvl w:ilvl="6">
      <w:numFmt w:val="bullet"/>
      <w:lvlText w:val="•"/>
      <w:lvlJc w:val="left"/>
      <w:pPr>
        <w:ind w:left="4220" w:hanging="531"/>
      </w:pPr>
    </w:lvl>
    <w:lvl w:ilvl="7">
      <w:numFmt w:val="bullet"/>
      <w:lvlText w:val="•"/>
      <w:lvlJc w:val="left"/>
      <w:pPr>
        <w:ind w:left="5430" w:hanging="531"/>
      </w:pPr>
    </w:lvl>
    <w:lvl w:ilvl="8">
      <w:numFmt w:val="bullet"/>
      <w:lvlText w:val="•"/>
      <w:lvlJc w:val="left"/>
      <w:pPr>
        <w:ind w:left="6640" w:hanging="531"/>
      </w:pPr>
    </w:lvl>
  </w:abstractNum>
  <w:abstractNum w:abstractNumId="129" w15:restartNumberingAfterBreak="0">
    <w:nsid w:val="34817102"/>
    <w:multiLevelType w:val="multilevel"/>
    <w:tmpl w:val="751403E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0" w15:restartNumberingAfterBreak="0">
    <w:nsid w:val="355F38BC"/>
    <w:multiLevelType w:val="multilevel"/>
    <w:tmpl w:val="92404F16"/>
    <w:lvl w:ilvl="0">
      <w:start w:val="1"/>
      <w:numFmt w:val="lowerLetter"/>
      <w:pStyle w:val="P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1" w15:restartNumberingAfterBreak="0">
    <w:nsid w:val="363D0F26"/>
    <w:multiLevelType w:val="hybridMultilevel"/>
    <w:tmpl w:val="C088B026"/>
    <w:lvl w:ilvl="0" w:tplc="1DAE03C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2" w15:restartNumberingAfterBreak="0">
    <w:nsid w:val="36690DEA"/>
    <w:multiLevelType w:val="multilevel"/>
    <w:tmpl w:val="D514146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3" w15:restartNumberingAfterBreak="0">
    <w:nsid w:val="36E35EB9"/>
    <w:multiLevelType w:val="multilevel"/>
    <w:tmpl w:val="68AE62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4" w15:restartNumberingAfterBreak="0">
    <w:nsid w:val="373062DF"/>
    <w:multiLevelType w:val="multilevel"/>
    <w:tmpl w:val="9A38E184"/>
    <w:lvl w:ilvl="0">
      <w:start w:val="1"/>
      <w:numFmt w:val="decimal"/>
      <w:lvlText w:val="%1."/>
      <w:lvlJc w:val="left"/>
      <w:pPr>
        <w:ind w:left="720" w:hanging="360"/>
      </w:pPr>
    </w:lvl>
    <w:lvl w:ilvl="1">
      <w:start w:val="1"/>
      <w:numFmt w:val="decimal"/>
      <w:lvlText w:val="%1.%2."/>
      <w:lvlJc w:val="left"/>
      <w:pPr>
        <w:ind w:left="1352" w:hanging="360"/>
      </w:pPr>
    </w:lvl>
    <w:lvl w:ilvl="2">
      <w:start w:val="1"/>
      <w:numFmt w:val="decimal"/>
      <w:lvlText w:val="%1.%2.%3."/>
      <w:lvlJc w:val="left"/>
      <w:pPr>
        <w:ind w:left="2344" w:hanging="720"/>
      </w:pPr>
    </w:lvl>
    <w:lvl w:ilvl="3">
      <w:start w:val="1"/>
      <w:numFmt w:val="decimal"/>
      <w:lvlText w:val="%1.%2.%3.%4."/>
      <w:lvlJc w:val="left"/>
      <w:pPr>
        <w:ind w:left="2976" w:hanging="720"/>
      </w:pPr>
    </w:lvl>
    <w:lvl w:ilvl="4">
      <w:start w:val="1"/>
      <w:numFmt w:val="decimal"/>
      <w:lvlText w:val="%1.%2.%3.%4.%5."/>
      <w:lvlJc w:val="left"/>
      <w:pPr>
        <w:ind w:left="3968" w:hanging="1080"/>
      </w:pPr>
    </w:lvl>
    <w:lvl w:ilvl="5">
      <w:start w:val="1"/>
      <w:numFmt w:val="decimal"/>
      <w:lvlText w:val="%1.%2.%3.%4.%5.%6."/>
      <w:lvlJc w:val="left"/>
      <w:pPr>
        <w:ind w:left="4600" w:hanging="1080"/>
      </w:pPr>
    </w:lvl>
    <w:lvl w:ilvl="6">
      <w:start w:val="1"/>
      <w:numFmt w:val="decimal"/>
      <w:lvlText w:val="%1.%2.%3.%4.%5.%6.%7."/>
      <w:lvlJc w:val="left"/>
      <w:pPr>
        <w:ind w:left="5592" w:hanging="1440"/>
      </w:pPr>
    </w:lvl>
    <w:lvl w:ilvl="7">
      <w:start w:val="1"/>
      <w:numFmt w:val="decimal"/>
      <w:lvlText w:val="%1.%2.%3.%4.%5.%6.%7.%8."/>
      <w:lvlJc w:val="left"/>
      <w:pPr>
        <w:ind w:left="6224" w:hanging="1440"/>
      </w:pPr>
    </w:lvl>
    <w:lvl w:ilvl="8">
      <w:start w:val="1"/>
      <w:numFmt w:val="decimal"/>
      <w:lvlText w:val="%1.%2.%3.%4.%5.%6.%7.%8.%9."/>
      <w:lvlJc w:val="left"/>
      <w:pPr>
        <w:ind w:left="7216" w:hanging="1800"/>
      </w:pPr>
    </w:lvl>
  </w:abstractNum>
  <w:abstractNum w:abstractNumId="135" w15:restartNumberingAfterBreak="0">
    <w:nsid w:val="379D33CC"/>
    <w:multiLevelType w:val="multilevel"/>
    <w:tmpl w:val="B75253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6" w15:restartNumberingAfterBreak="0">
    <w:nsid w:val="37B6105D"/>
    <w:multiLevelType w:val="multilevel"/>
    <w:tmpl w:val="FE046AC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7E05633"/>
    <w:multiLevelType w:val="multilevel"/>
    <w:tmpl w:val="60C6DF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8" w15:restartNumberingAfterBreak="0">
    <w:nsid w:val="385260C9"/>
    <w:multiLevelType w:val="hybridMultilevel"/>
    <w:tmpl w:val="ADAAD2A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9" w15:restartNumberingAfterBreak="0">
    <w:nsid w:val="38944791"/>
    <w:multiLevelType w:val="multilevel"/>
    <w:tmpl w:val="A2A2A2F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0" w15:restartNumberingAfterBreak="0">
    <w:nsid w:val="38AD0804"/>
    <w:multiLevelType w:val="multilevel"/>
    <w:tmpl w:val="400217DC"/>
    <w:lvl w:ilvl="0">
      <w:start w:val="1"/>
      <w:numFmt w:val="lowerLetter"/>
      <w:pStyle w:val="cuerpo2"/>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1" w15:restartNumberingAfterBreak="0">
    <w:nsid w:val="392041A7"/>
    <w:multiLevelType w:val="multilevel"/>
    <w:tmpl w:val="AD285CF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2" w15:restartNumberingAfterBreak="0">
    <w:nsid w:val="395242D9"/>
    <w:multiLevelType w:val="multilevel"/>
    <w:tmpl w:val="97B8EFEC"/>
    <w:lvl w:ilvl="0">
      <w:start w:val="1"/>
      <w:numFmt w:val="lowerLetter"/>
      <w:pStyle w:val="vieta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3" w15:restartNumberingAfterBreak="0">
    <w:nsid w:val="39BB08BB"/>
    <w:multiLevelType w:val="multilevel"/>
    <w:tmpl w:val="307ED63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4" w15:restartNumberingAfterBreak="0">
    <w:nsid w:val="39F778F6"/>
    <w:multiLevelType w:val="multilevel"/>
    <w:tmpl w:val="8AB49AF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5" w15:restartNumberingAfterBreak="0">
    <w:nsid w:val="39F82EA0"/>
    <w:multiLevelType w:val="multilevel"/>
    <w:tmpl w:val="C1F4446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6" w15:restartNumberingAfterBreak="0">
    <w:nsid w:val="3A1D30C4"/>
    <w:multiLevelType w:val="hybridMultilevel"/>
    <w:tmpl w:val="56182774"/>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7" w15:restartNumberingAfterBreak="0">
    <w:nsid w:val="3ADF3CFF"/>
    <w:multiLevelType w:val="hybridMultilevel"/>
    <w:tmpl w:val="80F25AD6"/>
    <w:lvl w:ilvl="0" w:tplc="E5268D2C">
      <w:numFmt w:val="bullet"/>
      <w:lvlText w:val="-"/>
      <w:lvlJc w:val="left"/>
      <w:pPr>
        <w:ind w:left="360" w:hanging="360"/>
      </w:pPr>
      <w:rPr>
        <w:rFonts w:ascii="TimesNewRomanPSMT" w:eastAsia="Times New Roman" w:hAnsi="TimesNewRomanPSMT" w:cs="Times New Roman" w:hint="default"/>
      </w:rPr>
    </w:lvl>
    <w:lvl w:ilvl="1" w:tplc="280A0003">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8" w15:restartNumberingAfterBreak="0">
    <w:nsid w:val="3BCB1899"/>
    <w:multiLevelType w:val="multilevel"/>
    <w:tmpl w:val="C4A8D6C4"/>
    <w:lvl w:ilvl="0">
      <w:start w:val="1"/>
      <w:numFmt w:val="decimal"/>
      <w:lvlText w:val="%1."/>
      <w:lvlJc w:val="left"/>
      <w:pPr>
        <w:ind w:left="720" w:hanging="360"/>
      </w:pPr>
      <w:rPr>
        <w:rFonts w:ascii="Calibri" w:eastAsia="Calibri" w:hAnsi="Calibri" w:cs="Calibri"/>
        <w:b/>
        <w:sz w:val="22"/>
        <w:szCs w:val="22"/>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9" w15:restartNumberingAfterBreak="0">
    <w:nsid w:val="3C107CFB"/>
    <w:multiLevelType w:val="multilevel"/>
    <w:tmpl w:val="DE20F47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0" w15:restartNumberingAfterBreak="0">
    <w:nsid w:val="3C1479D7"/>
    <w:multiLevelType w:val="multilevel"/>
    <w:tmpl w:val="DB28129E"/>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51" w15:restartNumberingAfterBreak="0">
    <w:nsid w:val="3C4848B8"/>
    <w:multiLevelType w:val="multilevel"/>
    <w:tmpl w:val="DCDA2CA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2" w15:restartNumberingAfterBreak="0">
    <w:nsid w:val="3CA82CDE"/>
    <w:multiLevelType w:val="hybridMultilevel"/>
    <w:tmpl w:val="E1AAC7E2"/>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3" w15:restartNumberingAfterBreak="0">
    <w:nsid w:val="3D3F67E5"/>
    <w:multiLevelType w:val="hybridMultilevel"/>
    <w:tmpl w:val="64D83830"/>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4" w15:restartNumberingAfterBreak="0">
    <w:nsid w:val="3E4355F4"/>
    <w:multiLevelType w:val="multilevel"/>
    <w:tmpl w:val="57C487B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55" w15:restartNumberingAfterBreak="0">
    <w:nsid w:val="3EFE644E"/>
    <w:multiLevelType w:val="multilevel"/>
    <w:tmpl w:val="A5901222"/>
    <w:lvl w:ilvl="0">
      <w:start w:val="1"/>
      <w:numFmt w:val="lowerLetter"/>
      <w:pStyle w:val="Esti1"/>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6" w15:restartNumberingAfterBreak="0">
    <w:nsid w:val="40C0390C"/>
    <w:multiLevelType w:val="multilevel"/>
    <w:tmpl w:val="8A182332"/>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7" w15:restartNumberingAfterBreak="0">
    <w:nsid w:val="40C92F44"/>
    <w:multiLevelType w:val="hybridMultilevel"/>
    <w:tmpl w:val="F52652EC"/>
    <w:lvl w:ilvl="0" w:tplc="1DAE03C6">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158" w15:restartNumberingAfterBreak="0">
    <w:nsid w:val="40CB7CCA"/>
    <w:multiLevelType w:val="multilevel"/>
    <w:tmpl w:val="33386E02"/>
    <w:lvl w:ilvl="0">
      <w:start w:val="1"/>
      <w:numFmt w:val="lowerLetter"/>
      <w:pStyle w:val="Vietasa"/>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9" w15:restartNumberingAfterBreak="0">
    <w:nsid w:val="41063BF6"/>
    <w:multiLevelType w:val="hybridMultilevel"/>
    <w:tmpl w:val="0F50E84A"/>
    <w:lvl w:ilvl="0" w:tplc="1DAE03C6">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160" w15:restartNumberingAfterBreak="0">
    <w:nsid w:val="4116295A"/>
    <w:multiLevelType w:val="multilevel"/>
    <w:tmpl w:val="47ECA15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1" w15:restartNumberingAfterBreak="0">
    <w:nsid w:val="41BF6F8B"/>
    <w:multiLevelType w:val="multilevel"/>
    <w:tmpl w:val="04769C8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2" w15:restartNumberingAfterBreak="0">
    <w:nsid w:val="42B73965"/>
    <w:multiLevelType w:val="multilevel"/>
    <w:tmpl w:val="2D465C3A"/>
    <w:lvl w:ilvl="0">
      <w:start w:val="1"/>
      <w:numFmt w:val="decimal"/>
      <w:pStyle w:val="Vietasimpl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3" w15:restartNumberingAfterBreak="0">
    <w:nsid w:val="43BE0E3E"/>
    <w:multiLevelType w:val="hybridMultilevel"/>
    <w:tmpl w:val="122EADEE"/>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64" w15:restartNumberingAfterBreak="0">
    <w:nsid w:val="440537DF"/>
    <w:multiLevelType w:val="multilevel"/>
    <w:tmpl w:val="51FE036A"/>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ascii="Calibri" w:eastAsia="Calibri" w:hAnsi="Calibri" w:cs="Calibri"/>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65" w15:restartNumberingAfterBreak="0">
    <w:nsid w:val="44314673"/>
    <w:multiLevelType w:val="multilevel"/>
    <w:tmpl w:val="D03296B8"/>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pStyle w:val="Ttulo3Comprimido015pto"/>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6" w15:restartNumberingAfterBreak="0">
    <w:nsid w:val="446B6D6B"/>
    <w:multiLevelType w:val="multilevel"/>
    <w:tmpl w:val="079090AE"/>
    <w:lvl w:ilvl="0">
      <w:start w:val="1"/>
      <w:numFmt w:val="lowerRoman"/>
      <w:lvlText w:val="%1."/>
      <w:lvlJc w:val="righ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7" w15:restartNumberingAfterBreak="0">
    <w:nsid w:val="44F533F9"/>
    <w:multiLevelType w:val="multilevel"/>
    <w:tmpl w:val="116CBB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8" w15:restartNumberingAfterBreak="0">
    <w:nsid w:val="4726333C"/>
    <w:multiLevelType w:val="multilevel"/>
    <w:tmpl w:val="69F201B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bullet"/>
      <w:lvlText w:val="●"/>
      <w:lvlJc w:val="left"/>
      <w:pPr>
        <w:ind w:left="2367" w:hanging="180"/>
      </w:pPr>
      <w:rPr>
        <w:rFonts w:ascii="Noto Sans Symbols" w:eastAsia="Noto Sans Symbols" w:hAnsi="Noto Sans Symbols" w:cs="Noto Sans Symbols"/>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9" w15:restartNumberingAfterBreak="0">
    <w:nsid w:val="4744314C"/>
    <w:multiLevelType w:val="hybridMultilevel"/>
    <w:tmpl w:val="CCA2DE0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0" w15:restartNumberingAfterBreak="0">
    <w:nsid w:val="47D035B4"/>
    <w:multiLevelType w:val="multilevel"/>
    <w:tmpl w:val="F21CA20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1" w15:restartNumberingAfterBreak="0">
    <w:nsid w:val="480B0B67"/>
    <w:multiLevelType w:val="multilevel"/>
    <w:tmpl w:val="5320788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2" w15:restartNumberingAfterBreak="0">
    <w:nsid w:val="48651E10"/>
    <w:multiLevelType w:val="multilevel"/>
    <w:tmpl w:val="19C86A3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3" w15:restartNumberingAfterBreak="0">
    <w:nsid w:val="49186187"/>
    <w:multiLevelType w:val="multilevel"/>
    <w:tmpl w:val="91EEDBBC"/>
    <w:lvl w:ilvl="0">
      <w:start w:val="1"/>
      <w:numFmt w:val="decimal"/>
      <w:lvlText w:val="%1."/>
      <w:lvlJc w:val="lef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4" w15:restartNumberingAfterBreak="0">
    <w:nsid w:val="49835967"/>
    <w:multiLevelType w:val="multilevel"/>
    <w:tmpl w:val="2612F5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5" w15:restartNumberingAfterBreak="0">
    <w:nsid w:val="4B22114A"/>
    <w:multiLevelType w:val="multilevel"/>
    <w:tmpl w:val="DE86685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6" w15:restartNumberingAfterBreak="0">
    <w:nsid w:val="4C077997"/>
    <w:multiLevelType w:val="multilevel"/>
    <w:tmpl w:val="E7729A1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7" w15:restartNumberingAfterBreak="0">
    <w:nsid w:val="4C3F55EC"/>
    <w:multiLevelType w:val="multilevel"/>
    <w:tmpl w:val="08CCEBF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8" w15:restartNumberingAfterBreak="0">
    <w:nsid w:val="4C5477B7"/>
    <w:multiLevelType w:val="multilevel"/>
    <w:tmpl w:val="D7E0266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9" w15:restartNumberingAfterBreak="0">
    <w:nsid w:val="4CFD5362"/>
    <w:multiLevelType w:val="multilevel"/>
    <w:tmpl w:val="4202BCE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0" w15:restartNumberingAfterBreak="0">
    <w:nsid w:val="4F3569FF"/>
    <w:multiLevelType w:val="multilevel"/>
    <w:tmpl w:val="1228EB18"/>
    <w:lvl w:ilvl="0">
      <w:start w:val="1"/>
      <w:numFmt w:val="decimal"/>
      <w:lvlText w:val="%1."/>
      <w:lvlJc w:val="left"/>
      <w:pPr>
        <w:ind w:left="720" w:hanging="360"/>
      </w:pPr>
      <w:rPr>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4FEB216A"/>
    <w:multiLevelType w:val="multilevel"/>
    <w:tmpl w:val="19CC1166"/>
    <w:lvl w:ilvl="0">
      <w:start w:val="1"/>
      <w:numFmt w:val="lowerLetter"/>
      <w:pStyle w:val="P2"/>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2" w15:restartNumberingAfterBreak="0">
    <w:nsid w:val="50713A6F"/>
    <w:multiLevelType w:val="multilevel"/>
    <w:tmpl w:val="C910FEB6"/>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0"/>
      <w:numFmt w:val="decimal"/>
      <w:lvlText w:val="%3"/>
      <w:lvlJc w:val="left"/>
      <w:pPr>
        <w:ind w:left="2547" w:hanging="360"/>
      </w:pPr>
    </w:lvl>
    <w:lvl w:ilvl="3">
      <w:start w:val="4"/>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3" w15:restartNumberingAfterBreak="0">
    <w:nsid w:val="52B40713"/>
    <w:multiLevelType w:val="multilevel"/>
    <w:tmpl w:val="1F5C6D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4" w15:restartNumberingAfterBreak="0">
    <w:nsid w:val="531811ED"/>
    <w:multiLevelType w:val="multilevel"/>
    <w:tmpl w:val="B35E9C2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5" w15:restartNumberingAfterBreak="0">
    <w:nsid w:val="53F52B12"/>
    <w:multiLevelType w:val="multilevel"/>
    <w:tmpl w:val="242E446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86" w15:restartNumberingAfterBreak="0">
    <w:nsid w:val="540E68BA"/>
    <w:multiLevelType w:val="multilevel"/>
    <w:tmpl w:val="C6CE6B0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7" w15:restartNumberingAfterBreak="0">
    <w:nsid w:val="54975ECA"/>
    <w:multiLevelType w:val="multilevel"/>
    <w:tmpl w:val="93FA72BA"/>
    <w:lvl w:ilvl="0">
      <w:start w:val="1"/>
      <w:numFmt w:val="lowerLetter"/>
      <w:lvlText w:val="%1)"/>
      <w:lvlJc w:val="left"/>
      <w:pPr>
        <w:ind w:left="569" w:hanging="428"/>
      </w:pPr>
      <w:rPr>
        <w:rFonts w:ascii="Arial" w:eastAsia="Arial" w:hAnsi="Arial" w:cs="Arial"/>
        <w:sz w:val="22"/>
        <w:szCs w:val="22"/>
      </w:rPr>
    </w:lvl>
    <w:lvl w:ilvl="1">
      <w:start w:val="1"/>
      <w:numFmt w:val="lowerRoman"/>
      <w:lvlText w:val="%2."/>
      <w:lvlJc w:val="left"/>
      <w:pPr>
        <w:ind w:left="1222" w:hanging="830"/>
      </w:pPr>
      <w:rPr>
        <w:rFonts w:ascii="Arial" w:eastAsia="Arial" w:hAnsi="Arial" w:cs="Arial"/>
        <w:i/>
        <w:sz w:val="22"/>
        <w:szCs w:val="22"/>
      </w:rPr>
    </w:lvl>
    <w:lvl w:ilvl="2">
      <w:start w:val="1"/>
      <w:numFmt w:val="lowerLetter"/>
      <w:lvlText w:val="%3)"/>
      <w:lvlJc w:val="left"/>
      <w:pPr>
        <w:ind w:left="1313" w:hanging="449"/>
      </w:pPr>
      <w:rPr>
        <w:rFonts w:ascii="Calibri" w:eastAsia="Arial" w:hAnsi="Calibri" w:cs="Calibri" w:hint="default"/>
        <w:sz w:val="22"/>
        <w:szCs w:val="22"/>
      </w:rPr>
    </w:lvl>
    <w:lvl w:ilvl="3">
      <w:numFmt w:val="bullet"/>
      <w:lvlText w:val="•"/>
      <w:lvlJc w:val="left"/>
      <w:pPr>
        <w:ind w:left="2295" w:hanging="452"/>
      </w:pPr>
    </w:lvl>
    <w:lvl w:ilvl="4">
      <w:numFmt w:val="bullet"/>
      <w:lvlText w:val="•"/>
      <w:lvlJc w:val="left"/>
      <w:pPr>
        <w:ind w:left="3270" w:hanging="452"/>
      </w:pPr>
    </w:lvl>
    <w:lvl w:ilvl="5">
      <w:numFmt w:val="bullet"/>
      <w:lvlText w:val="•"/>
      <w:lvlJc w:val="left"/>
      <w:pPr>
        <w:ind w:left="4245" w:hanging="452"/>
      </w:pPr>
    </w:lvl>
    <w:lvl w:ilvl="6">
      <w:numFmt w:val="bullet"/>
      <w:lvlText w:val="•"/>
      <w:lvlJc w:val="left"/>
      <w:pPr>
        <w:ind w:left="5220" w:hanging="452"/>
      </w:pPr>
    </w:lvl>
    <w:lvl w:ilvl="7">
      <w:numFmt w:val="bullet"/>
      <w:lvlText w:val="•"/>
      <w:lvlJc w:val="left"/>
      <w:pPr>
        <w:ind w:left="6195" w:hanging="452"/>
      </w:pPr>
    </w:lvl>
    <w:lvl w:ilvl="8">
      <w:numFmt w:val="bullet"/>
      <w:lvlText w:val="•"/>
      <w:lvlJc w:val="left"/>
      <w:pPr>
        <w:ind w:left="7170" w:hanging="452"/>
      </w:pPr>
    </w:lvl>
  </w:abstractNum>
  <w:abstractNum w:abstractNumId="188" w15:restartNumberingAfterBreak="0">
    <w:nsid w:val="557D5F01"/>
    <w:multiLevelType w:val="hybridMultilevel"/>
    <w:tmpl w:val="F6BAFB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9" w15:restartNumberingAfterBreak="0">
    <w:nsid w:val="55D76B6F"/>
    <w:multiLevelType w:val="multilevel"/>
    <w:tmpl w:val="B0EA785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0" w15:restartNumberingAfterBreak="0">
    <w:nsid w:val="562A4FC2"/>
    <w:multiLevelType w:val="multilevel"/>
    <w:tmpl w:val="FA542AE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1" w15:restartNumberingAfterBreak="0">
    <w:nsid w:val="56361C44"/>
    <w:multiLevelType w:val="multilevel"/>
    <w:tmpl w:val="05ACFFD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92" w15:restartNumberingAfterBreak="0">
    <w:nsid w:val="563B5AA7"/>
    <w:multiLevelType w:val="multilevel"/>
    <w:tmpl w:val="0206F93A"/>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pStyle w:val="tomas3"/>
      <w:lvlText w:val="%1.%2.%3."/>
      <w:lvlJc w:val="left"/>
      <w:pPr>
        <w:ind w:left="720" w:hanging="720"/>
      </w:pPr>
      <w:rPr>
        <w:b w:val="0"/>
        <w:color w:val="00000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3" w15:restartNumberingAfterBreak="0">
    <w:nsid w:val="565F3C71"/>
    <w:multiLevelType w:val="multilevel"/>
    <w:tmpl w:val="DA0457E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4" w15:restartNumberingAfterBreak="0">
    <w:nsid w:val="573258E4"/>
    <w:multiLevelType w:val="hybridMultilevel"/>
    <w:tmpl w:val="5844A99E"/>
    <w:lvl w:ilvl="0" w:tplc="04090015">
      <w:start w:val="1"/>
      <w:numFmt w:val="upperLetter"/>
      <w:lvlText w:val="%1."/>
      <w:lvlJc w:val="left"/>
      <w:pPr>
        <w:ind w:left="1287" w:hanging="360"/>
      </w:pPr>
      <w:rPr>
        <w:rFont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95" w15:restartNumberingAfterBreak="0">
    <w:nsid w:val="57953621"/>
    <w:multiLevelType w:val="multilevel"/>
    <w:tmpl w:val="95567EB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6" w15:restartNumberingAfterBreak="0">
    <w:nsid w:val="582952F3"/>
    <w:multiLevelType w:val="multilevel"/>
    <w:tmpl w:val="190E7B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7" w15:restartNumberingAfterBreak="0">
    <w:nsid w:val="585A307C"/>
    <w:multiLevelType w:val="multilevel"/>
    <w:tmpl w:val="7BF298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8" w15:restartNumberingAfterBreak="0">
    <w:nsid w:val="58AE5BEE"/>
    <w:multiLevelType w:val="multilevel"/>
    <w:tmpl w:val="246A3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9" w15:restartNumberingAfterBreak="0">
    <w:nsid w:val="59240EBA"/>
    <w:multiLevelType w:val="multilevel"/>
    <w:tmpl w:val="75CC989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0" w15:restartNumberingAfterBreak="0">
    <w:nsid w:val="599B6346"/>
    <w:multiLevelType w:val="multilevel"/>
    <w:tmpl w:val="754A314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pStyle w:val="EstiloTtulo4"/>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1" w15:restartNumberingAfterBreak="0">
    <w:nsid w:val="5A040DBB"/>
    <w:multiLevelType w:val="multilevel"/>
    <w:tmpl w:val="BF9E8266"/>
    <w:lvl w:ilvl="0">
      <w:start w:val="1"/>
      <w:numFmt w:val="lowerRoman"/>
      <w:lvlText w:val="%1."/>
      <w:lvlJc w:val="right"/>
      <w:pPr>
        <w:ind w:left="0" w:firstLine="0"/>
      </w:pPr>
      <w:rPr>
        <w:rFonts w:ascii="Arial" w:eastAsia="Arial" w:hAnsi="Arial" w:cs="Arial"/>
        <w:b w:val="0"/>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2" w15:restartNumberingAfterBreak="0">
    <w:nsid w:val="5A316531"/>
    <w:multiLevelType w:val="multilevel"/>
    <w:tmpl w:val="ABE288C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3" w15:restartNumberingAfterBreak="0">
    <w:nsid w:val="5A9138EC"/>
    <w:multiLevelType w:val="multilevel"/>
    <w:tmpl w:val="CF30193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5A9666D6"/>
    <w:multiLevelType w:val="multilevel"/>
    <w:tmpl w:val="B5A27F0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5" w15:restartNumberingAfterBreak="0">
    <w:nsid w:val="5B0067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5B923420"/>
    <w:multiLevelType w:val="hybridMultilevel"/>
    <w:tmpl w:val="81BA32E8"/>
    <w:lvl w:ilvl="0" w:tplc="FFFFFFFF">
      <w:start w:val="1"/>
      <w:numFmt w:val="lowerRoman"/>
      <w:lvlText w:val="%1)"/>
      <w:lvlJc w:val="left"/>
      <w:pPr>
        <w:ind w:left="1080" w:hanging="720"/>
      </w:pPr>
      <w:rPr>
        <w:rFonts w:ascii="Arial Narrow" w:eastAsia="Arial" w:hAnsi="Arial Narrow" w:cs="Arial"/>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5BFB73CF"/>
    <w:multiLevelType w:val="multilevel"/>
    <w:tmpl w:val="5816DE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8" w15:restartNumberingAfterBreak="0">
    <w:nsid w:val="5C0C7064"/>
    <w:multiLevelType w:val="multilevel"/>
    <w:tmpl w:val="118A1BB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09" w15:restartNumberingAfterBreak="0">
    <w:nsid w:val="5C171A33"/>
    <w:multiLevelType w:val="multilevel"/>
    <w:tmpl w:val="7916A818"/>
    <w:lvl w:ilvl="0">
      <w:start w:val="1"/>
      <w:numFmt w:val="lowerRoman"/>
      <w:pStyle w:val="Estilo2"/>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0" w15:restartNumberingAfterBreak="0">
    <w:nsid w:val="5CB67FEC"/>
    <w:multiLevelType w:val="hybridMultilevel"/>
    <w:tmpl w:val="B896D3A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1" w15:restartNumberingAfterBreak="0">
    <w:nsid w:val="5CF913F9"/>
    <w:multiLevelType w:val="multilevel"/>
    <w:tmpl w:val="FA7A9DD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2" w15:restartNumberingAfterBreak="0">
    <w:nsid w:val="5D06015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3" w15:restartNumberingAfterBreak="0">
    <w:nsid w:val="5D53014B"/>
    <w:multiLevelType w:val="multilevel"/>
    <w:tmpl w:val="B3CAEFFA"/>
    <w:lvl w:ilvl="0">
      <w:start w:val="1"/>
      <w:numFmt w:val="lowerLetter"/>
      <w:lvlText w:val="%1)"/>
      <w:lvlJc w:val="left"/>
      <w:pPr>
        <w:ind w:left="927" w:hanging="360"/>
      </w:pPr>
    </w:lvl>
    <w:lvl w:ilvl="1">
      <w:start w:val="1"/>
      <w:numFmt w:val="lowerLetter"/>
      <w:pStyle w:val="EstiloTtulo2"/>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4" w15:restartNumberingAfterBreak="0">
    <w:nsid w:val="5DD9202B"/>
    <w:multiLevelType w:val="hybridMultilevel"/>
    <w:tmpl w:val="98D6D3D8"/>
    <w:lvl w:ilvl="0" w:tplc="280A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5" w15:restartNumberingAfterBreak="0">
    <w:nsid w:val="5E217383"/>
    <w:multiLevelType w:val="multilevel"/>
    <w:tmpl w:val="98D6E27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6" w15:restartNumberingAfterBreak="0">
    <w:nsid w:val="5EEF4AC4"/>
    <w:multiLevelType w:val="multilevel"/>
    <w:tmpl w:val="E6002942"/>
    <w:lvl w:ilvl="0">
      <w:start w:val="1"/>
      <w:numFmt w:val="lowerLetter"/>
      <w:pStyle w:val="Titulo4"/>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7" w15:restartNumberingAfterBreak="0">
    <w:nsid w:val="5F6A3227"/>
    <w:multiLevelType w:val="multilevel"/>
    <w:tmpl w:val="864801E0"/>
    <w:lvl w:ilvl="0">
      <w:start w:val="1"/>
      <w:numFmt w:val="lowerRoman"/>
      <w:pStyle w:val="Titulo4numerado"/>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8" w15:restartNumberingAfterBreak="0">
    <w:nsid w:val="5FB32FAF"/>
    <w:multiLevelType w:val="multilevel"/>
    <w:tmpl w:val="213680F4"/>
    <w:lvl w:ilvl="0">
      <w:start w:val="1"/>
      <w:numFmt w:val="bullet"/>
      <w:lvlText w:val="●"/>
      <w:lvlJc w:val="left"/>
      <w:pPr>
        <w:ind w:left="1213" w:hanging="360"/>
      </w:pPr>
      <w:rPr>
        <w:rFonts w:ascii="Noto Sans Symbols" w:eastAsia="Noto Sans Symbols" w:hAnsi="Noto Sans Symbols" w:cs="Noto Sans Symbols"/>
      </w:rPr>
    </w:lvl>
    <w:lvl w:ilvl="1">
      <w:start w:val="1"/>
      <w:numFmt w:val="bullet"/>
      <w:lvlText w:val="o"/>
      <w:lvlJc w:val="left"/>
      <w:pPr>
        <w:ind w:left="1933" w:hanging="360"/>
      </w:pPr>
      <w:rPr>
        <w:rFonts w:ascii="Courier New" w:eastAsia="Courier New" w:hAnsi="Courier New" w:cs="Courier New"/>
      </w:rPr>
    </w:lvl>
    <w:lvl w:ilvl="2">
      <w:start w:val="1"/>
      <w:numFmt w:val="bullet"/>
      <w:lvlText w:val="▪"/>
      <w:lvlJc w:val="left"/>
      <w:pPr>
        <w:ind w:left="2653" w:hanging="360"/>
      </w:pPr>
      <w:rPr>
        <w:rFonts w:ascii="Noto Sans Symbols" w:eastAsia="Noto Sans Symbols" w:hAnsi="Noto Sans Symbols" w:cs="Noto Sans Symbols"/>
      </w:rPr>
    </w:lvl>
    <w:lvl w:ilvl="3">
      <w:start w:val="1"/>
      <w:numFmt w:val="bullet"/>
      <w:lvlText w:val="●"/>
      <w:lvlJc w:val="left"/>
      <w:pPr>
        <w:ind w:left="3373" w:hanging="360"/>
      </w:pPr>
      <w:rPr>
        <w:rFonts w:ascii="Noto Sans Symbols" w:eastAsia="Noto Sans Symbols" w:hAnsi="Noto Sans Symbols" w:cs="Noto Sans Symbols"/>
      </w:rPr>
    </w:lvl>
    <w:lvl w:ilvl="4">
      <w:start w:val="1"/>
      <w:numFmt w:val="bullet"/>
      <w:lvlText w:val="o"/>
      <w:lvlJc w:val="left"/>
      <w:pPr>
        <w:ind w:left="4093" w:hanging="360"/>
      </w:pPr>
      <w:rPr>
        <w:rFonts w:ascii="Courier New" w:eastAsia="Courier New" w:hAnsi="Courier New" w:cs="Courier New"/>
      </w:rPr>
    </w:lvl>
    <w:lvl w:ilvl="5">
      <w:start w:val="1"/>
      <w:numFmt w:val="bullet"/>
      <w:lvlText w:val="▪"/>
      <w:lvlJc w:val="left"/>
      <w:pPr>
        <w:ind w:left="4813" w:hanging="360"/>
      </w:pPr>
      <w:rPr>
        <w:rFonts w:ascii="Noto Sans Symbols" w:eastAsia="Noto Sans Symbols" w:hAnsi="Noto Sans Symbols" w:cs="Noto Sans Symbols"/>
      </w:rPr>
    </w:lvl>
    <w:lvl w:ilvl="6">
      <w:start w:val="1"/>
      <w:numFmt w:val="bullet"/>
      <w:lvlText w:val="●"/>
      <w:lvlJc w:val="left"/>
      <w:pPr>
        <w:ind w:left="5533" w:hanging="360"/>
      </w:pPr>
      <w:rPr>
        <w:rFonts w:ascii="Noto Sans Symbols" w:eastAsia="Noto Sans Symbols" w:hAnsi="Noto Sans Symbols" w:cs="Noto Sans Symbols"/>
      </w:rPr>
    </w:lvl>
    <w:lvl w:ilvl="7">
      <w:start w:val="1"/>
      <w:numFmt w:val="bullet"/>
      <w:lvlText w:val="o"/>
      <w:lvlJc w:val="left"/>
      <w:pPr>
        <w:ind w:left="6253" w:hanging="360"/>
      </w:pPr>
      <w:rPr>
        <w:rFonts w:ascii="Courier New" w:eastAsia="Courier New" w:hAnsi="Courier New" w:cs="Courier New"/>
      </w:rPr>
    </w:lvl>
    <w:lvl w:ilvl="8">
      <w:start w:val="1"/>
      <w:numFmt w:val="bullet"/>
      <w:lvlText w:val="▪"/>
      <w:lvlJc w:val="left"/>
      <w:pPr>
        <w:ind w:left="6973" w:hanging="360"/>
      </w:pPr>
      <w:rPr>
        <w:rFonts w:ascii="Noto Sans Symbols" w:eastAsia="Noto Sans Symbols" w:hAnsi="Noto Sans Symbols" w:cs="Noto Sans Symbols"/>
      </w:rPr>
    </w:lvl>
  </w:abstractNum>
  <w:abstractNum w:abstractNumId="219" w15:restartNumberingAfterBreak="0">
    <w:nsid w:val="5FC1334F"/>
    <w:multiLevelType w:val="multilevel"/>
    <w:tmpl w:val="238E7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616F3193"/>
    <w:multiLevelType w:val="hybridMultilevel"/>
    <w:tmpl w:val="7F9E74D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1" w15:restartNumberingAfterBreak="0">
    <w:nsid w:val="61C87630"/>
    <w:multiLevelType w:val="multilevel"/>
    <w:tmpl w:val="E850EE1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2" w15:restartNumberingAfterBreak="0">
    <w:nsid w:val="623E24A6"/>
    <w:multiLevelType w:val="multilevel"/>
    <w:tmpl w:val="4948A0C4"/>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3" w15:restartNumberingAfterBreak="0">
    <w:nsid w:val="627738C4"/>
    <w:multiLevelType w:val="multilevel"/>
    <w:tmpl w:val="EBCA33DC"/>
    <w:lvl w:ilvl="0">
      <w:start w:val="1"/>
      <w:numFmt w:val="lowerLetter"/>
      <w:lvlText w:val="%1)"/>
      <w:lvlJc w:val="left"/>
      <w:pPr>
        <w:ind w:left="927" w:hanging="360"/>
      </w:pPr>
    </w:lvl>
    <w:lvl w:ilvl="1">
      <w:start w:val="1"/>
      <w:numFmt w:val="lowerLetter"/>
      <w:pStyle w:val="TtuloNivel1"/>
      <w:lvlText w:val="%2."/>
      <w:lvlJc w:val="left"/>
      <w:pPr>
        <w:ind w:left="1647" w:hanging="360"/>
      </w:pPr>
    </w:lvl>
    <w:lvl w:ilvl="2">
      <w:start w:val="1"/>
      <w:numFmt w:val="lowerRoman"/>
      <w:pStyle w:val="TtuloNivel2"/>
      <w:lvlText w:val="%3."/>
      <w:lvlJc w:val="right"/>
      <w:pPr>
        <w:ind w:left="2367" w:hanging="180"/>
      </w:pPr>
    </w:lvl>
    <w:lvl w:ilvl="3">
      <w:start w:val="1"/>
      <w:numFmt w:val="decimal"/>
      <w:pStyle w:val="TtuloNivel3"/>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4" w15:restartNumberingAfterBreak="0">
    <w:nsid w:val="627B54DE"/>
    <w:multiLevelType w:val="multilevel"/>
    <w:tmpl w:val="FF6EB78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25" w15:restartNumberingAfterBreak="0">
    <w:nsid w:val="63E33797"/>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6" w15:restartNumberingAfterBreak="0">
    <w:nsid w:val="655A0BB7"/>
    <w:multiLevelType w:val="multilevel"/>
    <w:tmpl w:val="2AB6D00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7" w15:restartNumberingAfterBreak="0">
    <w:nsid w:val="65941A8E"/>
    <w:multiLevelType w:val="hybridMultilevel"/>
    <w:tmpl w:val="F24AA30A"/>
    <w:lvl w:ilvl="0" w:tplc="04090015">
      <w:start w:val="1"/>
      <w:numFmt w:val="upperLetter"/>
      <w:lvlText w:val="%1."/>
      <w:lvlJc w:val="left"/>
      <w:pPr>
        <w:ind w:left="1287" w:hanging="360"/>
      </w:pPr>
      <w:rPr>
        <w:rFont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28" w15:restartNumberingAfterBreak="0">
    <w:nsid w:val="65AC5743"/>
    <w:multiLevelType w:val="hybridMultilevel"/>
    <w:tmpl w:val="96FA747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9" w15:restartNumberingAfterBreak="0">
    <w:nsid w:val="660D5FEF"/>
    <w:multiLevelType w:val="multilevel"/>
    <w:tmpl w:val="2B7451E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0" w15:restartNumberingAfterBreak="0">
    <w:nsid w:val="662448B7"/>
    <w:multiLevelType w:val="multilevel"/>
    <w:tmpl w:val="A55C415C"/>
    <w:lvl w:ilvl="0">
      <w:start w:val="1"/>
      <w:numFmt w:val="lowerLetter"/>
      <w:pStyle w:val="Literal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1" w15:restartNumberingAfterBreak="0">
    <w:nsid w:val="66301722"/>
    <w:multiLevelType w:val="multilevel"/>
    <w:tmpl w:val="573C2C9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32" w15:restartNumberingAfterBreak="0">
    <w:nsid w:val="66837A5E"/>
    <w:multiLevelType w:val="multilevel"/>
    <w:tmpl w:val="6DAA7EDE"/>
    <w:lvl w:ilvl="0">
      <w:start w:val="1"/>
      <w:numFmt w:val="lowerLetter"/>
      <w:pStyle w:val="Vietapunto"/>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3" w15:restartNumberingAfterBreak="0">
    <w:nsid w:val="66D41381"/>
    <w:multiLevelType w:val="multilevel"/>
    <w:tmpl w:val="C8E6C41A"/>
    <w:lvl w:ilvl="0">
      <w:start w:val="1"/>
      <w:numFmt w:val="lowerLetter"/>
      <w:lvlText w:val="%1)"/>
      <w:lvlJc w:val="left"/>
      <w:pPr>
        <w:ind w:left="927" w:hanging="360"/>
      </w:pPr>
    </w:lvl>
    <w:lvl w:ilvl="1">
      <w:start w:val="1"/>
      <w:numFmt w:val="lowerRoman"/>
      <w:lvlText w:val="%2."/>
      <w:lvlJc w:val="righ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4" w15:restartNumberingAfterBreak="0">
    <w:nsid w:val="66FA50D7"/>
    <w:multiLevelType w:val="multilevel"/>
    <w:tmpl w:val="1AC67FFA"/>
    <w:lvl w:ilvl="0">
      <w:start w:val="1"/>
      <w:numFmt w:val="lowerRoman"/>
      <w:pStyle w:val="NIVEL1"/>
      <w:lvlText w:val="%1."/>
      <w:lvlJc w:val="right"/>
      <w:pPr>
        <w:ind w:left="1647" w:hanging="360"/>
      </w:pPr>
      <w:rPr>
        <w:color w:val="000000"/>
      </w:rPr>
    </w:lvl>
    <w:lvl w:ilvl="1">
      <w:start w:val="1"/>
      <w:numFmt w:val="lowerLetter"/>
      <w:pStyle w:val="NIVEL2"/>
      <w:lvlText w:val="%2."/>
      <w:lvlJc w:val="left"/>
      <w:pPr>
        <w:ind w:left="2367" w:hanging="360"/>
      </w:pPr>
    </w:lvl>
    <w:lvl w:ilvl="2">
      <w:start w:val="1"/>
      <w:numFmt w:val="lowerRoman"/>
      <w:lvlText w:val="%3."/>
      <w:lvlJc w:val="right"/>
      <w:pPr>
        <w:ind w:left="3087" w:hanging="180"/>
      </w:pPr>
    </w:lvl>
    <w:lvl w:ilvl="3">
      <w:start w:val="1"/>
      <w:numFmt w:val="decimal"/>
      <w:lvlText w:val="%4."/>
      <w:lvlJc w:val="left"/>
      <w:pPr>
        <w:ind w:left="3807" w:hanging="360"/>
      </w:pPr>
    </w:lvl>
    <w:lvl w:ilvl="4">
      <w:start w:val="1"/>
      <w:numFmt w:val="lowerLetter"/>
      <w:lvlText w:val="%5."/>
      <w:lvlJc w:val="left"/>
      <w:pPr>
        <w:ind w:left="4527" w:hanging="360"/>
      </w:pPr>
    </w:lvl>
    <w:lvl w:ilvl="5">
      <w:start w:val="1"/>
      <w:numFmt w:val="lowerRoman"/>
      <w:lvlText w:val="%6."/>
      <w:lvlJc w:val="right"/>
      <w:pPr>
        <w:ind w:left="5247" w:hanging="180"/>
      </w:pPr>
    </w:lvl>
    <w:lvl w:ilvl="6">
      <w:start w:val="1"/>
      <w:numFmt w:val="decimal"/>
      <w:lvlText w:val="%7."/>
      <w:lvlJc w:val="left"/>
      <w:pPr>
        <w:ind w:left="5967" w:hanging="360"/>
      </w:pPr>
    </w:lvl>
    <w:lvl w:ilvl="7">
      <w:start w:val="1"/>
      <w:numFmt w:val="lowerLetter"/>
      <w:lvlText w:val="%8."/>
      <w:lvlJc w:val="left"/>
      <w:pPr>
        <w:ind w:left="6687" w:hanging="360"/>
      </w:pPr>
    </w:lvl>
    <w:lvl w:ilvl="8">
      <w:start w:val="1"/>
      <w:numFmt w:val="lowerRoman"/>
      <w:lvlText w:val="%9."/>
      <w:lvlJc w:val="right"/>
      <w:pPr>
        <w:ind w:left="7407" w:hanging="180"/>
      </w:pPr>
    </w:lvl>
  </w:abstractNum>
  <w:abstractNum w:abstractNumId="235" w15:restartNumberingAfterBreak="0">
    <w:nsid w:val="678E7FD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6" w15:restartNumberingAfterBreak="0">
    <w:nsid w:val="682C2493"/>
    <w:multiLevelType w:val="hybridMultilevel"/>
    <w:tmpl w:val="9D3CB036"/>
    <w:lvl w:ilvl="0" w:tplc="1DAE03C6">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7" w15:restartNumberingAfterBreak="0">
    <w:nsid w:val="68960A62"/>
    <w:multiLevelType w:val="multilevel"/>
    <w:tmpl w:val="FEE428BC"/>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38" w15:restartNumberingAfterBreak="0">
    <w:nsid w:val="69C612FA"/>
    <w:multiLevelType w:val="hybridMultilevel"/>
    <w:tmpl w:val="015C836E"/>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9" w15:restartNumberingAfterBreak="0">
    <w:nsid w:val="6A283C98"/>
    <w:multiLevelType w:val="multilevel"/>
    <w:tmpl w:val="9C6697B2"/>
    <w:lvl w:ilvl="0">
      <w:start w:val="1"/>
      <w:numFmt w:val="lowerRoman"/>
      <w:pStyle w:val="ALG-Tablas-Cap4"/>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0" w15:restartNumberingAfterBreak="0">
    <w:nsid w:val="6A4058D3"/>
    <w:multiLevelType w:val="multilevel"/>
    <w:tmpl w:val="9B767A98"/>
    <w:lvl w:ilvl="0">
      <w:start w:val="1"/>
      <w:numFmt w:val="lowerRoman"/>
      <w:lvlText w:val="%1."/>
      <w:lvlJc w:val="right"/>
      <w:pPr>
        <w:ind w:left="0" w:firstLine="0"/>
      </w:pPr>
      <w:rPr>
        <w:rFonts w:ascii="Calibri" w:eastAsia="Calibri" w:hAnsi="Calibri" w:cs="Calibri"/>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1" w15:restartNumberingAfterBreak="0">
    <w:nsid w:val="6A95192E"/>
    <w:multiLevelType w:val="multilevel"/>
    <w:tmpl w:val="5864468C"/>
    <w:lvl w:ilvl="0">
      <w:start w:val="1"/>
      <w:numFmt w:val="lowerRoman"/>
      <w:pStyle w:val="vieta"/>
      <w:lvlText w:val="%1."/>
      <w:lvlJc w:val="right"/>
      <w:pPr>
        <w:ind w:left="1004" w:hanging="360"/>
      </w:pPr>
      <w:rPr>
        <w:color w:val="00000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2" w15:restartNumberingAfterBreak="0">
    <w:nsid w:val="6ACD7E10"/>
    <w:multiLevelType w:val="hybridMultilevel"/>
    <w:tmpl w:val="015C836E"/>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3" w15:restartNumberingAfterBreak="0">
    <w:nsid w:val="6B834136"/>
    <w:multiLevelType w:val="multilevel"/>
    <w:tmpl w:val="E292B5A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4" w15:restartNumberingAfterBreak="0">
    <w:nsid w:val="6C843F9D"/>
    <w:multiLevelType w:val="multilevel"/>
    <w:tmpl w:val="55B6915A"/>
    <w:lvl w:ilvl="0">
      <w:start w:val="1"/>
      <w:numFmt w:val="lowerLetter"/>
      <w:lvlText w:val="%1)"/>
      <w:lvlJc w:val="left"/>
      <w:pPr>
        <w:ind w:left="927" w:hanging="360"/>
      </w:pPr>
    </w:lvl>
    <w:lvl w:ilvl="1">
      <w:start w:val="1"/>
      <w:numFmt w:val="lowerRoman"/>
      <w:lvlText w:val="%2."/>
      <w:lvlJc w:val="right"/>
      <w:pPr>
        <w:ind w:left="1647" w:hanging="360"/>
      </w:pPr>
      <w:rPr>
        <w:color w:val="000000"/>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5" w15:restartNumberingAfterBreak="0">
    <w:nsid w:val="6D0B145A"/>
    <w:multiLevelType w:val="multilevel"/>
    <w:tmpl w:val="C77203AC"/>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6" w15:restartNumberingAfterBreak="0">
    <w:nsid w:val="6DB33A26"/>
    <w:multiLevelType w:val="multilevel"/>
    <w:tmpl w:val="1C50817E"/>
    <w:lvl w:ilvl="0">
      <w:start w:val="1"/>
      <w:numFmt w:val="lowerLetter"/>
      <w:pStyle w:val="Alfabeto"/>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47" w15:restartNumberingAfterBreak="0">
    <w:nsid w:val="6DC74AB1"/>
    <w:multiLevelType w:val="hybridMultilevel"/>
    <w:tmpl w:val="41AE103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8" w15:restartNumberingAfterBreak="0">
    <w:nsid w:val="6E3E0EFE"/>
    <w:multiLevelType w:val="multilevel"/>
    <w:tmpl w:val="C83890D4"/>
    <w:lvl w:ilvl="0">
      <w:start w:val="1"/>
      <w:numFmt w:val="lowerRoman"/>
      <w:lvlText w:val="%1."/>
      <w:lvlJc w:val="right"/>
      <w:pPr>
        <w:ind w:left="1287" w:hanging="360"/>
      </w:pPr>
      <w:rPr>
        <w:color w:val="00000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49" w15:restartNumberingAfterBreak="0">
    <w:nsid w:val="6EB144D9"/>
    <w:multiLevelType w:val="multilevel"/>
    <w:tmpl w:val="FD261F8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0" w15:restartNumberingAfterBreak="0">
    <w:nsid w:val="6F28112B"/>
    <w:multiLevelType w:val="multilevel"/>
    <w:tmpl w:val="BAE6AF66"/>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1" w15:restartNumberingAfterBreak="0">
    <w:nsid w:val="6F306563"/>
    <w:multiLevelType w:val="hybridMultilevel"/>
    <w:tmpl w:val="A7D2C568"/>
    <w:lvl w:ilvl="0" w:tplc="896A296A">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2" w15:restartNumberingAfterBreak="0">
    <w:nsid w:val="6F475080"/>
    <w:multiLevelType w:val="multilevel"/>
    <w:tmpl w:val="4EC2D396"/>
    <w:lvl w:ilvl="0">
      <w:start w:val="1"/>
      <w:numFmt w:val="lowerLetter"/>
      <w:lvlText w:val="%1)"/>
      <w:lvlJc w:val="left"/>
      <w:pPr>
        <w:ind w:left="720" w:hanging="360"/>
      </w:pPr>
      <w:rPr>
        <w:b w:val="0"/>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3" w15:restartNumberingAfterBreak="0">
    <w:nsid w:val="6F991CED"/>
    <w:multiLevelType w:val="hybridMultilevel"/>
    <w:tmpl w:val="2E1C3F7C"/>
    <w:lvl w:ilvl="0" w:tplc="65B8D880">
      <w:start w:val="80"/>
      <w:numFmt w:val="bullet"/>
      <w:lvlText w:val="-"/>
      <w:lvlJc w:val="left"/>
      <w:pPr>
        <w:ind w:left="720" w:hanging="360"/>
      </w:pPr>
      <w:rPr>
        <w:rFonts w:ascii="Calibri" w:eastAsia="Calibr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4" w15:restartNumberingAfterBreak="0">
    <w:nsid w:val="6FB95C61"/>
    <w:multiLevelType w:val="multilevel"/>
    <w:tmpl w:val="64962CB6"/>
    <w:lvl w:ilvl="0">
      <w:start w:val="6"/>
      <w:numFmt w:val="decimal"/>
      <w:lvlText w:val="%1."/>
      <w:lvlJc w:val="left"/>
      <w:pPr>
        <w:ind w:left="360" w:hanging="360"/>
      </w:pPr>
    </w:lvl>
    <w:lvl w:ilvl="1">
      <w:start w:val="1"/>
      <w:numFmt w:val="decimal"/>
      <w:lvlText w:val="%1.%2."/>
      <w:lvlJc w:val="left"/>
      <w:pPr>
        <w:ind w:left="1211" w:hanging="360"/>
      </w:pPr>
    </w:lvl>
    <w:lvl w:ilvl="2">
      <w:start w:val="1"/>
      <w:numFmt w:val="decimal"/>
      <w:lvlText w:val="%1.%2.%3."/>
      <w:lvlJc w:val="left"/>
      <w:pPr>
        <w:ind w:left="2422" w:hanging="720"/>
      </w:pPr>
    </w:lvl>
    <w:lvl w:ilvl="3">
      <w:start w:val="1"/>
      <w:numFmt w:val="decimal"/>
      <w:lvlText w:val="%1.%2.%3.%4."/>
      <w:lvlJc w:val="left"/>
      <w:pPr>
        <w:ind w:left="3273" w:hanging="720"/>
      </w:pPr>
    </w:lvl>
    <w:lvl w:ilvl="4">
      <w:start w:val="1"/>
      <w:numFmt w:val="decimal"/>
      <w:lvlText w:val="%1.%2.%3.%4.%5."/>
      <w:lvlJc w:val="left"/>
      <w:pPr>
        <w:ind w:left="4484" w:hanging="1080"/>
      </w:pPr>
    </w:lvl>
    <w:lvl w:ilvl="5">
      <w:start w:val="1"/>
      <w:numFmt w:val="decimal"/>
      <w:lvlText w:val="%1.%2.%3.%4.%5.%6."/>
      <w:lvlJc w:val="left"/>
      <w:pPr>
        <w:ind w:left="5335" w:hanging="1080"/>
      </w:pPr>
    </w:lvl>
    <w:lvl w:ilvl="6">
      <w:start w:val="1"/>
      <w:numFmt w:val="decimal"/>
      <w:lvlText w:val="%1.%2.%3.%4.%5.%6.%7."/>
      <w:lvlJc w:val="left"/>
      <w:pPr>
        <w:ind w:left="6546" w:hanging="1440"/>
      </w:pPr>
    </w:lvl>
    <w:lvl w:ilvl="7">
      <w:start w:val="1"/>
      <w:numFmt w:val="decimal"/>
      <w:lvlText w:val="%1.%2.%3.%4.%5.%6.%7.%8."/>
      <w:lvlJc w:val="left"/>
      <w:pPr>
        <w:ind w:left="7397" w:hanging="1440"/>
      </w:pPr>
    </w:lvl>
    <w:lvl w:ilvl="8">
      <w:start w:val="1"/>
      <w:numFmt w:val="decimal"/>
      <w:lvlText w:val="%1.%2.%3.%4.%5.%6.%7.%8.%9."/>
      <w:lvlJc w:val="left"/>
      <w:pPr>
        <w:ind w:left="8608" w:hanging="1800"/>
      </w:pPr>
    </w:lvl>
  </w:abstractNum>
  <w:abstractNum w:abstractNumId="255" w15:restartNumberingAfterBreak="0">
    <w:nsid w:val="6FD514AF"/>
    <w:multiLevelType w:val="hybridMultilevel"/>
    <w:tmpl w:val="52808448"/>
    <w:lvl w:ilvl="0" w:tplc="040A0001">
      <w:start w:val="1"/>
      <w:numFmt w:val="bullet"/>
      <w:lvlText w:val=""/>
      <w:lvlJc w:val="left"/>
      <w:pPr>
        <w:ind w:left="1080" w:hanging="360"/>
      </w:pPr>
      <w:rPr>
        <w:rFonts w:ascii="Symbol" w:hAnsi="Symbol" w:cs="Symbo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cs="Wingdings" w:hint="default"/>
      </w:rPr>
    </w:lvl>
    <w:lvl w:ilvl="3" w:tplc="040A0001" w:tentative="1">
      <w:start w:val="1"/>
      <w:numFmt w:val="bullet"/>
      <w:lvlText w:val=""/>
      <w:lvlJc w:val="left"/>
      <w:pPr>
        <w:ind w:left="3240" w:hanging="360"/>
      </w:pPr>
      <w:rPr>
        <w:rFonts w:ascii="Symbol" w:hAnsi="Symbol" w:cs="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cs="Wingdings" w:hint="default"/>
      </w:rPr>
    </w:lvl>
    <w:lvl w:ilvl="6" w:tplc="040A0001" w:tentative="1">
      <w:start w:val="1"/>
      <w:numFmt w:val="bullet"/>
      <w:lvlText w:val=""/>
      <w:lvlJc w:val="left"/>
      <w:pPr>
        <w:ind w:left="5400" w:hanging="360"/>
      </w:pPr>
      <w:rPr>
        <w:rFonts w:ascii="Symbol" w:hAnsi="Symbol" w:cs="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cs="Wingdings" w:hint="default"/>
      </w:rPr>
    </w:lvl>
  </w:abstractNum>
  <w:abstractNum w:abstractNumId="256" w15:restartNumberingAfterBreak="0">
    <w:nsid w:val="702D339C"/>
    <w:multiLevelType w:val="multilevel"/>
    <w:tmpl w:val="638A2934"/>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7" w15:restartNumberingAfterBreak="0">
    <w:nsid w:val="70512767"/>
    <w:multiLevelType w:val="multilevel"/>
    <w:tmpl w:val="881E7EF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8" w15:restartNumberingAfterBreak="0">
    <w:nsid w:val="70B4726D"/>
    <w:multiLevelType w:val="multilevel"/>
    <w:tmpl w:val="2E24890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9" w15:restartNumberingAfterBreak="0">
    <w:nsid w:val="71367349"/>
    <w:multiLevelType w:val="multilevel"/>
    <w:tmpl w:val="10E6B81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60" w15:restartNumberingAfterBreak="0">
    <w:nsid w:val="716B58E7"/>
    <w:multiLevelType w:val="multilevel"/>
    <w:tmpl w:val="C5028C74"/>
    <w:lvl w:ilvl="0">
      <w:start w:val="1"/>
      <w:numFmt w:val="lowerRoman"/>
      <w:lvlText w:val="%1."/>
      <w:lvlJc w:val="right"/>
      <w:pPr>
        <w:ind w:left="0" w:firstLine="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1" w15:restartNumberingAfterBreak="0">
    <w:nsid w:val="716E5C7F"/>
    <w:multiLevelType w:val="multilevel"/>
    <w:tmpl w:val="88BC39E8"/>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62" w15:restartNumberingAfterBreak="0">
    <w:nsid w:val="71883826"/>
    <w:multiLevelType w:val="multilevel"/>
    <w:tmpl w:val="AB1E0BA2"/>
    <w:lvl w:ilvl="0">
      <w:start w:val="1"/>
      <w:numFmt w:val="lowerLetter"/>
      <w:pStyle w:val="Titulo3"/>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3" w15:restartNumberingAfterBreak="0">
    <w:nsid w:val="727F4063"/>
    <w:multiLevelType w:val="multilevel"/>
    <w:tmpl w:val="D492915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4" w15:restartNumberingAfterBreak="0">
    <w:nsid w:val="729350A8"/>
    <w:multiLevelType w:val="multilevel"/>
    <w:tmpl w:val="069CF7C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5" w15:restartNumberingAfterBreak="0">
    <w:nsid w:val="72A1687B"/>
    <w:multiLevelType w:val="hybridMultilevel"/>
    <w:tmpl w:val="6F021CE8"/>
    <w:lvl w:ilvl="0" w:tplc="280A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6" w15:restartNumberingAfterBreak="0">
    <w:nsid w:val="72B857FD"/>
    <w:multiLevelType w:val="multilevel"/>
    <w:tmpl w:val="BC9EA68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7" w15:restartNumberingAfterBreak="0">
    <w:nsid w:val="72E74D43"/>
    <w:multiLevelType w:val="multilevel"/>
    <w:tmpl w:val="C4301D76"/>
    <w:styleLink w:val="EstiloConvietas"/>
    <w:lvl w:ilvl="0">
      <w:start w:val="1"/>
      <w:numFmt w:val="bullet"/>
      <w:lvlText w:val=""/>
      <w:lvlJc w:val="left"/>
      <w:pPr>
        <w:tabs>
          <w:tab w:val="num" w:pos="567"/>
        </w:tabs>
        <w:ind w:left="567" w:hanging="567"/>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736F35B0"/>
    <w:multiLevelType w:val="multilevel"/>
    <w:tmpl w:val="D5BE862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69" w15:restartNumberingAfterBreak="0">
    <w:nsid w:val="73880442"/>
    <w:multiLevelType w:val="multilevel"/>
    <w:tmpl w:val="F57C2A7C"/>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70" w15:restartNumberingAfterBreak="0">
    <w:nsid w:val="73A41BD9"/>
    <w:multiLevelType w:val="multilevel"/>
    <w:tmpl w:val="FEF214A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71" w15:restartNumberingAfterBreak="0">
    <w:nsid w:val="73FA0CAA"/>
    <w:multiLevelType w:val="hybridMultilevel"/>
    <w:tmpl w:val="FDA8A2A6"/>
    <w:lvl w:ilvl="0" w:tplc="896A296A">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2" w15:restartNumberingAfterBreak="0">
    <w:nsid w:val="779D0138"/>
    <w:multiLevelType w:val="multilevel"/>
    <w:tmpl w:val="CF904B92"/>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3" w15:restartNumberingAfterBreak="0">
    <w:nsid w:val="77E67D3B"/>
    <w:multiLevelType w:val="hybridMultilevel"/>
    <w:tmpl w:val="F9BA1D12"/>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4" w15:restartNumberingAfterBreak="0">
    <w:nsid w:val="782B4F39"/>
    <w:multiLevelType w:val="hybridMultilevel"/>
    <w:tmpl w:val="058651F8"/>
    <w:lvl w:ilvl="0" w:tplc="B6A458F0">
      <w:start w:val="1"/>
      <w:numFmt w:val="bullet"/>
      <w:lvlText w:val="-"/>
      <w:lvlJc w:val="left"/>
      <w:pPr>
        <w:ind w:left="720" w:hanging="360"/>
      </w:pPr>
      <w:rPr>
        <w:rFonts w:asciiTheme="minorHAnsi" w:hAnsiTheme="minorHAnsi" w:hint="default"/>
        <w:b w:val="0"/>
        <w:i w:val="0"/>
        <w:sz w:val="16"/>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5" w15:restartNumberingAfterBreak="0">
    <w:nsid w:val="78744AED"/>
    <w:multiLevelType w:val="multilevel"/>
    <w:tmpl w:val="4412F9F8"/>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6" w15:restartNumberingAfterBreak="0">
    <w:nsid w:val="78800A7D"/>
    <w:multiLevelType w:val="hybridMultilevel"/>
    <w:tmpl w:val="29F60D7A"/>
    <w:lvl w:ilvl="0" w:tplc="04090017">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7" w15:restartNumberingAfterBreak="0">
    <w:nsid w:val="7AF01780"/>
    <w:multiLevelType w:val="multilevel"/>
    <w:tmpl w:val="8BCC9D9A"/>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8" w15:restartNumberingAfterBreak="0">
    <w:nsid w:val="7C5C215C"/>
    <w:multiLevelType w:val="multilevel"/>
    <w:tmpl w:val="110E9A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79" w15:restartNumberingAfterBreak="0">
    <w:nsid w:val="7C661D50"/>
    <w:multiLevelType w:val="multilevel"/>
    <w:tmpl w:val="671C3A0A"/>
    <w:lvl w:ilvl="0">
      <w:start w:val="1"/>
      <w:numFmt w:val="decimal"/>
      <w:lvlText w:val="8.%1."/>
      <w:lvlJc w:val="righ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280" w15:restartNumberingAfterBreak="0">
    <w:nsid w:val="7D091DF1"/>
    <w:multiLevelType w:val="hybridMultilevel"/>
    <w:tmpl w:val="D332AC7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81" w15:restartNumberingAfterBreak="0">
    <w:nsid w:val="7D36656E"/>
    <w:multiLevelType w:val="multilevel"/>
    <w:tmpl w:val="F7922D5A"/>
    <w:lvl w:ilvl="0">
      <w:start w:val="1"/>
      <w:numFmt w:val="lowerLetter"/>
      <w:lvlText w:val="%1)"/>
      <w:lvlJc w:val="left"/>
      <w:pPr>
        <w:ind w:left="1287" w:hanging="360"/>
      </w:p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82" w15:restartNumberingAfterBreak="0">
    <w:nsid w:val="7DCC516C"/>
    <w:multiLevelType w:val="hybridMultilevel"/>
    <w:tmpl w:val="F0D82168"/>
    <w:lvl w:ilvl="0" w:tplc="9496CA0A">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3" w15:restartNumberingAfterBreak="0">
    <w:nsid w:val="7EFC5FD4"/>
    <w:multiLevelType w:val="multilevel"/>
    <w:tmpl w:val="0B16A156"/>
    <w:lvl w:ilvl="0">
      <w:start w:val="1"/>
      <w:numFmt w:val="lowerRoman"/>
      <w:pStyle w:val="ndice2"/>
      <w:lvlText w:val="%1."/>
      <w:lvlJc w:val="right"/>
      <w:pPr>
        <w:ind w:left="1229" w:hanging="360"/>
      </w:pPr>
      <w:rPr>
        <w:color w:val="000000"/>
      </w:rPr>
    </w:lvl>
    <w:lvl w:ilvl="1">
      <w:start w:val="1"/>
      <w:numFmt w:val="lowerLetter"/>
      <w:lvlText w:val="%2."/>
      <w:lvlJc w:val="left"/>
      <w:pPr>
        <w:ind w:left="1949" w:hanging="360"/>
      </w:pPr>
    </w:lvl>
    <w:lvl w:ilvl="2">
      <w:start w:val="1"/>
      <w:numFmt w:val="lowerRoman"/>
      <w:lvlText w:val="%3."/>
      <w:lvlJc w:val="right"/>
      <w:pPr>
        <w:ind w:left="2669" w:hanging="180"/>
      </w:pPr>
    </w:lvl>
    <w:lvl w:ilvl="3">
      <w:start w:val="1"/>
      <w:numFmt w:val="decimal"/>
      <w:lvlText w:val="%4."/>
      <w:lvlJc w:val="left"/>
      <w:pPr>
        <w:ind w:left="3389" w:hanging="360"/>
      </w:pPr>
    </w:lvl>
    <w:lvl w:ilvl="4">
      <w:start w:val="1"/>
      <w:numFmt w:val="lowerLetter"/>
      <w:lvlText w:val="%5."/>
      <w:lvlJc w:val="left"/>
      <w:pPr>
        <w:ind w:left="4109" w:hanging="360"/>
      </w:pPr>
    </w:lvl>
    <w:lvl w:ilvl="5">
      <w:start w:val="1"/>
      <w:numFmt w:val="lowerRoman"/>
      <w:lvlText w:val="%6."/>
      <w:lvlJc w:val="right"/>
      <w:pPr>
        <w:ind w:left="4829" w:hanging="180"/>
      </w:pPr>
    </w:lvl>
    <w:lvl w:ilvl="6">
      <w:start w:val="1"/>
      <w:numFmt w:val="decimal"/>
      <w:lvlText w:val="%7."/>
      <w:lvlJc w:val="left"/>
      <w:pPr>
        <w:ind w:left="5549" w:hanging="360"/>
      </w:pPr>
    </w:lvl>
    <w:lvl w:ilvl="7">
      <w:start w:val="1"/>
      <w:numFmt w:val="lowerLetter"/>
      <w:lvlText w:val="%8."/>
      <w:lvlJc w:val="left"/>
      <w:pPr>
        <w:ind w:left="6269" w:hanging="360"/>
      </w:pPr>
    </w:lvl>
    <w:lvl w:ilvl="8">
      <w:start w:val="1"/>
      <w:numFmt w:val="lowerRoman"/>
      <w:lvlText w:val="%9."/>
      <w:lvlJc w:val="right"/>
      <w:pPr>
        <w:ind w:left="6989" w:hanging="180"/>
      </w:pPr>
    </w:lvl>
  </w:abstractNum>
  <w:abstractNum w:abstractNumId="284" w15:restartNumberingAfterBreak="0">
    <w:nsid w:val="7F010B11"/>
    <w:multiLevelType w:val="multilevel"/>
    <w:tmpl w:val="82F45062"/>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5" w15:restartNumberingAfterBreak="0">
    <w:nsid w:val="7F150F7A"/>
    <w:multiLevelType w:val="multilevel"/>
    <w:tmpl w:val="C448888C"/>
    <w:lvl w:ilvl="0">
      <w:start w:val="1"/>
      <w:numFmt w:val="lowerLetter"/>
      <w:pStyle w:val="Listaconnmeros1"/>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6" w15:restartNumberingAfterBreak="0">
    <w:nsid w:val="7FC03B90"/>
    <w:multiLevelType w:val="multilevel"/>
    <w:tmpl w:val="91CA82F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16cid:durableId="1781610526">
    <w:abstractNumId w:val="58"/>
  </w:num>
  <w:num w:numId="2" w16cid:durableId="738407354">
    <w:abstractNumId w:val="241"/>
  </w:num>
  <w:num w:numId="3" w16cid:durableId="1844511038">
    <w:abstractNumId w:val="209"/>
  </w:num>
  <w:num w:numId="4" w16cid:durableId="655959685">
    <w:abstractNumId w:val="123"/>
  </w:num>
  <w:num w:numId="5" w16cid:durableId="1643652989">
    <w:abstractNumId w:val="262"/>
  </w:num>
  <w:num w:numId="6" w16cid:durableId="1443571225">
    <w:abstractNumId w:val="216"/>
  </w:num>
  <w:num w:numId="7" w16cid:durableId="515005466">
    <w:abstractNumId w:val="217"/>
  </w:num>
  <w:num w:numId="8" w16cid:durableId="1883206918">
    <w:abstractNumId w:val="239"/>
  </w:num>
  <w:num w:numId="9" w16cid:durableId="1908607501">
    <w:abstractNumId w:val="283"/>
  </w:num>
  <w:num w:numId="10" w16cid:durableId="107743388">
    <w:abstractNumId w:val="165"/>
  </w:num>
  <w:num w:numId="11" w16cid:durableId="1454710181">
    <w:abstractNumId w:val="107"/>
  </w:num>
  <w:num w:numId="12" w16cid:durableId="1287394408">
    <w:abstractNumId w:val="142"/>
  </w:num>
  <w:num w:numId="13" w16cid:durableId="23408989">
    <w:abstractNumId w:val="140"/>
  </w:num>
  <w:num w:numId="14" w16cid:durableId="1952280649">
    <w:abstractNumId w:val="285"/>
  </w:num>
  <w:num w:numId="15" w16cid:durableId="1100250694">
    <w:abstractNumId w:val="130"/>
  </w:num>
  <w:num w:numId="16" w16cid:durableId="764499818">
    <w:abstractNumId w:val="181"/>
  </w:num>
  <w:num w:numId="17" w16cid:durableId="113062937">
    <w:abstractNumId w:val="119"/>
  </w:num>
  <w:num w:numId="18" w16cid:durableId="1262106899">
    <w:abstractNumId w:val="3"/>
  </w:num>
  <w:num w:numId="19" w16cid:durableId="633340157">
    <w:abstractNumId w:val="124"/>
  </w:num>
  <w:num w:numId="20" w16cid:durableId="840896681">
    <w:abstractNumId w:val="223"/>
  </w:num>
  <w:num w:numId="21" w16cid:durableId="1799952640">
    <w:abstractNumId w:val="158"/>
  </w:num>
  <w:num w:numId="22" w16cid:durableId="79259711">
    <w:abstractNumId w:val="38"/>
  </w:num>
  <w:num w:numId="23" w16cid:durableId="267784424">
    <w:abstractNumId w:val="230"/>
  </w:num>
  <w:num w:numId="24" w16cid:durableId="2112892030">
    <w:abstractNumId w:val="11"/>
  </w:num>
  <w:num w:numId="25" w16cid:durableId="260378706">
    <w:abstractNumId w:val="200"/>
  </w:num>
  <w:num w:numId="26" w16cid:durableId="202787956">
    <w:abstractNumId w:val="213"/>
  </w:num>
  <w:num w:numId="27" w16cid:durableId="1459252158">
    <w:abstractNumId w:val="192"/>
  </w:num>
  <w:num w:numId="28" w16cid:durableId="1328822686">
    <w:abstractNumId w:val="77"/>
  </w:num>
  <w:num w:numId="29" w16cid:durableId="33191398">
    <w:abstractNumId w:val="48"/>
  </w:num>
  <w:num w:numId="30" w16cid:durableId="573245033">
    <w:abstractNumId w:val="72"/>
  </w:num>
  <w:num w:numId="31" w16cid:durableId="284846607">
    <w:abstractNumId w:val="120"/>
  </w:num>
  <w:num w:numId="32" w16cid:durableId="1490635316">
    <w:abstractNumId w:val="234"/>
  </w:num>
  <w:num w:numId="33" w16cid:durableId="604457929">
    <w:abstractNumId w:val="101"/>
  </w:num>
  <w:num w:numId="34" w16cid:durableId="1655256061">
    <w:abstractNumId w:val="246"/>
  </w:num>
  <w:num w:numId="35" w16cid:durableId="978608666">
    <w:abstractNumId w:val="232"/>
  </w:num>
  <w:num w:numId="36" w16cid:durableId="1800608150">
    <w:abstractNumId w:val="155"/>
  </w:num>
  <w:num w:numId="37" w16cid:durableId="11686922">
    <w:abstractNumId w:val="71"/>
  </w:num>
  <w:num w:numId="38" w16cid:durableId="977879815">
    <w:abstractNumId w:val="17"/>
  </w:num>
  <w:num w:numId="39" w16cid:durableId="1650329867">
    <w:abstractNumId w:val="7"/>
  </w:num>
  <w:num w:numId="40" w16cid:durableId="1203984124">
    <w:abstractNumId w:val="29"/>
  </w:num>
  <w:num w:numId="41" w16cid:durableId="257106890">
    <w:abstractNumId w:val="204"/>
  </w:num>
  <w:num w:numId="42" w16cid:durableId="957832530">
    <w:abstractNumId w:val="93"/>
  </w:num>
  <w:num w:numId="43" w16cid:durableId="1147864515">
    <w:abstractNumId w:val="51"/>
  </w:num>
  <w:num w:numId="44" w16cid:durableId="1334331261">
    <w:abstractNumId w:val="244"/>
  </w:num>
  <w:num w:numId="45" w16cid:durableId="552235224">
    <w:abstractNumId w:val="151"/>
  </w:num>
  <w:num w:numId="46" w16cid:durableId="550116860">
    <w:abstractNumId w:val="263"/>
  </w:num>
  <w:num w:numId="47" w16cid:durableId="2028749742">
    <w:abstractNumId w:val="46"/>
  </w:num>
  <w:num w:numId="48" w16cid:durableId="1422943707">
    <w:abstractNumId w:val="52"/>
  </w:num>
  <w:num w:numId="49" w16cid:durableId="244000345">
    <w:abstractNumId w:val="113"/>
  </w:num>
  <w:num w:numId="50" w16cid:durableId="581448650">
    <w:abstractNumId w:val="279"/>
  </w:num>
  <w:num w:numId="51" w16cid:durableId="809976112">
    <w:abstractNumId w:val="84"/>
  </w:num>
  <w:num w:numId="52" w16cid:durableId="1097559931">
    <w:abstractNumId w:val="33"/>
  </w:num>
  <w:num w:numId="53" w16cid:durableId="83959539">
    <w:abstractNumId w:val="98"/>
  </w:num>
  <w:num w:numId="54" w16cid:durableId="379478542">
    <w:abstractNumId w:val="110"/>
  </w:num>
  <w:num w:numId="55" w16cid:durableId="1075083697">
    <w:abstractNumId w:val="102"/>
  </w:num>
  <w:num w:numId="56" w16cid:durableId="2010407355">
    <w:abstractNumId w:val="83"/>
  </w:num>
  <w:num w:numId="57" w16cid:durableId="214854753">
    <w:abstractNumId w:val="190"/>
  </w:num>
  <w:num w:numId="58" w16cid:durableId="805244184">
    <w:abstractNumId w:val="203"/>
  </w:num>
  <w:num w:numId="59" w16cid:durableId="403528270">
    <w:abstractNumId w:val="50"/>
  </w:num>
  <w:num w:numId="60" w16cid:durableId="61487076">
    <w:abstractNumId w:val="49"/>
  </w:num>
  <w:num w:numId="61" w16cid:durableId="848523158">
    <w:abstractNumId w:val="10"/>
  </w:num>
  <w:num w:numId="62" w16cid:durableId="1622034849">
    <w:abstractNumId w:val="116"/>
  </w:num>
  <w:num w:numId="63" w16cid:durableId="1643193017">
    <w:abstractNumId w:val="27"/>
  </w:num>
  <w:num w:numId="64" w16cid:durableId="280310643">
    <w:abstractNumId w:val="189"/>
  </w:num>
  <w:num w:numId="65" w16cid:durableId="1662352196">
    <w:abstractNumId w:val="125"/>
  </w:num>
  <w:num w:numId="66" w16cid:durableId="1682858553">
    <w:abstractNumId w:val="143"/>
  </w:num>
  <w:num w:numId="67" w16cid:durableId="1147628908">
    <w:abstractNumId w:val="74"/>
  </w:num>
  <w:num w:numId="68" w16cid:durableId="1068265367">
    <w:abstractNumId w:val="9"/>
  </w:num>
  <w:num w:numId="69" w16cid:durableId="1751585656">
    <w:abstractNumId w:val="44"/>
  </w:num>
  <w:num w:numId="70" w16cid:durableId="1206916570">
    <w:abstractNumId w:val="180"/>
  </w:num>
  <w:num w:numId="71" w16cid:durableId="740130628">
    <w:abstractNumId w:val="62"/>
  </w:num>
  <w:num w:numId="72" w16cid:durableId="1602059944">
    <w:abstractNumId w:val="105"/>
  </w:num>
  <w:num w:numId="73" w16cid:durableId="673262545">
    <w:abstractNumId w:val="129"/>
  </w:num>
  <w:num w:numId="74" w16cid:durableId="1743603802">
    <w:abstractNumId w:val="66"/>
  </w:num>
  <w:num w:numId="75" w16cid:durableId="1581283744">
    <w:abstractNumId w:val="137"/>
  </w:num>
  <w:num w:numId="76" w16cid:durableId="1710109040">
    <w:abstractNumId w:val="254"/>
  </w:num>
  <w:num w:numId="77" w16cid:durableId="774249053">
    <w:abstractNumId w:val="186"/>
  </w:num>
  <w:num w:numId="78" w16cid:durableId="1842890097">
    <w:abstractNumId w:val="222"/>
  </w:num>
  <w:num w:numId="79" w16cid:durableId="813447251">
    <w:abstractNumId w:val="270"/>
  </w:num>
  <w:num w:numId="80" w16cid:durableId="1911959133">
    <w:abstractNumId w:val="272"/>
  </w:num>
  <w:num w:numId="81" w16cid:durableId="804809393">
    <w:abstractNumId w:val="85"/>
  </w:num>
  <w:num w:numId="82" w16cid:durableId="911087476">
    <w:abstractNumId w:val="67"/>
  </w:num>
  <w:num w:numId="83" w16cid:durableId="1399937347">
    <w:abstractNumId w:val="53"/>
  </w:num>
  <w:num w:numId="84" w16cid:durableId="313680381">
    <w:abstractNumId w:val="73"/>
  </w:num>
  <w:num w:numId="85" w16cid:durableId="1211696757">
    <w:abstractNumId w:val="57"/>
  </w:num>
  <w:num w:numId="86" w16cid:durableId="1235554694">
    <w:abstractNumId w:val="40"/>
  </w:num>
  <w:num w:numId="87" w16cid:durableId="376206370">
    <w:abstractNumId w:val="166"/>
  </w:num>
  <w:num w:numId="88" w16cid:durableId="507789806">
    <w:abstractNumId w:val="45"/>
  </w:num>
  <w:num w:numId="89" w16cid:durableId="69011043">
    <w:abstractNumId w:val="221"/>
  </w:num>
  <w:num w:numId="90" w16cid:durableId="2138063476">
    <w:abstractNumId w:val="269"/>
  </w:num>
  <w:num w:numId="91" w16cid:durableId="865600385">
    <w:abstractNumId w:val="201"/>
  </w:num>
  <w:num w:numId="92" w16cid:durableId="1119572231">
    <w:abstractNumId w:val="250"/>
  </w:num>
  <w:num w:numId="93" w16cid:durableId="1839929590">
    <w:abstractNumId w:val="156"/>
  </w:num>
  <w:num w:numId="94" w16cid:durableId="2008096492">
    <w:abstractNumId w:val="39"/>
  </w:num>
  <w:num w:numId="95" w16cid:durableId="1343750198">
    <w:abstractNumId w:val="136"/>
  </w:num>
  <w:num w:numId="96" w16cid:durableId="2095735294">
    <w:abstractNumId w:val="16"/>
  </w:num>
  <w:num w:numId="97" w16cid:durableId="1421759847">
    <w:abstractNumId w:val="115"/>
  </w:num>
  <w:num w:numId="98" w16cid:durableId="1109080128">
    <w:abstractNumId w:val="261"/>
  </w:num>
  <w:num w:numId="99" w16cid:durableId="1767917907">
    <w:abstractNumId w:val="184"/>
  </w:num>
  <w:num w:numId="100" w16cid:durableId="800659546">
    <w:abstractNumId w:val="284"/>
  </w:num>
  <w:num w:numId="101" w16cid:durableId="720714732">
    <w:abstractNumId w:val="37"/>
  </w:num>
  <w:num w:numId="102" w16cid:durableId="1615671319">
    <w:abstractNumId w:val="134"/>
  </w:num>
  <w:num w:numId="103" w16cid:durableId="1054963956">
    <w:abstractNumId w:val="24"/>
  </w:num>
  <w:num w:numId="104" w16cid:durableId="861282653">
    <w:abstractNumId w:val="286"/>
  </w:num>
  <w:num w:numId="105" w16cid:durableId="1078792438">
    <w:abstractNumId w:val="90"/>
  </w:num>
  <w:num w:numId="106" w16cid:durableId="1584871477">
    <w:abstractNumId w:val="145"/>
  </w:num>
  <w:num w:numId="107" w16cid:durableId="1017317151">
    <w:abstractNumId w:val="23"/>
  </w:num>
  <w:num w:numId="108" w16cid:durableId="1459109886">
    <w:abstractNumId w:val="95"/>
  </w:num>
  <w:num w:numId="109" w16cid:durableId="1340618627">
    <w:abstractNumId w:val="43"/>
  </w:num>
  <w:num w:numId="110" w16cid:durableId="403142898">
    <w:abstractNumId w:val="15"/>
  </w:num>
  <w:num w:numId="111" w16cid:durableId="264577712">
    <w:abstractNumId w:val="182"/>
  </w:num>
  <w:num w:numId="112" w16cid:durableId="1605069743">
    <w:abstractNumId w:val="149"/>
  </w:num>
  <w:num w:numId="113" w16cid:durableId="898789226">
    <w:abstractNumId w:val="174"/>
  </w:num>
  <w:num w:numId="114" w16cid:durableId="1753310538">
    <w:abstractNumId w:val="28"/>
  </w:num>
  <w:num w:numId="115" w16cid:durableId="1410611684">
    <w:abstractNumId w:val="13"/>
  </w:num>
  <w:num w:numId="116" w16cid:durableId="27264999">
    <w:abstractNumId w:val="258"/>
  </w:num>
  <w:num w:numId="117" w16cid:durableId="1820925631">
    <w:abstractNumId w:val="35"/>
  </w:num>
  <w:num w:numId="118" w16cid:durableId="1957713109">
    <w:abstractNumId w:val="86"/>
  </w:num>
  <w:num w:numId="119" w16cid:durableId="460001299">
    <w:abstractNumId w:val="160"/>
  </w:num>
  <w:num w:numId="120" w16cid:durableId="733049722">
    <w:abstractNumId w:val="208"/>
  </w:num>
  <w:num w:numId="121" w16cid:durableId="924070123">
    <w:abstractNumId w:val="54"/>
  </w:num>
  <w:num w:numId="122" w16cid:durableId="411859337">
    <w:abstractNumId w:val="79"/>
  </w:num>
  <w:num w:numId="123" w16cid:durableId="1730373927">
    <w:abstractNumId w:val="111"/>
  </w:num>
  <w:num w:numId="124" w16cid:durableId="53354947">
    <w:abstractNumId w:val="224"/>
  </w:num>
  <w:num w:numId="125" w16cid:durableId="756948704">
    <w:abstractNumId w:val="218"/>
  </w:num>
  <w:num w:numId="126" w16cid:durableId="1319268041">
    <w:abstractNumId w:val="114"/>
  </w:num>
  <w:num w:numId="127" w16cid:durableId="1263877637">
    <w:abstractNumId w:val="6"/>
  </w:num>
  <w:num w:numId="128" w16cid:durableId="86736232">
    <w:abstractNumId w:val="109"/>
  </w:num>
  <w:num w:numId="129" w16cid:durableId="795180459">
    <w:abstractNumId w:val="278"/>
  </w:num>
  <w:num w:numId="130" w16cid:durableId="432675623">
    <w:abstractNumId w:val="76"/>
  </w:num>
  <w:num w:numId="131" w16cid:durableId="1784417226">
    <w:abstractNumId w:val="260"/>
  </w:num>
  <w:num w:numId="132" w16cid:durableId="768894640">
    <w:abstractNumId w:val="132"/>
  </w:num>
  <w:num w:numId="133" w16cid:durableId="1158381519">
    <w:abstractNumId w:val="148"/>
  </w:num>
  <w:num w:numId="134" w16cid:durableId="1911041447">
    <w:abstractNumId w:val="197"/>
  </w:num>
  <w:num w:numId="135" w16cid:durableId="1804156772">
    <w:abstractNumId w:val="92"/>
  </w:num>
  <w:num w:numId="136" w16cid:durableId="1256137744">
    <w:abstractNumId w:val="150"/>
  </w:num>
  <w:num w:numId="137" w16cid:durableId="1604533590">
    <w:abstractNumId w:val="61"/>
  </w:num>
  <w:num w:numId="138" w16cid:durableId="1314063607">
    <w:abstractNumId w:val="266"/>
  </w:num>
  <w:num w:numId="139" w16cid:durableId="202183299">
    <w:abstractNumId w:val="118"/>
  </w:num>
  <w:num w:numId="140" w16cid:durableId="411464693">
    <w:abstractNumId w:val="154"/>
  </w:num>
  <w:num w:numId="141" w16cid:durableId="401955234">
    <w:abstractNumId w:val="240"/>
  </w:num>
  <w:num w:numId="142" w16cid:durableId="1556963167">
    <w:abstractNumId w:val="42"/>
  </w:num>
  <w:num w:numId="143" w16cid:durableId="1116173080">
    <w:abstractNumId w:val="191"/>
  </w:num>
  <w:num w:numId="144" w16cid:durableId="874579422">
    <w:abstractNumId w:val="248"/>
  </w:num>
  <w:num w:numId="145" w16cid:durableId="274287074">
    <w:abstractNumId w:val="264"/>
  </w:num>
  <w:num w:numId="146" w16cid:durableId="125198049">
    <w:abstractNumId w:val="226"/>
  </w:num>
  <w:num w:numId="147" w16cid:durableId="1227954838">
    <w:abstractNumId w:val="268"/>
  </w:num>
  <w:num w:numId="148" w16cid:durableId="1979652493">
    <w:abstractNumId w:val="68"/>
  </w:num>
  <w:num w:numId="149" w16cid:durableId="2047562112">
    <w:abstractNumId w:val="70"/>
  </w:num>
  <w:num w:numId="150" w16cid:durableId="1623078742">
    <w:abstractNumId w:val="5"/>
  </w:num>
  <w:num w:numId="151" w16cid:durableId="1396080516">
    <w:abstractNumId w:val="257"/>
  </w:num>
  <w:num w:numId="152" w16cid:durableId="1488790517">
    <w:abstractNumId w:val="26"/>
  </w:num>
  <w:num w:numId="153" w16cid:durableId="1120297871">
    <w:abstractNumId w:val="96"/>
  </w:num>
  <w:num w:numId="154" w16cid:durableId="1475371204">
    <w:abstractNumId w:val="243"/>
  </w:num>
  <w:num w:numId="155" w16cid:durableId="602684413">
    <w:abstractNumId w:val="259"/>
  </w:num>
  <w:num w:numId="156" w16cid:durableId="1098022169">
    <w:abstractNumId w:val="211"/>
  </w:num>
  <w:num w:numId="157" w16cid:durableId="412431958">
    <w:abstractNumId w:val="202"/>
  </w:num>
  <w:num w:numId="158" w16cid:durableId="2073917273">
    <w:abstractNumId w:val="55"/>
  </w:num>
  <w:num w:numId="159" w16cid:durableId="2017077367">
    <w:abstractNumId w:val="69"/>
  </w:num>
  <w:num w:numId="160" w16cid:durableId="554656722">
    <w:abstractNumId w:val="245"/>
  </w:num>
  <w:num w:numId="161" w16cid:durableId="319431015">
    <w:abstractNumId w:val="22"/>
  </w:num>
  <w:num w:numId="162" w16cid:durableId="1749502123">
    <w:abstractNumId w:val="117"/>
  </w:num>
  <w:num w:numId="163" w16cid:durableId="510219987">
    <w:abstractNumId w:val="122"/>
  </w:num>
  <w:num w:numId="164" w16cid:durableId="568421947">
    <w:abstractNumId w:val="133"/>
  </w:num>
  <w:num w:numId="165" w16cid:durableId="1058240483">
    <w:abstractNumId w:val="65"/>
  </w:num>
  <w:num w:numId="166" w16cid:durableId="1271207251">
    <w:abstractNumId w:val="231"/>
  </w:num>
  <w:num w:numId="167" w16cid:durableId="1745642207">
    <w:abstractNumId w:val="80"/>
  </w:num>
  <w:num w:numId="168" w16cid:durableId="1534726260">
    <w:abstractNumId w:val="161"/>
  </w:num>
  <w:num w:numId="169" w16cid:durableId="1804888773">
    <w:abstractNumId w:val="199"/>
  </w:num>
  <w:num w:numId="170" w16cid:durableId="502430483">
    <w:abstractNumId w:val="20"/>
  </w:num>
  <w:num w:numId="171" w16cid:durableId="1612591623">
    <w:abstractNumId w:val="106"/>
  </w:num>
  <w:num w:numId="172" w16cid:durableId="1057512645">
    <w:abstractNumId w:val="170"/>
  </w:num>
  <w:num w:numId="173" w16cid:durableId="142040430">
    <w:abstractNumId w:val="207"/>
  </w:num>
  <w:num w:numId="174" w16cid:durableId="615873223">
    <w:abstractNumId w:val="121"/>
  </w:num>
  <w:num w:numId="175" w16cid:durableId="1819227550">
    <w:abstractNumId w:val="185"/>
  </w:num>
  <w:num w:numId="176" w16cid:durableId="276178756">
    <w:abstractNumId w:val="177"/>
  </w:num>
  <w:num w:numId="177" w16cid:durableId="1772773893">
    <w:abstractNumId w:val="144"/>
  </w:num>
  <w:num w:numId="178" w16cid:durableId="1965691592">
    <w:abstractNumId w:val="164"/>
  </w:num>
  <w:num w:numId="179" w16cid:durableId="454835984">
    <w:abstractNumId w:val="8"/>
  </w:num>
  <w:num w:numId="180" w16cid:durableId="2041004143">
    <w:abstractNumId w:val="176"/>
  </w:num>
  <w:num w:numId="181" w16cid:durableId="1288850109">
    <w:abstractNumId w:val="108"/>
  </w:num>
  <w:num w:numId="182" w16cid:durableId="1125847663">
    <w:abstractNumId w:val="281"/>
  </w:num>
  <w:num w:numId="183" w16cid:durableId="1552230193">
    <w:abstractNumId w:val="275"/>
  </w:num>
  <w:num w:numId="184" w16cid:durableId="2085687737">
    <w:abstractNumId w:val="171"/>
  </w:num>
  <w:num w:numId="185" w16cid:durableId="1813520918">
    <w:abstractNumId w:val="135"/>
  </w:num>
  <w:num w:numId="186" w16cid:durableId="2134909119">
    <w:abstractNumId w:val="215"/>
  </w:num>
  <w:num w:numId="187" w16cid:durableId="1529874325">
    <w:abstractNumId w:val="249"/>
  </w:num>
  <w:num w:numId="188" w16cid:durableId="1268122494">
    <w:abstractNumId w:val="193"/>
  </w:num>
  <w:num w:numId="189" w16cid:durableId="308244712">
    <w:abstractNumId w:val="229"/>
  </w:num>
  <w:num w:numId="190" w16cid:durableId="1546747382">
    <w:abstractNumId w:val="237"/>
  </w:num>
  <w:num w:numId="191" w16cid:durableId="742067096">
    <w:abstractNumId w:val="31"/>
  </w:num>
  <w:num w:numId="192" w16cid:durableId="2017802338">
    <w:abstractNumId w:val="195"/>
  </w:num>
  <w:num w:numId="193" w16cid:durableId="1725326670">
    <w:abstractNumId w:val="168"/>
  </w:num>
  <w:num w:numId="194" w16cid:durableId="1484929022">
    <w:abstractNumId w:val="139"/>
  </w:num>
  <w:num w:numId="195" w16cid:durableId="636105639">
    <w:abstractNumId w:val="179"/>
  </w:num>
  <w:num w:numId="196" w16cid:durableId="231280297">
    <w:abstractNumId w:val="59"/>
  </w:num>
  <w:num w:numId="197" w16cid:durableId="1848787764">
    <w:abstractNumId w:val="233"/>
  </w:num>
  <w:num w:numId="198" w16cid:durableId="520629265">
    <w:abstractNumId w:val="256"/>
  </w:num>
  <w:num w:numId="199" w16cid:durableId="202714958">
    <w:abstractNumId w:val="178"/>
  </w:num>
  <w:num w:numId="200" w16cid:durableId="1980260175">
    <w:abstractNumId w:val="175"/>
  </w:num>
  <w:num w:numId="201" w16cid:durableId="2039037358">
    <w:abstractNumId w:val="82"/>
  </w:num>
  <w:num w:numId="202" w16cid:durableId="793526538">
    <w:abstractNumId w:val="277"/>
  </w:num>
  <w:num w:numId="203" w16cid:durableId="1530606684">
    <w:abstractNumId w:val="78"/>
  </w:num>
  <w:num w:numId="204" w16cid:durableId="1417751848">
    <w:abstractNumId w:val="19"/>
  </w:num>
  <w:num w:numId="205" w16cid:durableId="212544734">
    <w:abstractNumId w:val="172"/>
  </w:num>
  <w:num w:numId="206" w16cid:durableId="1500774878">
    <w:abstractNumId w:val="196"/>
  </w:num>
  <w:num w:numId="207" w16cid:durableId="1011878336">
    <w:abstractNumId w:val="47"/>
  </w:num>
  <w:num w:numId="208" w16cid:durableId="1841702419">
    <w:abstractNumId w:val="112"/>
  </w:num>
  <w:num w:numId="209" w16cid:durableId="454299379">
    <w:abstractNumId w:val="2"/>
  </w:num>
  <w:num w:numId="210" w16cid:durableId="1382973276">
    <w:abstractNumId w:val="167"/>
  </w:num>
  <w:num w:numId="211" w16cid:durableId="1569339411">
    <w:abstractNumId w:val="162"/>
  </w:num>
  <w:num w:numId="212" w16cid:durableId="1640573567">
    <w:abstractNumId w:val="14"/>
  </w:num>
  <w:num w:numId="213" w16cid:durableId="765344319">
    <w:abstractNumId w:val="206"/>
  </w:num>
  <w:num w:numId="214" w16cid:durableId="1785927246">
    <w:abstractNumId w:val="255"/>
  </w:num>
  <w:num w:numId="215" w16cid:durableId="1700817938">
    <w:abstractNumId w:val="34"/>
  </w:num>
  <w:num w:numId="216" w16cid:durableId="1925724805">
    <w:abstractNumId w:val="103"/>
  </w:num>
  <w:num w:numId="217" w16cid:durableId="168716083">
    <w:abstractNumId w:val="276"/>
  </w:num>
  <w:num w:numId="218" w16cid:durableId="1024015940">
    <w:abstractNumId w:val="152"/>
  </w:num>
  <w:num w:numId="219" w16cid:durableId="516696863">
    <w:abstractNumId w:val="159"/>
  </w:num>
  <w:num w:numId="220" w16cid:durableId="1463578617">
    <w:abstractNumId w:val="41"/>
  </w:num>
  <w:num w:numId="221" w16cid:durableId="1516456494">
    <w:abstractNumId w:val="236"/>
  </w:num>
  <w:num w:numId="222" w16cid:durableId="1173452269">
    <w:abstractNumId w:val="157"/>
  </w:num>
  <w:num w:numId="223" w16cid:durableId="2051566593">
    <w:abstractNumId w:val="131"/>
  </w:num>
  <w:num w:numId="224" w16cid:durableId="1527938509">
    <w:abstractNumId w:val="138"/>
  </w:num>
  <w:num w:numId="225" w16cid:durableId="962544187">
    <w:abstractNumId w:val="99"/>
  </w:num>
  <w:num w:numId="226" w16cid:durableId="1004817887">
    <w:abstractNumId w:val="247"/>
  </w:num>
  <w:num w:numId="227" w16cid:durableId="784429117">
    <w:abstractNumId w:val="188"/>
  </w:num>
  <w:num w:numId="228" w16cid:durableId="1155491155">
    <w:abstractNumId w:val="36"/>
  </w:num>
  <w:num w:numId="229" w16cid:durableId="1103040319">
    <w:abstractNumId w:val="252"/>
  </w:num>
  <w:num w:numId="230" w16cid:durableId="1405908304">
    <w:abstractNumId w:val="187"/>
  </w:num>
  <w:num w:numId="231" w16cid:durableId="2005936841">
    <w:abstractNumId w:val="173"/>
  </w:num>
  <w:num w:numId="232" w16cid:durableId="2146316090">
    <w:abstractNumId w:val="63"/>
  </w:num>
  <w:num w:numId="233" w16cid:durableId="924219738">
    <w:abstractNumId w:val="128"/>
  </w:num>
  <w:num w:numId="234" w16cid:durableId="165219654">
    <w:abstractNumId w:val="104"/>
  </w:num>
  <w:num w:numId="235" w16cid:durableId="1884244019">
    <w:abstractNumId w:val="89"/>
  </w:num>
  <w:num w:numId="236" w16cid:durableId="2043363773">
    <w:abstractNumId w:val="32"/>
  </w:num>
  <w:num w:numId="237" w16cid:durableId="717704930">
    <w:abstractNumId w:val="146"/>
  </w:num>
  <w:num w:numId="238" w16cid:durableId="1788892197">
    <w:abstractNumId w:val="94"/>
  </w:num>
  <w:num w:numId="239" w16cid:durableId="279529696">
    <w:abstractNumId w:val="265"/>
  </w:num>
  <w:num w:numId="240" w16cid:durableId="1842965075">
    <w:abstractNumId w:val="64"/>
  </w:num>
  <w:num w:numId="241" w16cid:durableId="1572082460">
    <w:abstractNumId w:val="153"/>
  </w:num>
  <w:num w:numId="242" w16cid:durableId="1457218561">
    <w:abstractNumId w:val="126"/>
  </w:num>
  <w:num w:numId="243" w16cid:durableId="1134367410">
    <w:abstractNumId w:val="4"/>
  </w:num>
  <w:num w:numId="244" w16cid:durableId="29108559">
    <w:abstractNumId w:val="169"/>
  </w:num>
  <w:num w:numId="245" w16cid:durableId="1458135591">
    <w:abstractNumId w:val="271"/>
  </w:num>
  <w:num w:numId="246" w16cid:durableId="1014307488">
    <w:abstractNumId w:val="214"/>
  </w:num>
  <w:num w:numId="247" w16cid:durableId="1417746983">
    <w:abstractNumId w:val="220"/>
  </w:num>
  <w:num w:numId="248" w16cid:durableId="387608954">
    <w:abstractNumId w:val="242"/>
  </w:num>
  <w:num w:numId="249" w16cid:durableId="434525241">
    <w:abstractNumId w:val="100"/>
  </w:num>
  <w:num w:numId="250" w16cid:durableId="837766996">
    <w:abstractNumId w:val="18"/>
  </w:num>
  <w:num w:numId="251" w16cid:durableId="537203648">
    <w:abstractNumId w:val="225"/>
  </w:num>
  <w:num w:numId="252" w16cid:durableId="1177576378">
    <w:abstractNumId w:val="274"/>
  </w:num>
  <w:num w:numId="253" w16cid:durableId="1631126286">
    <w:abstractNumId w:val="147"/>
  </w:num>
  <w:num w:numId="254" w16cid:durableId="357389833">
    <w:abstractNumId w:val="91"/>
  </w:num>
  <w:num w:numId="255" w16cid:durableId="1401755342">
    <w:abstractNumId w:val="75"/>
  </w:num>
  <w:num w:numId="256" w16cid:durableId="469400720">
    <w:abstractNumId w:val="81"/>
  </w:num>
  <w:num w:numId="257" w16cid:durableId="87502864">
    <w:abstractNumId w:val="251"/>
  </w:num>
  <w:num w:numId="258" w16cid:durableId="711268130">
    <w:abstractNumId w:val="228"/>
  </w:num>
  <w:num w:numId="259" w16cid:durableId="181285195">
    <w:abstractNumId w:val="88"/>
  </w:num>
  <w:num w:numId="260" w16cid:durableId="2011785050">
    <w:abstractNumId w:val="56"/>
  </w:num>
  <w:num w:numId="261" w16cid:durableId="1253320408">
    <w:abstractNumId w:val="280"/>
  </w:num>
  <w:num w:numId="262" w16cid:durableId="74788847">
    <w:abstractNumId w:val="12"/>
  </w:num>
  <w:num w:numId="263" w16cid:durableId="2043164191">
    <w:abstractNumId w:val="163"/>
  </w:num>
  <w:num w:numId="264" w16cid:durableId="964654453">
    <w:abstractNumId w:val="21"/>
  </w:num>
  <w:num w:numId="265" w16cid:durableId="1901289562">
    <w:abstractNumId w:val="212"/>
  </w:num>
  <w:num w:numId="266" w16cid:durableId="1740057739">
    <w:abstractNumId w:val="205"/>
  </w:num>
  <w:num w:numId="267" w16cid:durableId="2079478579">
    <w:abstractNumId w:val="194"/>
  </w:num>
  <w:num w:numId="268" w16cid:durableId="1015496530">
    <w:abstractNumId w:val="235"/>
  </w:num>
  <w:num w:numId="269" w16cid:durableId="148061654">
    <w:abstractNumId w:val="25"/>
  </w:num>
  <w:num w:numId="270" w16cid:durableId="504170791">
    <w:abstractNumId w:val="30"/>
  </w:num>
  <w:num w:numId="271" w16cid:durableId="1729762848">
    <w:abstractNumId w:val="210"/>
  </w:num>
  <w:num w:numId="272" w16cid:durableId="724261126">
    <w:abstractNumId w:val="97"/>
  </w:num>
  <w:num w:numId="273" w16cid:durableId="2000426179">
    <w:abstractNumId w:val="141"/>
  </w:num>
  <w:num w:numId="274" w16cid:durableId="7338951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2019581695">
    <w:abstractNumId w:val="227"/>
  </w:num>
  <w:num w:numId="276" w16cid:durableId="1850561848">
    <w:abstractNumId w:val="198"/>
  </w:num>
  <w:num w:numId="277" w16cid:durableId="196893075">
    <w:abstractNumId w:val="60"/>
  </w:num>
  <w:num w:numId="278" w16cid:durableId="759909301">
    <w:abstractNumId w:val="282"/>
  </w:num>
  <w:num w:numId="279" w16cid:durableId="1921597723">
    <w:abstractNumId w:val="238"/>
  </w:num>
  <w:num w:numId="280" w16cid:durableId="747653176">
    <w:abstractNumId w:val="127"/>
  </w:num>
  <w:num w:numId="281" w16cid:durableId="487090060">
    <w:abstractNumId w:val="273"/>
  </w:num>
  <w:num w:numId="282" w16cid:durableId="389155948">
    <w:abstractNumId w:val="253"/>
  </w:num>
  <w:num w:numId="283" w16cid:durableId="1185941451">
    <w:abstractNumId w:val="87"/>
  </w:num>
  <w:num w:numId="284" w16cid:durableId="108400517">
    <w:abstractNumId w:val="267"/>
  </w:num>
  <w:num w:numId="285" w16cid:durableId="995914253">
    <w:abstractNumId w:val="183"/>
  </w:num>
  <w:num w:numId="286" w16cid:durableId="46539642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53851517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43328831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129479732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57851770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16cid:durableId="103103267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72037249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46963978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210182819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32697478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18332444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16cid:durableId="20672332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203641610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14516853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182565873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92695623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50721334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57259126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191943667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155893186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46230487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03750446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63023838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16cid:durableId="118011807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59683785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16cid:durableId="189820355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190849721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197494576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169302398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213320299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16cid:durableId="10971082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173874818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16cid:durableId="83565271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207114557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74148556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16cid:durableId="46133942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93397230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197448414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52548527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82150879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1072700274">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16cid:durableId="5813839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1948300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208406478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154817619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210515160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104768066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607075542">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110554077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179694179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2536958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31615562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186791097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826028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1783768999">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2117016375">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47891183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45682678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922174187">
    <w:abstractNumId w:val="219"/>
  </w:num>
  <w:numIdMacAtCleanup w:val="3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hyphenationZone w:val="425"/>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4DB"/>
    <w:rsid w:val="00005096"/>
    <w:rsid w:val="00013378"/>
    <w:rsid w:val="00015D32"/>
    <w:rsid w:val="00017A43"/>
    <w:rsid w:val="00022237"/>
    <w:rsid w:val="00025DA1"/>
    <w:rsid w:val="0002688A"/>
    <w:rsid w:val="0002741E"/>
    <w:rsid w:val="000319D2"/>
    <w:rsid w:val="000320C2"/>
    <w:rsid w:val="00034EFE"/>
    <w:rsid w:val="000379B4"/>
    <w:rsid w:val="00041540"/>
    <w:rsid w:val="0004705B"/>
    <w:rsid w:val="00050077"/>
    <w:rsid w:val="00051AE6"/>
    <w:rsid w:val="000577E9"/>
    <w:rsid w:val="00062DFB"/>
    <w:rsid w:val="0006502C"/>
    <w:rsid w:val="0007066B"/>
    <w:rsid w:val="00074EDD"/>
    <w:rsid w:val="00076A6A"/>
    <w:rsid w:val="000832F4"/>
    <w:rsid w:val="0008751F"/>
    <w:rsid w:val="00091D1B"/>
    <w:rsid w:val="000933AA"/>
    <w:rsid w:val="0009377E"/>
    <w:rsid w:val="0009404E"/>
    <w:rsid w:val="00095769"/>
    <w:rsid w:val="000A7444"/>
    <w:rsid w:val="000C6C80"/>
    <w:rsid w:val="000C7383"/>
    <w:rsid w:val="000C7F7A"/>
    <w:rsid w:val="000D05DB"/>
    <w:rsid w:val="000D491A"/>
    <w:rsid w:val="000D7EA9"/>
    <w:rsid w:val="000E26FA"/>
    <w:rsid w:val="000E6243"/>
    <w:rsid w:val="000F16A4"/>
    <w:rsid w:val="00103C3F"/>
    <w:rsid w:val="00107FDC"/>
    <w:rsid w:val="00112308"/>
    <w:rsid w:val="0011241A"/>
    <w:rsid w:val="00116367"/>
    <w:rsid w:val="001206B6"/>
    <w:rsid w:val="00121631"/>
    <w:rsid w:val="00133B0D"/>
    <w:rsid w:val="001400A0"/>
    <w:rsid w:val="00140524"/>
    <w:rsid w:val="001422DF"/>
    <w:rsid w:val="00144034"/>
    <w:rsid w:val="001518F3"/>
    <w:rsid w:val="00152918"/>
    <w:rsid w:val="00153331"/>
    <w:rsid w:val="00156ACB"/>
    <w:rsid w:val="001646C6"/>
    <w:rsid w:val="001664E9"/>
    <w:rsid w:val="00174033"/>
    <w:rsid w:val="00176A62"/>
    <w:rsid w:val="00180E0E"/>
    <w:rsid w:val="001858B1"/>
    <w:rsid w:val="00190435"/>
    <w:rsid w:val="001909B6"/>
    <w:rsid w:val="0019310C"/>
    <w:rsid w:val="00193E19"/>
    <w:rsid w:val="0019455F"/>
    <w:rsid w:val="00194638"/>
    <w:rsid w:val="001A3340"/>
    <w:rsid w:val="001A3CF7"/>
    <w:rsid w:val="001A468F"/>
    <w:rsid w:val="001A67BE"/>
    <w:rsid w:val="001C0ADD"/>
    <w:rsid w:val="001C25CB"/>
    <w:rsid w:val="001C36F3"/>
    <w:rsid w:val="001C3C47"/>
    <w:rsid w:val="001C5735"/>
    <w:rsid w:val="001D2AEE"/>
    <w:rsid w:val="001D338C"/>
    <w:rsid w:val="001E1AAB"/>
    <w:rsid w:val="001E3797"/>
    <w:rsid w:val="001E4AD6"/>
    <w:rsid w:val="001F600C"/>
    <w:rsid w:val="001F60BD"/>
    <w:rsid w:val="00200C19"/>
    <w:rsid w:val="00204287"/>
    <w:rsid w:val="00204E3C"/>
    <w:rsid w:val="00207570"/>
    <w:rsid w:val="002127D9"/>
    <w:rsid w:val="002159E7"/>
    <w:rsid w:val="0021690F"/>
    <w:rsid w:val="00234737"/>
    <w:rsid w:val="002369C1"/>
    <w:rsid w:val="00237826"/>
    <w:rsid w:val="00242093"/>
    <w:rsid w:val="00243ECD"/>
    <w:rsid w:val="002445DF"/>
    <w:rsid w:val="00253346"/>
    <w:rsid w:val="00254281"/>
    <w:rsid w:val="00265EBE"/>
    <w:rsid w:val="0027604C"/>
    <w:rsid w:val="00277A73"/>
    <w:rsid w:val="00280ECD"/>
    <w:rsid w:val="00283F84"/>
    <w:rsid w:val="00285D58"/>
    <w:rsid w:val="002917D4"/>
    <w:rsid w:val="00293E9C"/>
    <w:rsid w:val="002A4C83"/>
    <w:rsid w:val="002A5AD0"/>
    <w:rsid w:val="002A6E25"/>
    <w:rsid w:val="002B0F06"/>
    <w:rsid w:val="002B603D"/>
    <w:rsid w:val="002C1ECF"/>
    <w:rsid w:val="002C2A94"/>
    <w:rsid w:val="002C6064"/>
    <w:rsid w:val="002D14FB"/>
    <w:rsid w:val="002D5F82"/>
    <w:rsid w:val="002F0688"/>
    <w:rsid w:val="002F16A5"/>
    <w:rsid w:val="002F42D2"/>
    <w:rsid w:val="00304EC7"/>
    <w:rsid w:val="00313CC3"/>
    <w:rsid w:val="0031569F"/>
    <w:rsid w:val="00315D94"/>
    <w:rsid w:val="00322941"/>
    <w:rsid w:val="003251C4"/>
    <w:rsid w:val="00332E74"/>
    <w:rsid w:val="00336BDD"/>
    <w:rsid w:val="00336C2A"/>
    <w:rsid w:val="003423DB"/>
    <w:rsid w:val="00343DDC"/>
    <w:rsid w:val="0034583A"/>
    <w:rsid w:val="00346F01"/>
    <w:rsid w:val="00346FCA"/>
    <w:rsid w:val="00351D96"/>
    <w:rsid w:val="003734E7"/>
    <w:rsid w:val="003760F6"/>
    <w:rsid w:val="0037737A"/>
    <w:rsid w:val="003812BA"/>
    <w:rsid w:val="00382E55"/>
    <w:rsid w:val="003831D6"/>
    <w:rsid w:val="00383A13"/>
    <w:rsid w:val="003878C5"/>
    <w:rsid w:val="00387A99"/>
    <w:rsid w:val="003A1E8A"/>
    <w:rsid w:val="003A25DE"/>
    <w:rsid w:val="003A33E6"/>
    <w:rsid w:val="003B2892"/>
    <w:rsid w:val="003B45EF"/>
    <w:rsid w:val="003B55C6"/>
    <w:rsid w:val="003B582D"/>
    <w:rsid w:val="003C013E"/>
    <w:rsid w:val="003C0171"/>
    <w:rsid w:val="003C15F6"/>
    <w:rsid w:val="003C3A5F"/>
    <w:rsid w:val="003C53D4"/>
    <w:rsid w:val="003D1507"/>
    <w:rsid w:val="003E163E"/>
    <w:rsid w:val="003E4A98"/>
    <w:rsid w:val="003E4B18"/>
    <w:rsid w:val="003F0970"/>
    <w:rsid w:val="003F2882"/>
    <w:rsid w:val="003F66E7"/>
    <w:rsid w:val="00406179"/>
    <w:rsid w:val="00411830"/>
    <w:rsid w:val="00411DF9"/>
    <w:rsid w:val="004160FD"/>
    <w:rsid w:val="00427157"/>
    <w:rsid w:val="004424C9"/>
    <w:rsid w:val="00443373"/>
    <w:rsid w:val="00443B3A"/>
    <w:rsid w:val="004500C0"/>
    <w:rsid w:val="00453AB4"/>
    <w:rsid w:val="00456480"/>
    <w:rsid w:val="00457A67"/>
    <w:rsid w:val="004633A3"/>
    <w:rsid w:val="004642BC"/>
    <w:rsid w:val="0046458D"/>
    <w:rsid w:val="00465136"/>
    <w:rsid w:val="00467979"/>
    <w:rsid w:val="00480B40"/>
    <w:rsid w:val="0048322A"/>
    <w:rsid w:val="00484C1A"/>
    <w:rsid w:val="004903E6"/>
    <w:rsid w:val="00491093"/>
    <w:rsid w:val="004923A4"/>
    <w:rsid w:val="00495C3C"/>
    <w:rsid w:val="004A2CCE"/>
    <w:rsid w:val="004A7921"/>
    <w:rsid w:val="004C7A0C"/>
    <w:rsid w:val="004C7D28"/>
    <w:rsid w:val="004C7DB5"/>
    <w:rsid w:val="004D2088"/>
    <w:rsid w:val="004D2B67"/>
    <w:rsid w:val="004D2B96"/>
    <w:rsid w:val="004D78DA"/>
    <w:rsid w:val="004E1579"/>
    <w:rsid w:val="004E3E37"/>
    <w:rsid w:val="004E4441"/>
    <w:rsid w:val="004E72A6"/>
    <w:rsid w:val="00501153"/>
    <w:rsid w:val="0050280E"/>
    <w:rsid w:val="00502E7E"/>
    <w:rsid w:val="00503736"/>
    <w:rsid w:val="00510726"/>
    <w:rsid w:val="00513AB1"/>
    <w:rsid w:val="00513BD1"/>
    <w:rsid w:val="005152D1"/>
    <w:rsid w:val="00521F6D"/>
    <w:rsid w:val="00532C1F"/>
    <w:rsid w:val="0053771C"/>
    <w:rsid w:val="00537B7E"/>
    <w:rsid w:val="00542FB6"/>
    <w:rsid w:val="00550A76"/>
    <w:rsid w:val="005537C3"/>
    <w:rsid w:val="005579DE"/>
    <w:rsid w:val="00560268"/>
    <w:rsid w:val="00560F02"/>
    <w:rsid w:val="005668E6"/>
    <w:rsid w:val="00567D5A"/>
    <w:rsid w:val="005705C8"/>
    <w:rsid w:val="00570F6B"/>
    <w:rsid w:val="00572590"/>
    <w:rsid w:val="00576DF9"/>
    <w:rsid w:val="005807FA"/>
    <w:rsid w:val="00582954"/>
    <w:rsid w:val="005852D5"/>
    <w:rsid w:val="00590057"/>
    <w:rsid w:val="00596794"/>
    <w:rsid w:val="005A4E4B"/>
    <w:rsid w:val="005C384A"/>
    <w:rsid w:val="005C52DF"/>
    <w:rsid w:val="005C5B81"/>
    <w:rsid w:val="005C5EDE"/>
    <w:rsid w:val="005C7672"/>
    <w:rsid w:val="005D3BD8"/>
    <w:rsid w:val="005E1557"/>
    <w:rsid w:val="005E494F"/>
    <w:rsid w:val="0060035F"/>
    <w:rsid w:val="006049C1"/>
    <w:rsid w:val="006075BF"/>
    <w:rsid w:val="00615F0E"/>
    <w:rsid w:val="0061644C"/>
    <w:rsid w:val="0061758D"/>
    <w:rsid w:val="00627131"/>
    <w:rsid w:val="00627533"/>
    <w:rsid w:val="006359C3"/>
    <w:rsid w:val="00636A20"/>
    <w:rsid w:val="00636B9C"/>
    <w:rsid w:val="00637BA1"/>
    <w:rsid w:val="00647170"/>
    <w:rsid w:val="00661598"/>
    <w:rsid w:val="00661D19"/>
    <w:rsid w:val="0066488D"/>
    <w:rsid w:val="00664F9A"/>
    <w:rsid w:val="00667F42"/>
    <w:rsid w:val="00672C8E"/>
    <w:rsid w:val="006754BB"/>
    <w:rsid w:val="0068176C"/>
    <w:rsid w:val="00694E38"/>
    <w:rsid w:val="00697869"/>
    <w:rsid w:val="006B710B"/>
    <w:rsid w:val="006C38C0"/>
    <w:rsid w:val="006C5BE9"/>
    <w:rsid w:val="006C5E05"/>
    <w:rsid w:val="006D124B"/>
    <w:rsid w:val="006E1063"/>
    <w:rsid w:val="006E588E"/>
    <w:rsid w:val="006E73B0"/>
    <w:rsid w:val="006F09CC"/>
    <w:rsid w:val="006F0C28"/>
    <w:rsid w:val="006F3306"/>
    <w:rsid w:val="006F748F"/>
    <w:rsid w:val="007037E8"/>
    <w:rsid w:val="007047FA"/>
    <w:rsid w:val="00704C41"/>
    <w:rsid w:val="00716325"/>
    <w:rsid w:val="00716AF7"/>
    <w:rsid w:val="00727859"/>
    <w:rsid w:val="0073129D"/>
    <w:rsid w:val="007422BA"/>
    <w:rsid w:val="00742C09"/>
    <w:rsid w:val="00755FE4"/>
    <w:rsid w:val="0076248F"/>
    <w:rsid w:val="00764D55"/>
    <w:rsid w:val="00766258"/>
    <w:rsid w:val="007712EA"/>
    <w:rsid w:val="00771A0E"/>
    <w:rsid w:val="007758FD"/>
    <w:rsid w:val="007763F6"/>
    <w:rsid w:val="00780370"/>
    <w:rsid w:val="00783013"/>
    <w:rsid w:val="00796685"/>
    <w:rsid w:val="007A088C"/>
    <w:rsid w:val="007A1005"/>
    <w:rsid w:val="007A2B38"/>
    <w:rsid w:val="007B1E6D"/>
    <w:rsid w:val="007B2DEB"/>
    <w:rsid w:val="007B3AA9"/>
    <w:rsid w:val="007C062E"/>
    <w:rsid w:val="007D452F"/>
    <w:rsid w:val="007D4D3E"/>
    <w:rsid w:val="007D588E"/>
    <w:rsid w:val="007E1A82"/>
    <w:rsid w:val="007E3A44"/>
    <w:rsid w:val="007E4898"/>
    <w:rsid w:val="007E68BE"/>
    <w:rsid w:val="007E7D2C"/>
    <w:rsid w:val="007F1C58"/>
    <w:rsid w:val="007F4ADD"/>
    <w:rsid w:val="008150B3"/>
    <w:rsid w:val="00831C43"/>
    <w:rsid w:val="008336C7"/>
    <w:rsid w:val="00837C90"/>
    <w:rsid w:val="008416FC"/>
    <w:rsid w:val="00845390"/>
    <w:rsid w:val="00851E3F"/>
    <w:rsid w:val="008520DC"/>
    <w:rsid w:val="008573E8"/>
    <w:rsid w:val="00862EC0"/>
    <w:rsid w:val="00863B5B"/>
    <w:rsid w:val="00870B40"/>
    <w:rsid w:val="0087741F"/>
    <w:rsid w:val="00891647"/>
    <w:rsid w:val="008A3E5B"/>
    <w:rsid w:val="008A4E87"/>
    <w:rsid w:val="008A6193"/>
    <w:rsid w:val="008B0335"/>
    <w:rsid w:val="008B326D"/>
    <w:rsid w:val="008B3A23"/>
    <w:rsid w:val="008B529F"/>
    <w:rsid w:val="008B6802"/>
    <w:rsid w:val="008B6ECC"/>
    <w:rsid w:val="008C3812"/>
    <w:rsid w:val="008C68D9"/>
    <w:rsid w:val="008D0415"/>
    <w:rsid w:val="008D1FFF"/>
    <w:rsid w:val="008D721B"/>
    <w:rsid w:val="008E099B"/>
    <w:rsid w:val="008E0D99"/>
    <w:rsid w:val="008F0762"/>
    <w:rsid w:val="008F0B4F"/>
    <w:rsid w:val="00903FD6"/>
    <w:rsid w:val="009201AB"/>
    <w:rsid w:val="00922E72"/>
    <w:rsid w:val="0093576F"/>
    <w:rsid w:val="00935870"/>
    <w:rsid w:val="00936F2F"/>
    <w:rsid w:val="009442DD"/>
    <w:rsid w:val="00957763"/>
    <w:rsid w:val="00965B9E"/>
    <w:rsid w:val="009730C6"/>
    <w:rsid w:val="00973187"/>
    <w:rsid w:val="009807E0"/>
    <w:rsid w:val="00984E75"/>
    <w:rsid w:val="009867C3"/>
    <w:rsid w:val="00987F23"/>
    <w:rsid w:val="00992FBA"/>
    <w:rsid w:val="009A3DE7"/>
    <w:rsid w:val="009B3637"/>
    <w:rsid w:val="009B4920"/>
    <w:rsid w:val="009B62F1"/>
    <w:rsid w:val="009B7230"/>
    <w:rsid w:val="009B7D9C"/>
    <w:rsid w:val="009C2D56"/>
    <w:rsid w:val="009D2848"/>
    <w:rsid w:val="009E012B"/>
    <w:rsid w:val="009E5B5B"/>
    <w:rsid w:val="009F1ACF"/>
    <w:rsid w:val="009F2B65"/>
    <w:rsid w:val="009F74E9"/>
    <w:rsid w:val="00A02D14"/>
    <w:rsid w:val="00A04A0C"/>
    <w:rsid w:val="00A11C95"/>
    <w:rsid w:val="00A1659C"/>
    <w:rsid w:val="00A16D9F"/>
    <w:rsid w:val="00A24E4B"/>
    <w:rsid w:val="00A25922"/>
    <w:rsid w:val="00A30A10"/>
    <w:rsid w:val="00A31231"/>
    <w:rsid w:val="00A3225A"/>
    <w:rsid w:val="00A33B2D"/>
    <w:rsid w:val="00A3732C"/>
    <w:rsid w:val="00A42C84"/>
    <w:rsid w:val="00A4409A"/>
    <w:rsid w:val="00A4505C"/>
    <w:rsid w:val="00A549E5"/>
    <w:rsid w:val="00A5510C"/>
    <w:rsid w:val="00A56392"/>
    <w:rsid w:val="00A615E3"/>
    <w:rsid w:val="00A61649"/>
    <w:rsid w:val="00A67CD3"/>
    <w:rsid w:val="00A700B0"/>
    <w:rsid w:val="00A72B93"/>
    <w:rsid w:val="00A75DA0"/>
    <w:rsid w:val="00A77713"/>
    <w:rsid w:val="00A909F8"/>
    <w:rsid w:val="00A92A63"/>
    <w:rsid w:val="00A94D80"/>
    <w:rsid w:val="00A95F66"/>
    <w:rsid w:val="00AA70EC"/>
    <w:rsid w:val="00AB6BA9"/>
    <w:rsid w:val="00AC0FED"/>
    <w:rsid w:val="00AC3B35"/>
    <w:rsid w:val="00AC3CA2"/>
    <w:rsid w:val="00AC7F15"/>
    <w:rsid w:val="00AD1DF1"/>
    <w:rsid w:val="00AD3BE7"/>
    <w:rsid w:val="00AD76BB"/>
    <w:rsid w:val="00AE2A86"/>
    <w:rsid w:val="00AE377B"/>
    <w:rsid w:val="00AE44EE"/>
    <w:rsid w:val="00AE4744"/>
    <w:rsid w:val="00AE7E1F"/>
    <w:rsid w:val="00AF1976"/>
    <w:rsid w:val="00B00C61"/>
    <w:rsid w:val="00B013BD"/>
    <w:rsid w:val="00B04615"/>
    <w:rsid w:val="00B07650"/>
    <w:rsid w:val="00B164E6"/>
    <w:rsid w:val="00B2126E"/>
    <w:rsid w:val="00B223A7"/>
    <w:rsid w:val="00B2306B"/>
    <w:rsid w:val="00B276D2"/>
    <w:rsid w:val="00B309D0"/>
    <w:rsid w:val="00B31104"/>
    <w:rsid w:val="00B35459"/>
    <w:rsid w:val="00B40271"/>
    <w:rsid w:val="00B40742"/>
    <w:rsid w:val="00B60898"/>
    <w:rsid w:val="00B64C2A"/>
    <w:rsid w:val="00B67476"/>
    <w:rsid w:val="00B72267"/>
    <w:rsid w:val="00B7512C"/>
    <w:rsid w:val="00B7524B"/>
    <w:rsid w:val="00B806AA"/>
    <w:rsid w:val="00B86681"/>
    <w:rsid w:val="00B86952"/>
    <w:rsid w:val="00B87D5A"/>
    <w:rsid w:val="00B90E09"/>
    <w:rsid w:val="00B94B76"/>
    <w:rsid w:val="00BA0550"/>
    <w:rsid w:val="00BA6031"/>
    <w:rsid w:val="00BA6F5E"/>
    <w:rsid w:val="00BA7090"/>
    <w:rsid w:val="00BB5F42"/>
    <w:rsid w:val="00BC192F"/>
    <w:rsid w:val="00BC3181"/>
    <w:rsid w:val="00BC7E9C"/>
    <w:rsid w:val="00BD3AF0"/>
    <w:rsid w:val="00BE3DD1"/>
    <w:rsid w:val="00BE7A5A"/>
    <w:rsid w:val="00BF56A4"/>
    <w:rsid w:val="00BF793C"/>
    <w:rsid w:val="00C03CEE"/>
    <w:rsid w:val="00C05BBB"/>
    <w:rsid w:val="00C100B2"/>
    <w:rsid w:val="00C125AE"/>
    <w:rsid w:val="00C17FE7"/>
    <w:rsid w:val="00C2166E"/>
    <w:rsid w:val="00C2486F"/>
    <w:rsid w:val="00C26809"/>
    <w:rsid w:val="00C327D7"/>
    <w:rsid w:val="00C36B90"/>
    <w:rsid w:val="00C4799F"/>
    <w:rsid w:val="00C50335"/>
    <w:rsid w:val="00C51FF8"/>
    <w:rsid w:val="00C535B7"/>
    <w:rsid w:val="00C57F3F"/>
    <w:rsid w:val="00C73B89"/>
    <w:rsid w:val="00C80E2D"/>
    <w:rsid w:val="00C81BF7"/>
    <w:rsid w:val="00C82F01"/>
    <w:rsid w:val="00C86456"/>
    <w:rsid w:val="00C94ED0"/>
    <w:rsid w:val="00C97252"/>
    <w:rsid w:val="00CA523A"/>
    <w:rsid w:val="00CA5B93"/>
    <w:rsid w:val="00CB50B7"/>
    <w:rsid w:val="00CB681F"/>
    <w:rsid w:val="00CC35E0"/>
    <w:rsid w:val="00CC7E81"/>
    <w:rsid w:val="00CD47E2"/>
    <w:rsid w:val="00CE5BFF"/>
    <w:rsid w:val="00CE6DBA"/>
    <w:rsid w:val="00CE71E2"/>
    <w:rsid w:val="00CE7D7E"/>
    <w:rsid w:val="00CF4257"/>
    <w:rsid w:val="00D018E2"/>
    <w:rsid w:val="00D0245F"/>
    <w:rsid w:val="00D048C8"/>
    <w:rsid w:val="00D061DA"/>
    <w:rsid w:val="00D075C5"/>
    <w:rsid w:val="00D0777C"/>
    <w:rsid w:val="00D07CEE"/>
    <w:rsid w:val="00D15B9D"/>
    <w:rsid w:val="00D1652E"/>
    <w:rsid w:val="00D20964"/>
    <w:rsid w:val="00D21631"/>
    <w:rsid w:val="00D223DB"/>
    <w:rsid w:val="00D27CE3"/>
    <w:rsid w:val="00D30B85"/>
    <w:rsid w:val="00D30BE7"/>
    <w:rsid w:val="00D31829"/>
    <w:rsid w:val="00D31845"/>
    <w:rsid w:val="00D31A5E"/>
    <w:rsid w:val="00D32BD3"/>
    <w:rsid w:val="00D33A02"/>
    <w:rsid w:val="00D46C20"/>
    <w:rsid w:val="00D51BDE"/>
    <w:rsid w:val="00D51DF2"/>
    <w:rsid w:val="00D55B7A"/>
    <w:rsid w:val="00D65CC6"/>
    <w:rsid w:val="00D67BD7"/>
    <w:rsid w:val="00D71604"/>
    <w:rsid w:val="00D74733"/>
    <w:rsid w:val="00D76708"/>
    <w:rsid w:val="00D9395D"/>
    <w:rsid w:val="00DB1278"/>
    <w:rsid w:val="00DC0932"/>
    <w:rsid w:val="00DC3183"/>
    <w:rsid w:val="00DC7264"/>
    <w:rsid w:val="00DD72A6"/>
    <w:rsid w:val="00DE0804"/>
    <w:rsid w:val="00DE1E39"/>
    <w:rsid w:val="00DE2DC2"/>
    <w:rsid w:val="00DE2EE6"/>
    <w:rsid w:val="00DF3C78"/>
    <w:rsid w:val="00E01C21"/>
    <w:rsid w:val="00E02769"/>
    <w:rsid w:val="00E12CFB"/>
    <w:rsid w:val="00E16E28"/>
    <w:rsid w:val="00E23B6C"/>
    <w:rsid w:val="00E24286"/>
    <w:rsid w:val="00E24855"/>
    <w:rsid w:val="00E24B59"/>
    <w:rsid w:val="00E26944"/>
    <w:rsid w:val="00E26F80"/>
    <w:rsid w:val="00E31209"/>
    <w:rsid w:val="00E32FAC"/>
    <w:rsid w:val="00E41C39"/>
    <w:rsid w:val="00E43070"/>
    <w:rsid w:val="00E53245"/>
    <w:rsid w:val="00E55BF7"/>
    <w:rsid w:val="00E66634"/>
    <w:rsid w:val="00E75276"/>
    <w:rsid w:val="00E77F2B"/>
    <w:rsid w:val="00E82B67"/>
    <w:rsid w:val="00E83DEC"/>
    <w:rsid w:val="00E85E75"/>
    <w:rsid w:val="00E86953"/>
    <w:rsid w:val="00E878F9"/>
    <w:rsid w:val="00E90444"/>
    <w:rsid w:val="00E96B00"/>
    <w:rsid w:val="00EA08A1"/>
    <w:rsid w:val="00EA1F7D"/>
    <w:rsid w:val="00EA4C51"/>
    <w:rsid w:val="00EA6A6E"/>
    <w:rsid w:val="00EB65C2"/>
    <w:rsid w:val="00EC0702"/>
    <w:rsid w:val="00EC5A79"/>
    <w:rsid w:val="00EC6644"/>
    <w:rsid w:val="00ED3A19"/>
    <w:rsid w:val="00ED3F5A"/>
    <w:rsid w:val="00ED4FB7"/>
    <w:rsid w:val="00ED739D"/>
    <w:rsid w:val="00EF3E33"/>
    <w:rsid w:val="00EF4192"/>
    <w:rsid w:val="00EF6AB5"/>
    <w:rsid w:val="00F01313"/>
    <w:rsid w:val="00F13FF0"/>
    <w:rsid w:val="00F14862"/>
    <w:rsid w:val="00F17D6B"/>
    <w:rsid w:val="00F20B19"/>
    <w:rsid w:val="00F210B9"/>
    <w:rsid w:val="00F21169"/>
    <w:rsid w:val="00F237EF"/>
    <w:rsid w:val="00F31011"/>
    <w:rsid w:val="00F36312"/>
    <w:rsid w:val="00F4181E"/>
    <w:rsid w:val="00F42E26"/>
    <w:rsid w:val="00F449D5"/>
    <w:rsid w:val="00F46800"/>
    <w:rsid w:val="00F56FAC"/>
    <w:rsid w:val="00F664DB"/>
    <w:rsid w:val="00F720C8"/>
    <w:rsid w:val="00F72141"/>
    <w:rsid w:val="00F74222"/>
    <w:rsid w:val="00F76ED9"/>
    <w:rsid w:val="00FA4EC9"/>
    <w:rsid w:val="00FA555C"/>
    <w:rsid w:val="00FB01D4"/>
    <w:rsid w:val="00FB382A"/>
    <w:rsid w:val="00FB433D"/>
    <w:rsid w:val="00FB53CB"/>
    <w:rsid w:val="00FB57CF"/>
    <w:rsid w:val="00FB5B43"/>
    <w:rsid w:val="00FB7C0D"/>
    <w:rsid w:val="00FC499C"/>
    <w:rsid w:val="00FC5698"/>
    <w:rsid w:val="00FD3E9C"/>
    <w:rsid w:val="00FE4B8B"/>
    <w:rsid w:val="15FDE5D3"/>
  </w:rsids>
  <m:mathPr>
    <m:mathFont m:val="Cambria Math"/>
    <m:brkBin m:val="before"/>
    <m:brkBinSub m:val="--"/>
    <m:smallFrac m:val="0"/>
    <m:dispDef/>
    <m:lMargin m:val="0"/>
    <m:rMargin m:val="0"/>
    <m:defJc m:val="centerGroup"/>
    <m:wrapIndent m:val="1440"/>
    <m:intLim m:val="subSup"/>
    <m:naryLim m:val="undOvr"/>
  </m:mathPr>
  <w:themeFontLang w:val="es-P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52A51FA7"/>
  <w15:docId w15:val="{D0967E67-4D02-426D-A2BD-05970C9B9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PE"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1"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1"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iPriority="0"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10B9"/>
  </w:style>
  <w:style w:type="paragraph" w:styleId="Ttulo1">
    <w:name w:val="heading 1"/>
    <w:aliases w:val="Rubro (A,C),Rubro (A Car,MT1,título 1,h1,No numbers,69%,Attribute Heading 1,Para1,h11,h12,L1,Section Heading,Head1,Heading apps,Portadilla,H1,Header 1,level 1,Level 1 Head,Titre§,Box Header,level 11,Level 1 Head1,H11,Titre§1,B1,C)1,Título I,t,B"/>
    <w:basedOn w:val="Normal"/>
    <w:next w:val="Normal"/>
    <w:link w:val="Ttulo1Car"/>
    <w:uiPriority w:val="1"/>
    <w:qFormat/>
    <w:rsid w:val="004E507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aliases w:val="SUBTITU NG 1,título 2,2 headline,H.CAP N2,Title 2,Heading,ALK_K2,ITTHEADER2,EPIC2,Puce rond,Titulo 1 (Tittle 2),Apartado"/>
    <w:basedOn w:val="Normal"/>
    <w:next w:val="Normal"/>
    <w:link w:val="Ttulo2Car"/>
    <w:uiPriority w:val="1"/>
    <w:unhideWhenUsed/>
    <w:qFormat/>
    <w:rsid w:val="004E507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aliases w:val="Título nivel 3 Car,Título nivel 3,y,3 bullet,b,H. CAP N3,Title 3,Sub Heading,ALK_K3,D&amp;M3,D&amp;M 3,c"/>
    <w:basedOn w:val="Normal"/>
    <w:next w:val="Normal"/>
    <w:link w:val="Ttulo3Car"/>
    <w:unhideWhenUsed/>
    <w:qFormat/>
    <w:rsid w:val="004E5076"/>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aliases w:val="H. CAP N4,Title 4,Sub Sub Heading,ALK_K4,Alinéa,Chapitre 1.1.1."/>
    <w:basedOn w:val="Normal"/>
    <w:next w:val="Normal"/>
    <w:link w:val="Ttulo4Car"/>
    <w:uiPriority w:val="99"/>
    <w:unhideWhenUsed/>
    <w:qFormat/>
    <w:rsid w:val="004E5076"/>
    <w:pPr>
      <w:keepNext/>
      <w:keepLines/>
      <w:spacing w:before="80" w:after="40"/>
      <w:outlineLvl w:val="3"/>
    </w:pPr>
    <w:rPr>
      <w:rFonts w:eastAsiaTheme="majorEastAsia" w:cstheme="majorBidi"/>
      <w:i/>
      <w:iCs/>
      <w:color w:val="2F5496" w:themeColor="accent1" w:themeShade="BF"/>
    </w:rPr>
  </w:style>
  <w:style w:type="paragraph" w:styleId="Ttulo5">
    <w:name w:val="heading 5"/>
    <w:aliases w:val="H. CAP N5,Title 5,Titre 7+,Titre 7+1,Titre 7+2,Titre 7+3,Titre 7+11,Titre 7+21,Titre 7+4,Titre 7+12,Titre 7+22,Titre 7+31,Titre 7+111,Titre 7+211,Titre 7+5,Titre 7+13,Titre 7+23,Titre 7+6,Titre 7+14,Titre 7+24,Titre 7+7,Titre 7+15,Titre 7+25"/>
    <w:basedOn w:val="Normal"/>
    <w:next w:val="Normal"/>
    <w:link w:val="Ttulo5Car"/>
    <w:uiPriority w:val="9"/>
    <w:unhideWhenUsed/>
    <w:qFormat/>
    <w:rsid w:val="004E5076"/>
    <w:pPr>
      <w:keepNext/>
      <w:keepLines/>
      <w:spacing w:before="80" w:after="40"/>
      <w:outlineLvl w:val="4"/>
    </w:pPr>
    <w:rPr>
      <w:rFonts w:eastAsiaTheme="majorEastAsia" w:cstheme="majorBidi"/>
      <w:color w:val="2F5496" w:themeColor="accent1" w:themeShade="BF"/>
    </w:rPr>
  </w:style>
  <w:style w:type="paragraph" w:styleId="Ttulo6">
    <w:name w:val="heading 6"/>
    <w:aliases w:val="(Inactivo),H.CAP N6,Title 6"/>
    <w:basedOn w:val="Normal"/>
    <w:next w:val="Normal"/>
    <w:link w:val="Ttulo6Car"/>
    <w:uiPriority w:val="9"/>
    <w:unhideWhenUsed/>
    <w:qFormat/>
    <w:rsid w:val="004E5076"/>
    <w:pPr>
      <w:keepNext/>
      <w:keepLines/>
      <w:spacing w:before="40"/>
      <w:outlineLvl w:val="5"/>
    </w:pPr>
    <w:rPr>
      <w:rFonts w:eastAsiaTheme="majorEastAsia" w:cstheme="majorBidi"/>
      <w:i/>
      <w:iCs/>
      <w:color w:val="595959" w:themeColor="text1" w:themeTint="A6"/>
    </w:rPr>
  </w:style>
  <w:style w:type="paragraph" w:styleId="Ttulo7">
    <w:name w:val="heading 7"/>
    <w:aliases w:val="( Inactivo),H. CAP N7"/>
    <w:basedOn w:val="Normal"/>
    <w:next w:val="Normal"/>
    <w:link w:val="Ttulo7Car"/>
    <w:uiPriority w:val="9"/>
    <w:unhideWhenUsed/>
    <w:qFormat/>
    <w:rsid w:val="004E5076"/>
    <w:pPr>
      <w:keepNext/>
      <w:keepLines/>
      <w:spacing w:before="40"/>
      <w:outlineLvl w:val="6"/>
    </w:pPr>
    <w:rPr>
      <w:rFonts w:eastAsiaTheme="majorEastAsia" w:cstheme="majorBidi"/>
      <w:color w:val="595959" w:themeColor="text1" w:themeTint="A6"/>
    </w:rPr>
  </w:style>
  <w:style w:type="paragraph" w:styleId="Ttulo8">
    <w:name w:val="heading 8"/>
    <w:aliases w:val="(Inactivo )"/>
    <w:basedOn w:val="Normal"/>
    <w:next w:val="Normal"/>
    <w:link w:val="Ttulo8Car"/>
    <w:uiPriority w:val="99"/>
    <w:unhideWhenUsed/>
    <w:qFormat/>
    <w:rsid w:val="004E5076"/>
    <w:pPr>
      <w:keepNext/>
      <w:keepLines/>
      <w:outlineLvl w:val="7"/>
    </w:pPr>
    <w:rPr>
      <w:rFonts w:eastAsiaTheme="majorEastAsia" w:cstheme="majorBidi"/>
      <w:i/>
      <w:iCs/>
      <w:color w:val="272727" w:themeColor="text1" w:themeTint="D8"/>
    </w:rPr>
  </w:style>
  <w:style w:type="paragraph" w:styleId="Ttulo9">
    <w:name w:val="heading 9"/>
    <w:aliases w:val="( Inactivo )"/>
    <w:basedOn w:val="Normal"/>
    <w:next w:val="Normal"/>
    <w:link w:val="Ttulo9Car"/>
    <w:unhideWhenUsed/>
    <w:qFormat/>
    <w:rsid w:val="004E5076"/>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qFormat/>
    <w:tblPr>
      <w:tblCellMar>
        <w:top w:w="0" w:type="dxa"/>
        <w:left w:w="0" w:type="dxa"/>
        <w:bottom w:w="0" w:type="dxa"/>
        <w:right w:w="0" w:type="dxa"/>
      </w:tblCellMar>
    </w:tblPr>
  </w:style>
  <w:style w:type="paragraph" w:styleId="Ttulo">
    <w:name w:val="Title"/>
    <w:basedOn w:val="Normal"/>
    <w:next w:val="Normal"/>
    <w:link w:val="TtuloCar"/>
    <w:qFormat/>
    <w:rsid w:val="004E5076"/>
    <w:pPr>
      <w:spacing w:after="80"/>
      <w:contextualSpacing/>
    </w:pPr>
    <w:rPr>
      <w:rFonts w:asciiTheme="majorHAnsi" w:eastAsiaTheme="majorEastAsia" w:hAnsiTheme="majorHAnsi" w:cstheme="majorBidi"/>
      <w:spacing w:val="-10"/>
      <w:kern w:val="28"/>
      <w:sz w:val="56"/>
      <w:szCs w:val="56"/>
    </w:rPr>
  </w:style>
  <w:style w:type="character" w:customStyle="1" w:styleId="Ttulo1Car">
    <w:name w:val="Título 1 Car"/>
    <w:aliases w:val="Rubro (A Car1,C) Car,Rubro (A Car Car,MT1 Car,título 1 Car,h1 Car,No numbers Car,69% Car,Attribute Heading 1 Car,Para1 Car,h11 Car,h12 Car,L1 Car,Section Heading Car,Head1 Car,Heading apps Car,Portadilla Car,H1 Car,Header 1 Car,level 1 Car"/>
    <w:basedOn w:val="Fuentedeprrafopredeter"/>
    <w:link w:val="Ttulo1"/>
    <w:uiPriority w:val="1"/>
    <w:rsid w:val="004E5076"/>
    <w:rPr>
      <w:rFonts w:asciiTheme="majorHAnsi" w:eastAsiaTheme="majorEastAsia" w:hAnsiTheme="majorHAnsi" w:cstheme="majorBidi"/>
      <w:color w:val="2F5496" w:themeColor="accent1" w:themeShade="BF"/>
      <w:sz w:val="40"/>
      <w:szCs w:val="40"/>
    </w:rPr>
  </w:style>
  <w:style w:type="character" w:customStyle="1" w:styleId="Ttulo2Car">
    <w:name w:val="Título 2 Car"/>
    <w:aliases w:val="SUBTITU NG 1 Car,título 2 Car,2 headline Car,H.CAP N2 Car,Title 2 Car,Heading Car,ALK_K2 Car,ITTHEADER2 Car,EPIC2 Car,Puce rond Car,Titulo 1 (Tittle 2) Car,Apartado Car"/>
    <w:basedOn w:val="Fuentedeprrafopredeter"/>
    <w:link w:val="Ttulo2"/>
    <w:uiPriority w:val="1"/>
    <w:rsid w:val="004E5076"/>
    <w:rPr>
      <w:rFonts w:asciiTheme="majorHAnsi" w:eastAsiaTheme="majorEastAsia" w:hAnsiTheme="majorHAnsi" w:cstheme="majorBidi"/>
      <w:color w:val="2F5496" w:themeColor="accent1" w:themeShade="BF"/>
      <w:sz w:val="32"/>
      <w:szCs w:val="32"/>
    </w:rPr>
  </w:style>
  <w:style w:type="character" w:customStyle="1" w:styleId="Ttulo3Car">
    <w:name w:val="Título 3 Car"/>
    <w:aliases w:val="Título nivel 3 Car Car,Título nivel 3 Car1,y Car,3 bullet Car,b Car,H. CAP N3 Car,Title 3 Car,Sub Heading Car,ALK_K3 Car,D&amp;M3 Car,D&amp;M 3 Car,c Car"/>
    <w:basedOn w:val="Fuentedeprrafopredeter"/>
    <w:link w:val="Ttulo3"/>
    <w:rsid w:val="004E5076"/>
    <w:rPr>
      <w:rFonts w:eastAsiaTheme="majorEastAsia" w:cstheme="majorBidi"/>
      <w:color w:val="2F5496" w:themeColor="accent1" w:themeShade="BF"/>
      <w:sz w:val="28"/>
      <w:szCs w:val="28"/>
    </w:rPr>
  </w:style>
  <w:style w:type="character" w:customStyle="1" w:styleId="Ttulo4Car">
    <w:name w:val="Título 4 Car"/>
    <w:aliases w:val="H. CAP N4 Car,Title 4 Car,Sub Sub Heading Car,ALK_K4 Car,Alinéa Car,Chapitre 1.1.1. Car"/>
    <w:basedOn w:val="Fuentedeprrafopredeter"/>
    <w:link w:val="Ttulo4"/>
    <w:uiPriority w:val="99"/>
    <w:rsid w:val="004E5076"/>
    <w:rPr>
      <w:rFonts w:eastAsiaTheme="majorEastAsia" w:cstheme="majorBidi"/>
      <w:i/>
      <w:iCs/>
      <w:color w:val="2F5496" w:themeColor="accent1" w:themeShade="BF"/>
    </w:rPr>
  </w:style>
  <w:style w:type="character" w:customStyle="1" w:styleId="Ttulo5Car">
    <w:name w:val="Título 5 Car"/>
    <w:aliases w:val="H. CAP N5 Car,Title 5 Car,Titre 7+ Car,Titre 7+1 Car,Titre 7+2 Car,Titre 7+3 Car,Titre 7+11 Car,Titre 7+21 Car,Titre 7+4 Car,Titre 7+12 Car,Titre 7+22 Car,Titre 7+31 Car,Titre 7+111 Car,Titre 7+211 Car,Titre 7+5 Car,Titre 7+13 Car"/>
    <w:basedOn w:val="Fuentedeprrafopredeter"/>
    <w:link w:val="Ttulo5"/>
    <w:uiPriority w:val="9"/>
    <w:rsid w:val="004E5076"/>
    <w:rPr>
      <w:rFonts w:eastAsiaTheme="majorEastAsia" w:cstheme="majorBidi"/>
      <w:color w:val="2F5496" w:themeColor="accent1" w:themeShade="BF"/>
    </w:rPr>
  </w:style>
  <w:style w:type="character" w:customStyle="1" w:styleId="Ttulo6Car">
    <w:name w:val="Título 6 Car"/>
    <w:aliases w:val="(Inactivo) Car,H.CAP N6 Car,Title 6 Car"/>
    <w:basedOn w:val="Fuentedeprrafopredeter"/>
    <w:link w:val="Ttulo6"/>
    <w:uiPriority w:val="9"/>
    <w:rsid w:val="004E5076"/>
    <w:rPr>
      <w:rFonts w:eastAsiaTheme="majorEastAsia" w:cstheme="majorBidi"/>
      <w:i/>
      <w:iCs/>
      <w:color w:val="595959" w:themeColor="text1" w:themeTint="A6"/>
    </w:rPr>
  </w:style>
  <w:style w:type="character" w:customStyle="1" w:styleId="Ttulo7Car">
    <w:name w:val="Título 7 Car"/>
    <w:aliases w:val="( Inactivo) Car,H. CAP N7 Car"/>
    <w:basedOn w:val="Fuentedeprrafopredeter"/>
    <w:link w:val="Ttulo7"/>
    <w:uiPriority w:val="9"/>
    <w:rsid w:val="004E5076"/>
    <w:rPr>
      <w:rFonts w:eastAsiaTheme="majorEastAsia" w:cstheme="majorBidi"/>
      <w:color w:val="595959" w:themeColor="text1" w:themeTint="A6"/>
    </w:rPr>
  </w:style>
  <w:style w:type="character" w:customStyle="1" w:styleId="Ttulo8Car">
    <w:name w:val="Título 8 Car"/>
    <w:aliases w:val="(Inactivo ) Car"/>
    <w:basedOn w:val="Fuentedeprrafopredeter"/>
    <w:link w:val="Ttulo8"/>
    <w:uiPriority w:val="99"/>
    <w:rsid w:val="004E5076"/>
    <w:rPr>
      <w:rFonts w:eastAsiaTheme="majorEastAsia" w:cstheme="majorBidi"/>
      <w:i/>
      <w:iCs/>
      <w:color w:val="272727" w:themeColor="text1" w:themeTint="D8"/>
    </w:rPr>
  </w:style>
  <w:style w:type="character" w:customStyle="1" w:styleId="Ttulo9Car">
    <w:name w:val="Título 9 Car"/>
    <w:aliases w:val="( Inactivo ) Car"/>
    <w:basedOn w:val="Fuentedeprrafopredeter"/>
    <w:link w:val="Ttulo9"/>
    <w:rsid w:val="004E5076"/>
    <w:rPr>
      <w:rFonts w:eastAsiaTheme="majorEastAsia" w:cstheme="majorBidi"/>
      <w:color w:val="272727" w:themeColor="text1" w:themeTint="D8"/>
    </w:rPr>
  </w:style>
  <w:style w:type="character" w:customStyle="1" w:styleId="TtuloCar">
    <w:name w:val="Título Car"/>
    <w:basedOn w:val="Fuentedeprrafopredeter"/>
    <w:link w:val="Ttulo"/>
    <w:rsid w:val="004E5076"/>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4E5076"/>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E5076"/>
    <w:pPr>
      <w:spacing w:before="160"/>
      <w:jc w:val="center"/>
    </w:pPr>
    <w:rPr>
      <w:i/>
      <w:iCs/>
      <w:color w:val="404040" w:themeColor="text1" w:themeTint="BF"/>
    </w:rPr>
  </w:style>
  <w:style w:type="character" w:customStyle="1" w:styleId="CitaCar">
    <w:name w:val="Cita Car"/>
    <w:basedOn w:val="Fuentedeprrafopredeter"/>
    <w:link w:val="Cita"/>
    <w:uiPriority w:val="29"/>
    <w:rsid w:val="004E5076"/>
    <w:rPr>
      <w:i/>
      <w:iCs/>
      <w:color w:val="404040" w:themeColor="text1" w:themeTint="BF"/>
    </w:rPr>
  </w:style>
  <w:style w:type="paragraph" w:styleId="Prrafodelista">
    <w:name w:val="List Paragraph"/>
    <w:aliases w:val="Lista 123,HOJA,Colorful List Accent 1,Colorful List - Accent 11,Párrafo de lista (analisis predial),Colorful List - Accent 111,Blue Bullet,Fluvial1,titulo 5,titulo 3,Titulo de Fígura,TITULO A,bei normal,Titulo parrafo,Punto,Bullets,Viñe"/>
    <w:basedOn w:val="Normal"/>
    <w:link w:val="PrrafodelistaCar"/>
    <w:uiPriority w:val="34"/>
    <w:qFormat/>
    <w:rsid w:val="004E5076"/>
    <w:pPr>
      <w:ind w:left="720"/>
      <w:contextualSpacing/>
    </w:pPr>
  </w:style>
  <w:style w:type="character" w:styleId="nfasisintenso">
    <w:name w:val="Intense Emphasis"/>
    <w:basedOn w:val="Fuentedeprrafopredeter"/>
    <w:uiPriority w:val="21"/>
    <w:qFormat/>
    <w:rsid w:val="004E5076"/>
    <w:rPr>
      <w:i/>
      <w:iCs/>
      <w:color w:val="2F5496" w:themeColor="accent1" w:themeShade="BF"/>
    </w:rPr>
  </w:style>
  <w:style w:type="paragraph" w:styleId="Citadestacada">
    <w:name w:val="Intense Quote"/>
    <w:basedOn w:val="Normal"/>
    <w:next w:val="Normal"/>
    <w:link w:val="CitadestacadaCar"/>
    <w:uiPriority w:val="30"/>
    <w:qFormat/>
    <w:rsid w:val="004E50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4E5076"/>
    <w:rPr>
      <w:i/>
      <w:iCs/>
      <w:color w:val="2F5496" w:themeColor="accent1" w:themeShade="BF"/>
    </w:rPr>
  </w:style>
  <w:style w:type="character" w:styleId="Referenciaintensa">
    <w:name w:val="Intense Reference"/>
    <w:basedOn w:val="Fuentedeprrafopredeter"/>
    <w:uiPriority w:val="32"/>
    <w:qFormat/>
    <w:rsid w:val="004E5076"/>
    <w:rPr>
      <w:b/>
      <w:bCs/>
      <w:smallCaps/>
      <w:color w:val="2F5496" w:themeColor="accent1" w:themeShade="BF"/>
      <w:spacing w:val="5"/>
    </w:rPr>
  </w:style>
  <w:style w:type="table" w:customStyle="1" w:styleId="NormalTable0">
    <w:name w:val="Normal Table0"/>
    <w:qFormat/>
    <w:rsid w:val="004E5076"/>
    <w:tblPr>
      <w:tblCellMar>
        <w:top w:w="0" w:type="dxa"/>
        <w:left w:w="0" w:type="dxa"/>
        <w:bottom w:w="0" w:type="dxa"/>
        <w:right w:w="0" w:type="dxa"/>
      </w:tblCellMar>
    </w:tblPr>
  </w:style>
  <w:style w:type="table" w:customStyle="1" w:styleId="TableNormal1">
    <w:name w:val="Table Normal1"/>
    <w:qFormat/>
    <w:rsid w:val="004E5076"/>
    <w:tblPr>
      <w:tblCellMar>
        <w:top w:w="0" w:type="dxa"/>
        <w:left w:w="0" w:type="dxa"/>
        <w:bottom w:w="0" w:type="dxa"/>
        <w:right w:w="0" w:type="dxa"/>
      </w:tblCellMar>
    </w:tblPr>
  </w:style>
  <w:style w:type="table" w:customStyle="1" w:styleId="TableNormal2">
    <w:name w:val="Table Normal2"/>
    <w:qFormat/>
    <w:rsid w:val="004E5076"/>
    <w:tblPr>
      <w:tblCellMar>
        <w:top w:w="0" w:type="dxa"/>
        <w:left w:w="0" w:type="dxa"/>
        <w:bottom w:w="0" w:type="dxa"/>
        <w:right w:w="0" w:type="dxa"/>
      </w:tblCellMar>
    </w:tblPr>
  </w:style>
  <w:style w:type="table" w:customStyle="1" w:styleId="TableNormal3">
    <w:name w:val="Table Normal3"/>
    <w:uiPriority w:val="2"/>
    <w:qFormat/>
    <w:rsid w:val="004E5076"/>
    <w:tblPr>
      <w:tblCellMar>
        <w:top w:w="0" w:type="dxa"/>
        <w:left w:w="0" w:type="dxa"/>
        <w:bottom w:w="0" w:type="dxa"/>
        <w:right w:w="0" w:type="dxa"/>
      </w:tblCellMar>
    </w:tblPr>
  </w:style>
  <w:style w:type="table" w:customStyle="1" w:styleId="TableNormal4">
    <w:name w:val="Table Normal4"/>
    <w:uiPriority w:val="2"/>
    <w:qFormat/>
    <w:rsid w:val="004E5076"/>
    <w:tblPr>
      <w:tblCellMar>
        <w:top w:w="0" w:type="dxa"/>
        <w:left w:w="0" w:type="dxa"/>
        <w:bottom w:w="0" w:type="dxa"/>
        <w:right w:w="0" w:type="dxa"/>
      </w:tblCellMar>
    </w:tblPr>
  </w:style>
  <w:style w:type="paragraph" w:styleId="Textocomentario">
    <w:name w:val="annotation text"/>
    <w:aliases w:val="Char8,Char5 Char Char Char,Char5 Char Char Char Char,Char5 Char,Char51 Char,Texto de comentário2,Char5 Char1,Char5 Char Char Char1,Texto de comentário11,Char5 Char Char Char Char1 Char Char Char,Texto de comentário11 Char, Char8"/>
    <w:basedOn w:val="Normal"/>
    <w:link w:val="TextocomentarioCar"/>
    <w:uiPriority w:val="99"/>
    <w:unhideWhenUsed/>
    <w:qFormat/>
    <w:rsid w:val="004E5076"/>
    <w:rPr>
      <w:sz w:val="20"/>
      <w:szCs w:val="20"/>
    </w:rPr>
  </w:style>
  <w:style w:type="character" w:customStyle="1" w:styleId="TextocomentarioCar">
    <w:name w:val="Texto comentario Car"/>
    <w:aliases w:val="Char8 Car,Char5 Char Char Char Car,Char5 Char Char Char Char Car,Char5 Char Car,Char51 Char Car,Texto de comentário2 Car,Char5 Char1 Car,Char5 Char Char Char1 Car,Texto de comentário11 Car,Texto de comentário11 Char Car, Char8 Car"/>
    <w:basedOn w:val="Fuentedeprrafopredeter"/>
    <w:link w:val="Textocomentario"/>
    <w:uiPriority w:val="99"/>
    <w:qFormat/>
    <w:rsid w:val="004E5076"/>
    <w:rPr>
      <w:rFonts w:ascii="Arial" w:eastAsia="Arial" w:hAnsi="Arial" w:cs="Arial"/>
      <w:kern w:val="0"/>
      <w:sz w:val="20"/>
      <w:szCs w:val="20"/>
      <w:lang w:val="es-ES" w:eastAsia="es-PE"/>
    </w:rPr>
  </w:style>
  <w:style w:type="character" w:styleId="Refdecomentario">
    <w:name w:val="annotation reference"/>
    <w:basedOn w:val="Fuentedeprrafopredeter"/>
    <w:uiPriority w:val="99"/>
    <w:unhideWhenUsed/>
    <w:qFormat/>
    <w:rsid w:val="004E5076"/>
    <w:rPr>
      <w:sz w:val="16"/>
      <w:szCs w:val="16"/>
    </w:rPr>
  </w:style>
  <w:style w:type="paragraph" w:styleId="Textodeglobo">
    <w:name w:val="Balloon Text"/>
    <w:basedOn w:val="Normal"/>
    <w:link w:val="TextodegloboCar"/>
    <w:uiPriority w:val="99"/>
    <w:unhideWhenUsed/>
    <w:rsid w:val="004E5076"/>
    <w:rPr>
      <w:rFonts w:ascii="Segoe UI" w:hAnsi="Segoe UI" w:cs="Segoe UI"/>
      <w:sz w:val="18"/>
      <w:szCs w:val="18"/>
    </w:rPr>
  </w:style>
  <w:style w:type="character" w:customStyle="1" w:styleId="TextodegloboCar">
    <w:name w:val="Texto de globo Car"/>
    <w:basedOn w:val="Fuentedeprrafopredeter"/>
    <w:link w:val="Textodeglobo"/>
    <w:uiPriority w:val="99"/>
    <w:rsid w:val="004E5076"/>
    <w:rPr>
      <w:rFonts w:ascii="Segoe UI" w:eastAsia="Arial" w:hAnsi="Segoe UI" w:cs="Segoe UI"/>
      <w:kern w:val="0"/>
      <w:sz w:val="18"/>
      <w:szCs w:val="18"/>
      <w:lang w:val="es-ES" w:eastAsia="es-PE"/>
    </w:rPr>
  </w:style>
  <w:style w:type="paragraph" w:styleId="Textoindependiente">
    <w:name w:val="Body Text"/>
    <w:aliases w:val="Texto de bloque1,Corpo testo,Ctrl+1,Testo.t2,bt,descriptionbullets,Car Car21,BODY TEXT,Block text,body text,Texto CH2M,Texto independiente Car Car Car,ANEXO TEXTOS Texto ind,(Main Text),date,Body Text (Main text),tx"/>
    <w:basedOn w:val="Normal"/>
    <w:link w:val="TextoindependienteCar"/>
    <w:qFormat/>
    <w:rsid w:val="004E5076"/>
    <w:pPr>
      <w:autoSpaceDE w:val="0"/>
      <w:autoSpaceDN w:val="0"/>
    </w:pPr>
    <w:rPr>
      <w:lang w:eastAsia="en-US"/>
    </w:rPr>
  </w:style>
  <w:style w:type="character" w:customStyle="1" w:styleId="TextoindependienteCar">
    <w:name w:val="Texto independiente Car"/>
    <w:aliases w:val="Texto de bloque1 Car2,Corpo testo Car,Ctrl+1 Car,Testo.t2 Car,bt Car,descriptionbullets Car,Car Car21 Car2,BODY TEXT Car,Block text Car,body text Car,Texto CH2M Car,Texto independiente Car Car Car Car,ANEXO TEXTOS Texto ind Car"/>
    <w:basedOn w:val="Fuentedeprrafopredeter"/>
    <w:link w:val="Textoindependiente"/>
    <w:rsid w:val="004E5076"/>
    <w:rPr>
      <w:rFonts w:ascii="Arial" w:eastAsia="Arial" w:hAnsi="Arial" w:cs="Arial"/>
      <w:kern w:val="0"/>
      <w:lang w:val="es-ES"/>
    </w:rPr>
  </w:style>
  <w:style w:type="paragraph" w:styleId="Revisin">
    <w:name w:val="Revision"/>
    <w:hidden/>
    <w:uiPriority w:val="99"/>
    <w:rsid w:val="004E5076"/>
  </w:style>
  <w:style w:type="character" w:styleId="Hipervnculo">
    <w:name w:val="Hyperlink"/>
    <w:basedOn w:val="Fuentedeprrafopredeter"/>
    <w:uiPriority w:val="99"/>
    <w:unhideWhenUsed/>
    <w:rsid w:val="004E5076"/>
    <w:rPr>
      <w:color w:val="0563C1" w:themeColor="hyperlink"/>
      <w:u w:val="single"/>
    </w:rPr>
  </w:style>
  <w:style w:type="table" w:styleId="Tablaconcuadrcula">
    <w:name w:val="Table Grid"/>
    <w:aliases w:val="none,Grafico"/>
    <w:basedOn w:val="Tablanormal"/>
    <w:uiPriority w:val="39"/>
    <w:qFormat/>
    <w:rsid w:val="004E50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unhideWhenUsed/>
    <w:rsid w:val="004E5076"/>
    <w:rPr>
      <w:color w:val="954F72" w:themeColor="followedHyperlink"/>
      <w:u w:val="single"/>
    </w:rPr>
  </w:style>
  <w:style w:type="paragraph" w:customStyle="1" w:styleId="msonormal0">
    <w:name w:val="msonormal"/>
    <w:basedOn w:val="Normal"/>
    <w:rsid w:val="004E5076"/>
    <w:pPr>
      <w:widowControl/>
      <w:spacing w:before="100" w:beforeAutospacing="1" w:after="100" w:afterAutospacing="1"/>
    </w:pPr>
    <w:rPr>
      <w:rFonts w:ascii="Times New Roman" w:eastAsia="Times New Roman" w:hAnsi="Times New Roman" w:cs="Times New Roman"/>
      <w:sz w:val="24"/>
      <w:szCs w:val="24"/>
      <w:lang w:val="es-PE"/>
    </w:rPr>
  </w:style>
  <w:style w:type="paragraph" w:styleId="Asuntodelcomentario">
    <w:name w:val="annotation subject"/>
    <w:basedOn w:val="Textocomentario"/>
    <w:next w:val="Textocomentario"/>
    <w:link w:val="AsuntodelcomentarioCar"/>
    <w:uiPriority w:val="99"/>
    <w:unhideWhenUsed/>
    <w:rsid w:val="004E5076"/>
    <w:rPr>
      <w:b/>
      <w:bCs/>
    </w:rPr>
  </w:style>
  <w:style w:type="character" w:customStyle="1" w:styleId="AsuntodelcomentarioCar">
    <w:name w:val="Asunto del comentario Car"/>
    <w:basedOn w:val="TextocomentarioCar"/>
    <w:link w:val="Asuntodelcomentario"/>
    <w:uiPriority w:val="99"/>
    <w:rsid w:val="004E5076"/>
    <w:rPr>
      <w:rFonts w:ascii="Arial" w:eastAsia="Arial" w:hAnsi="Arial" w:cs="Arial"/>
      <w:b/>
      <w:bCs/>
      <w:kern w:val="0"/>
      <w:sz w:val="20"/>
      <w:szCs w:val="20"/>
      <w:lang w:val="es-ES" w:eastAsia="es-PE"/>
    </w:rPr>
  </w:style>
  <w:style w:type="paragraph" w:customStyle="1" w:styleId="TableParagraph">
    <w:name w:val="Table Paragraph"/>
    <w:basedOn w:val="Normal"/>
    <w:uiPriority w:val="1"/>
    <w:qFormat/>
    <w:rsid w:val="004E5076"/>
    <w:pPr>
      <w:autoSpaceDE w:val="0"/>
      <w:autoSpaceDN w:val="0"/>
    </w:pPr>
    <w:rPr>
      <w:lang w:eastAsia="en-US"/>
    </w:rPr>
  </w:style>
  <w:style w:type="paragraph" w:styleId="Encabezado">
    <w:name w:val="header"/>
    <w:aliases w:val="Encabezado Car1,Car3 Car1,Encabezado1 Car1,h Car1,maria Car1, Car3,h,maria,Car3,encabezado,Encabezado 2,ITT i,odd header,e,Encabezado11,Encabezado111,Zanja 2,Encabezado Car Car,Header1,g,Encabezado Car Car Car Car,Titulo Principal Car Car"/>
    <w:basedOn w:val="Normal"/>
    <w:link w:val="EncabezadoCar"/>
    <w:uiPriority w:val="99"/>
    <w:unhideWhenUsed/>
    <w:qFormat/>
    <w:rsid w:val="004E5076"/>
    <w:pPr>
      <w:tabs>
        <w:tab w:val="center" w:pos="4419"/>
        <w:tab w:val="right" w:pos="8838"/>
      </w:tabs>
    </w:pPr>
  </w:style>
  <w:style w:type="character" w:customStyle="1" w:styleId="EncabezadoCar">
    <w:name w:val="Encabezado Car"/>
    <w:aliases w:val="Encabezado Car1 Car,Car3 Car1 Car,Encabezado1 Car1 Car,h Car1 Car,maria Car1 Car, Car3 Car,h Car,maria Car,Car3 Car,encabezado Car,Encabezado 2 Car,ITT i Car,odd header Car,e Car,Encabezado11 Car,Encabezado111 Car,Zanja 2 Car,Header1 Car"/>
    <w:basedOn w:val="Fuentedeprrafopredeter"/>
    <w:link w:val="Encabezado"/>
    <w:uiPriority w:val="99"/>
    <w:rsid w:val="004E5076"/>
    <w:rPr>
      <w:rFonts w:ascii="Arial" w:eastAsia="Arial" w:hAnsi="Arial" w:cs="Arial"/>
      <w:kern w:val="0"/>
      <w:lang w:val="es-ES" w:eastAsia="es-PE"/>
    </w:rPr>
  </w:style>
  <w:style w:type="paragraph" w:styleId="Piedepgina">
    <w:name w:val="footer"/>
    <w:aliases w:val="Char16,Char161,Char1612,Char1612 Char Char Char Char Char,Cabeçalho inferior,Cabeçalho inferior Char,Cabeçalho inferior Char Char,Cabeçalho inferior Char Char1 Char,Cabeçalho inferior Char Char1 Char Char,Pie de página ALG, Char16, Char161"/>
    <w:basedOn w:val="Normal"/>
    <w:link w:val="PiedepginaCar"/>
    <w:uiPriority w:val="99"/>
    <w:unhideWhenUsed/>
    <w:qFormat/>
    <w:rsid w:val="004E5076"/>
    <w:pPr>
      <w:tabs>
        <w:tab w:val="center" w:pos="4419"/>
        <w:tab w:val="right" w:pos="8838"/>
      </w:tabs>
    </w:pPr>
  </w:style>
  <w:style w:type="character" w:customStyle="1" w:styleId="PiedepginaCar">
    <w:name w:val="Pie de página Car"/>
    <w:aliases w:val="Char16 Car,Char161 Car,Char1612 Car,Char1612 Char Char Char Char Char Car,Cabeçalho inferior Car,Cabeçalho inferior Char Car,Cabeçalho inferior Char Char Car,Cabeçalho inferior Char Char1 Char Car,Pie de página ALG Car, Char16 Car"/>
    <w:basedOn w:val="Fuentedeprrafopredeter"/>
    <w:link w:val="Piedepgina"/>
    <w:uiPriority w:val="99"/>
    <w:rsid w:val="004E5076"/>
    <w:rPr>
      <w:rFonts w:ascii="Arial" w:eastAsia="Arial" w:hAnsi="Arial" w:cs="Arial"/>
      <w:kern w:val="0"/>
      <w:lang w:val="es-ES" w:eastAsia="es-PE"/>
    </w:rPr>
  </w:style>
  <w:style w:type="paragraph" w:styleId="TtuloTDC">
    <w:name w:val="TOC Heading"/>
    <w:aliases w:val="Título TDC1"/>
    <w:basedOn w:val="Ttulo1"/>
    <w:next w:val="Normal"/>
    <w:uiPriority w:val="39"/>
    <w:unhideWhenUsed/>
    <w:qFormat/>
    <w:rsid w:val="004E5076"/>
    <w:pPr>
      <w:spacing w:before="240" w:after="0"/>
      <w:outlineLvl w:val="9"/>
    </w:pPr>
    <w:rPr>
      <w:sz w:val="32"/>
      <w:szCs w:val="32"/>
      <w:lang w:val="en-US"/>
    </w:rPr>
  </w:style>
  <w:style w:type="paragraph" w:styleId="TDC1">
    <w:name w:val="toc 1"/>
    <w:basedOn w:val="TITULOVICCHOQUE"/>
    <w:next w:val="Normal"/>
    <w:autoRedefine/>
    <w:uiPriority w:val="39"/>
    <w:unhideWhenUsed/>
    <w:qFormat/>
    <w:rsid w:val="001A7942"/>
    <w:pPr>
      <w:spacing w:before="120"/>
    </w:pPr>
    <w:rPr>
      <w:b w:val="0"/>
      <w:bCs/>
      <w:i/>
      <w:iCs/>
      <w:sz w:val="24"/>
      <w:szCs w:val="24"/>
    </w:rPr>
  </w:style>
  <w:style w:type="paragraph" w:customStyle="1" w:styleId="Default">
    <w:name w:val="Default"/>
    <w:link w:val="DefaultCar"/>
    <w:qFormat/>
    <w:rsid w:val="004E5076"/>
    <w:pPr>
      <w:autoSpaceDE w:val="0"/>
      <w:autoSpaceDN w:val="0"/>
      <w:adjustRightInd w:val="0"/>
    </w:pPr>
    <w:rPr>
      <w:color w:val="000000"/>
      <w:sz w:val="24"/>
      <w:szCs w:val="24"/>
      <w:lang w:val="en-US"/>
    </w:rPr>
  </w:style>
  <w:style w:type="character" w:styleId="Textodelmarcadordeposicin">
    <w:name w:val="Placeholder Text"/>
    <w:basedOn w:val="Fuentedeprrafopredeter"/>
    <w:uiPriority w:val="99"/>
    <w:rsid w:val="004E5076"/>
    <w:rPr>
      <w:color w:val="808080"/>
    </w:rPr>
  </w:style>
  <w:style w:type="character" w:customStyle="1" w:styleId="PrrafodelistaCar">
    <w:name w:val="Párrafo de lista Car"/>
    <w:aliases w:val="Lista 123 Car,HOJA Car,Colorful List Accent 1 Car,Colorful List - Accent 11 Car,Párrafo de lista (analisis predial) Car,Colorful List - Accent 111 Car,Blue Bullet Car,Fluvial1 Car,titulo 5 Car,titulo 3 Car,Titulo de Fígura Car"/>
    <w:link w:val="Prrafodelista"/>
    <w:uiPriority w:val="34"/>
    <w:qFormat/>
    <w:locked/>
    <w:rsid w:val="004E5076"/>
  </w:style>
  <w:style w:type="paragraph" w:styleId="NormalWeb">
    <w:name w:val="Normal (Web)"/>
    <w:aliases w:val="Car Car Car Car Car Car,Car Car Car Car Car Car Car Car Car,Normal (Web) Car Car,Normal (Web) Car Car Car,Normal (Web) Char,Normal (Web) Char Car Car,Normal (Web) Char Char Char, Car Car Car Car Car Car"/>
    <w:basedOn w:val="Normal"/>
    <w:link w:val="NormalWebCar"/>
    <w:uiPriority w:val="99"/>
    <w:unhideWhenUsed/>
    <w:rsid w:val="004E5076"/>
    <w:pPr>
      <w:widowControl/>
      <w:spacing w:before="100" w:beforeAutospacing="1" w:after="100" w:afterAutospacing="1"/>
    </w:pPr>
    <w:rPr>
      <w:rFonts w:ascii="Times New Roman" w:eastAsia="Times New Roman" w:hAnsi="Times New Roman" w:cs="Times New Roman"/>
      <w:sz w:val="24"/>
      <w:szCs w:val="24"/>
      <w:lang w:val="es-PE"/>
    </w:rPr>
  </w:style>
  <w:style w:type="character" w:customStyle="1" w:styleId="TextocomentarioCar1">
    <w:name w:val="Texto comentario Car1"/>
    <w:aliases w:val="Char8 Car1,Char5 Char Char Char Car1,Char5 Char Char Char Char Car1,Char5 Char Car1,Char51 Char Car1,Texto de comentário2 Car1,Char5 Char1 Car1,Char5 Char Char Char1 Car1,Texto de comentário11 Car1,Texto de comentário11 Char Car1"/>
    <w:basedOn w:val="Fuentedeprrafopredeter"/>
    <w:rsid w:val="004E5076"/>
    <w:rPr>
      <w:sz w:val="20"/>
      <w:szCs w:val="20"/>
    </w:rPr>
  </w:style>
  <w:style w:type="paragraph" w:customStyle="1" w:styleId="Normal0">
    <w:name w:val="Normal0"/>
    <w:qFormat/>
    <w:rsid w:val="004E5076"/>
    <w:pPr>
      <w:autoSpaceDE w:val="0"/>
      <w:autoSpaceDN w:val="0"/>
      <w:adjustRightInd w:val="0"/>
      <w:spacing w:after="200" w:line="276" w:lineRule="auto"/>
    </w:pPr>
    <w:rPr>
      <w:rFonts w:ascii="Calibri" w:eastAsia="Times New Roman" w:hAnsi="Calibri" w:cs="Calibri"/>
    </w:rPr>
  </w:style>
  <w:style w:type="table" w:customStyle="1" w:styleId="TableNormal10">
    <w:name w:val="Table Normal10"/>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20">
    <w:name w:val="Table Normal20"/>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30">
    <w:name w:val="Table Normal3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40">
    <w:name w:val="Table Normal4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table" w:customStyle="1" w:styleId="TableNormal5">
    <w:name w:val="Table Normal5"/>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paragraph" w:customStyle="1" w:styleId="heading10">
    <w:name w:val="heading 10"/>
    <w:basedOn w:val="Normal0"/>
    <w:next w:val="Normal0"/>
    <w:qFormat/>
    <w:rsid w:val="004E5076"/>
    <w:pPr>
      <w:keepNext/>
      <w:spacing w:before="240" w:after="60"/>
      <w:outlineLvl w:val="0"/>
    </w:pPr>
    <w:rPr>
      <w:rFonts w:ascii="Arial" w:hAnsi="Arial" w:cs="Arial"/>
      <w:b/>
      <w:kern w:val="32"/>
      <w:szCs w:val="32"/>
    </w:rPr>
  </w:style>
  <w:style w:type="paragraph" w:customStyle="1" w:styleId="heading20">
    <w:name w:val="heading 20"/>
    <w:basedOn w:val="Normal0"/>
    <w:next w:val="Normal0"/>
    <w:qFormat/>
    <w:rsid w:val="004E5076"/>
    <w:pPr>
      <w:keepNext/>
      <w:spacing w:after="0" w:line="240" w:lineRule="auto"/>
      <w:outlineLvl w:val="1"/>
    </w:pPr>
    <w:rPr>
      <w:rFonts w:ascii="CG Omega" w:eastAsiaTheme="minorEastAsia" w:hAnsi="CG Omega"/>
      <w:szCs w:val="20"/>
      <w:u w:val="single"/>
      <w:lang w:val="es-ES_tradnl"/>
    </w:rPr>
  </w:style>
  <w:style w:type="paragraph" w:customStyle="1" w:styleId="heading30">
    <w:name w:val="heading 30"/>
    <w:aliases w:val="Hdg 3,Heading 3a"/>
    <w:basedOn w:val="Normal0"/>
    <w:next w:val="Normal0"/>
    <w:qFormat/>
    <w:rsid w:val="004E5076"/>
    <w:pPr>
      <w:keepNext/>
      <w:spacing w:before="240" w:after="60"/>
      <w:outlineLvl w:val="2"/>
    </w:pPr>
    <w:rPr>
      <w:rFonts w:ascii="Arial" w:hAnsi="Arial" w:cs="Arial"/>
      <w:szCs w:val="26"/>
    </w:rPr>
  </w:style>
  <w:style w:type="paragraph" w:customStyle="1" w:styleId="heading40">
    <w:name w:val="heading 40"/>
    <w:aliases w:val="Título 4amb"/>
    <w:basedOn w:val="Normal0"/>
    <w:next w:val="Normal0"/>
    <w:qFormat/>
    <w:rsid w:val="004E5076"/>
    <w:pPr>
      <w:keepNext/>
      <w:spacing w:before="240" w:after="60"/>
      <w:outlineLvl w:val="3"/>
    </w:pPr>
    <w:rPr>
      <w:rFonts w:ascii="Times New Roman" w:hAnsi="Times New Roman"/>
      <w:b/>
      <w:sz w:val="28"/>
      <w:szCs w:val="28"/>
    </w:rPr>
  </w:style>
  <w:style w:type="paragraph" w:customStyle="1" w:styleId="heading50">
    <w:name w:val="heading 50"/>
    <w:basedOn w:val="Normal0"/>
    <w:next w:val="Normal0"/>
    <w:qFormat/>
    <w:rsid w:val="004E5076"/>
    <w:pPr>
      <w:spacing w:before="240" w:after="60"/>
      <w:outlineLvl w:val="4"/>
    </w:pPr>
    <w:rPr>
      <w:b/>
      <w:i/>
      <w:sz w:val="26"/>
      <w:szCs w:val="26"/>
    </w:rPr>
  </w:style>
  <w:style w:type="paragraph" w:customStyle="1" w:styleId="heading60">
    <w:name w:val="heading 60"/>
    <w:basedOn w:val="Normal0"/>
    <w:next w:val="Normal0"/>
    <w:qFormat/>
    <w:rsid w:val="004E5076"/>
    <w:pPr>
      <w:spacing w:before="240" w:after="60"/>
      <w:outlineLvl w:val="5"/>
    </w:pPr>
    <w:rPr>
      <w:rFonts w:ascii="Times New Roman" w:hAnsi="Times New Roman"/>
      <w:b/>
    </w:rPr>
  </w:style>
  <w:style w:type="character" w:customStyle="1" w:styleId="Ttulo3Car3">
    <w:name w:val="Título 3 Car3"/>
    <w:aliases w:val="Hdg 3 Car,Heading 3a Car"/>
    <w:uiPriority w:val="9"/>
    <w:rsid w:val="004E5076"/>
    <w:rPr>
      <w:rFonts w:ascii="Arial" w:eastAsia="Times New Roman" w:hAnsi="Arial"/>
      <w:sz w:val="26"/>
    </w:rPr>
  </w:style>
  <w:style w:type="character" w:customStyle="1" w:styleId="Ttulo4Car3">
    <w:name w:val="Título 4 Car3"/>
    <w:aliases w:val="Título 4amb Car"/>
    <w:uiPriority w:val="9"/>
    <w:rsid w:val="004E5076"/>
    <w:rPr>
      <w:rFonts w:ascii="Times New Roman" w:hAnsi="Times New Roman"/>
      <w:b/>
      <w:sz w:val="28"/>
      <w:lang w:val="x-none"/>
    </w:rPr>
  </w:style>
  <w:style w:type="paragraph" w:styleId="Textoindependiente2">
    <w:name w:val="Body Text 2"/>
    <w:basedOn w:val="Normal0"/>
    <w:link w:val="Textoindependiente2Car"/>
    <w:uiPriority w:val="99"/>
    <w:rsid w:val="004E5076"/>
    <w:pPr>
      <w:spacing w:after="0" w:line="240" w:lineRule="auto"/>
      <w:jc w:val="center"/>
    </w:pPr>
    <w:rPr>
      <w:rFonts w:ascii="Times New Roman" w:eastAsiaTheme="minorEastAsia" w:hAnsi="Times New Roman"/>
      <w:b/>
      <w:sz w:val="28"/>
      <w:szCs w:val="20"/>
    </w:rPr>
  </w:style>
  <w:style w:type="character" w:customStyle="1" w:styleId="Textoindependiente2Car">
    <w:name w:val="Texto independiente 2 Car"/>
    <w:basedOn w:val="Fuentedeprrafopredeter"/>
    <w:link w:val="Textoindependiente2"/>
    <w:uiPriority w:val="99"/>
    <w:rsid w:val="004E5076"/>
    <w:rPr>
      <w:rFonts w:ascii="Times New Roman" w:eastAsiaTheme="minorEastAsia" w:hAnsi="Times New Roman" w:cs="Calibri"/>
      <w:b/>
      <w:kern w:val="0"/>
      <w:sz w:val="28"/>
      <w:szCs w:val="20"/>
      <w:lang w:eastAsia="es-PE"/>
    </w:rPr>
  </w:style>
  <w:style w:type="paragraph" w:customStyle="1" w:styleId="BodyTextIndent21">
    <w:name w:val="Body Text Indent 21"/>
    <w:basedOn w:val="Normal0"/>
    <w:rsid w:val="004E5076"/>
    <w:pPr>
      <w:spacing w:after="0" w:line="240" w:lineRule="auto"/>
      <w:ind w:left="426"/>
      <w:jc w:val="both"/>
    </w:pPr>
    <w:rPr>
      <w:rFonts w:ascii="Arial" w:eastAsiaTheme="minorEastAsia" w:hAnsi="Arial"/>
      <w:sz w:val="24"/>
      <w:szCs w:val="20"/>
      <w:lang w:val="es-ES_tradnl"/>
    </w:rPr>
  </w:style>
  <w:style w:type="paragraph" w:styleId="Textosinformato">
    <w:name w:val="Plain Text"/>
    <w:aliases w:val="Car, Car"/>
    <w:basedOn w:val="Normal0"/>
    <w:link w:val="TextosinformatoCar"/>
    <w:uiPriority w:val="99"/>
    <w:rsid w:val="004E5076"/>
    <w:pPr>
      <w:spacing w:after="0" w:line="240" w:lineRule="auto"/>
    </w:pPr>
    <w:rPr>
      <w:rFonts w:ascii="Courier New" w:hAnsi="Courier New"/>
      <w:sz w:val="20"/>
      <w:szCs w:val="20"/>
    </w:rPr>
  </w:style>
  <w:style w:type="character" w:customStyle="1" w:styleId="TextosinformatoCar">
    <w:name w:val="Texto sin formato Car"/>
    <w:aliases w:val="Car Car, Car Car"/>
    <w:basedOn w:val="Fuentedeprrafopredeter"/>
    <w:link w:val="Textosinformato"/>
    <w:uiPriority w:val="99"/>
    <w:rsid w:val="004E5076"/>
    <w:rPr>
      <w:rFonts w:ascii="Courier New" w:eastAsia="Times New Roman" w:hAnsi="Courier New" w:cs="Calibri"/>
      <w:kern w:val="0"/>
      <w:sz w:val="20"/>
      <w:szCs w:val="20"/>
      <w:lang w:eastAsia="es-PE"/>
    </w:rPr>
  </w:style>
  <w:style w:type="paragraph" w:customStyle="1" w:styleId="Ttulo10">
    <w:name w:val="Título1"/>
    <w:basedOn w:val="Normal0"/>
    <w:uiPriority w:val="99"/>
    <w:qFormat/>
    <w:rsid w:val="004E5076"/>
    <w:pPr>
      <w:spacing w:after="0" w:line="240" w:lineRule="auto"/>
      <w:jc w:val="center"/>
    </w:pPr>
    <w:rPr>
      <w:rFonts w:ascii="Times New Roman" w:eastAsiaTheme="minorEastAsia" w:hAnsi="Times New Roman"/>
      <w:b/>
      <w:szCs w:val="20"/>
      <w:lang w:val="es-ES_tradnl"/>
    </w:rPr>
  </w:style>
  <w:style w:type="paragraph" w:styleId="Sangradetextonormal">
    <w:name w:val="Body Text Indent"/>
    <w:aliases w:val="Sangría de t,independiente"/>
    <w:basedOn w:val="Normal0"/>
    <w:link w:val="SangradetextonormalCar"/>
    <w:rsid w:val="004E5076"/>
    <w:pPr>
      <w:spacing w:after="120"/>
      <w:ind w:left="283"/>
    </w:pPr>
  </w:style>
  <w:style w:type="character" w:customStyle="1" w:styleId="SangradetextonormalCar">
    <w:name w:val="Sangría de texto normal Car"/>
    <w:aliases w:val="Sangría de t Car,independiente Car"/>
    <w:basedOn w:val="Fuentedeprrafopredeter"/>
    <w:link w:val="Sangradetextonormal"/>
    <w:rsid w:val="004E5076"/>
    <w:rPr>
      <w:rFonts w:ascii="Calibri" w:eastAsia="Times New Roman" w:hAnsi="Calibri" w:cs="Calibri"/>
      <w:kern w:val="0"/>
      <w:lang w:eastAsia="es-PE"/>
    </w:rPr>
  </w:style>
  <w:style w:type="character" w:customStyle="1" w:styleId="TextoindependienteCar3">
    <w:name w:val="Texto independiente Car3"/>
    <w:aliases w:val="Texto de bloque1 Car,Corpo testo Car2,Ctrl+1 Car3,Testo.t2 Car2,bt Car3,descriptionbullets Car1,Car Car21 Car1,BODY TEXT Car3,Block text Car3,body text Car3,Texto CH2M Car3,Texto independiente Car Car Car Car2,(Main Text) Car2"/>
    <w:basedOn w:val="Fuentedeprrafopredeter"/>
    <w:uiPriority w:val="99"/>
    <w:rsid w:val="004E5076"/>
    <w:rPr>
      <w:rFonts w:ascii="Times New Roman" w:eastAsiaTheme="minorEastAsia" w:hAnsi="Times New Roman" w:cs="Times New Roman"/>
      <w:kern w:val="0"/>
      <w:sz w:val="18"/>
      <w:szCs w:val="24"/>
      <w:lang w:val="en-US" w:eastAsia="es-PE"/>
    </w:rPr>
  </w:style>
  <w:style w:type="paragraph" w:customStyle="1" w:styleId="ArticleL3">
    <w:name w:val="Article_L3"/>
    <w:basedOn w:val="Normal0"/>
    <w:next w:val="Normal0"/>
    <w:rsid w:val="004E5076"/>
    <w:pPr>
      <w:spacing w:before="240" w:after="0" w:line="360" w:lineRule="auto"/>
      <w:ind w:left="1440" w:hanging="720"/>
      <w:jc w:val="both"/>
    </w:pPr>
    <w:rPr>
      <w:rFonts w:ascii="Times New Roman" w:eastAsiaTheme="minorEastAsia" w:hAnsi="Times New Roman"/>
      <w:sz w:val="24"/>
      <w:szCs w:val="20"/>
    </w:rPr>
  </w:style>
  <w:style w:type="paragraph" w:customStyle="1" w:styleId="Pelota">
    <w:name w:val="Pelota"/>
    <w:basedOn w:val="Normal0"/>
    <w:rsid w:val="004E5076"/>
    <w:pPr>
      <w:spacing w:after="0" w:line="240" w:lineRule="auto"/>
      <w:jc w:val="both"/>
    </w:pPr>
    <w:rPr>
      <w:rFonts w:ascii="Times New Roman" w:eastAsiaTheme="minorEastAsia" w:hAnsi="Times New Roman"/>
      <w:szCs w:val="20"/>
      <w:lang w:val="en-US"/>
    </w:rPr>
  </w:style>
  <w:style w:type="paragraph" w:styleId="Sangra2detindependiente">
    <w:name w:val="Body Text Indent 2"/>
    <w:basedOn w:val="Normal0"/>
    <w:link w:val="Sangra2detindependienteCar"/>
    <w:rsid w:val="004E5076"/>
    <w:pPr>
      <w:spacing w:after="120" w:line="480" w:lineRule="auto"/>
      <w:ind w:left="283"/>
    </w:pPr>
  </w:style>
  <w:style w:type="character" w:customStyle="1" w:styleId="Sangra2detindependienteCar">
    <w:name w:val="Sangría 2 de t. independiente Car"/>
    <w:basedOn w:val="Fuentedeprrafopredeter"/>
    <w:link w:val="Sangra2detindependiente"/>
    <w:rsid w:val="004E5076"/>
    <w:rPr>
      <w:rFonts w:ascii="Calibri" w:eastAsia="Times New Roman" w:hAnsi="Calibri" w:cs="Calibri"/>
      <w:kern w:val="0"/>
      <w:lang w:eastAsia="es-PE"/>
    </w:rPr>
  </w:style>
  <w:style w:type="paragraph" w:styleId="Sangra3detindependiente">
    <w:name w:val="Body Text Indent 3"/>
    <w:basedOn w:val="Normal0"/>
    <w:link w:val="Sangra3detindependienteCar"/>
    <w:rsid w:val="004E5076"/>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E5076"/>
    <w:rPr>
      <w:rFonts w:ascii="Calibri" w:eastAsia="Times New Roman" w:hAnsi="Calibri" w:cs="Calibri"/>
      <w:kern w:val="0"/>
      <w:sz w:val="16"/>
      <w:szCs w:val="16"/>
      <w:lang w:eastAsia="es-PE"/>
    </w:rPr>
  </w:style>
  <w:style w:type="character" w:styleId="nfasis">
    <w:name w:val="Emphasis"/>
    <w:basedOn w:val="Fuentedeprrafopredeter"/>
    <w:qFormat/>
    <w:rsid w:val="004E5076"/>
    <w:rPr>
      <w:i/>
    </w:rPr>
  </w:style>
  <w:style w:type="paragraph" w:styleId="Textonotapie">
    <w:name w:val="footnote text"/>
    <w:aliases w:val="Car1 Car,Car1 Car Car,Car2 Car,FN,Footnote Text Char Char1,Footnote Text Char Char1 Char1 Char Char,Footnote Text Char1,Footnote Text Char1 Char1 Char1 Char,Footnote Text Char1 Char1 Char1 Char Char Char1,Footnote Text Char4 Char Char,f,F"/>
    <w:basedOn w:val="Normal0"/>
    <w:link w:val="TextonotapieCar"/>
    <w:uiPriority w:val="99"/>
    <w:qFormat/>
    <w:rsid w:val="004E5076"/>
    <w:pPr>
      <w:spacing w:after="0" w:line="240" w:lineRule="auto"/>
    </w:pPr>
    <w:rPr>
      <w:rFonts w:ascii="Arial" w:eastAsiaTheme="minorEastAsia" w:hAnsi="Arial" w:cs="Arial"/>
      <w:szCs w:val="18"/>
    </w:rPr>
  </w:style>
  <w:style w:type="character" w:customStyle="1" w:styleId="TextonotapieCar">
    <w:name w:val="Texto nota pie Car"/>
    <w:aliases w:val="Car1 Car Car1,Car1 Car Car Car,Car2 Car Car,FN Car,Footnote Text Char Char1 Car,Footnote Text Char Char1 Char1 Char Char Car,Footnote Text Char1 Car,Footnote Text Char1 Char1 Char1 Char Car,Footnote Text Char4 Char Char Car,f Car"/>
    <w:basedOn w:val="Fuentedeprrafopredeter"/>
    <w:link w:val="Textonotapie"/>
    <w:uiPriority w:val="99"/>
    <w:rsid w:val="004E5076"/>
    <w:rPr>
      <w:rFonts w:ascii="Arial" w:eastAsiaTheme="minorEastAsia" w:hAnsi="Arial" w:cs="Arial"/>
      <w:kern w:val="0"/>
      <w:szCs w:val="18"/>
      <w:lang w:eastAsia="es-PE"/>
    </w:rPr>
  </w:style>
  <w:style w:type="character" w:styleId="Nmerodepgina">
    <w:name w:val="page number"/>
    <w:basedOn w:val="Fuentedeprrafopredeter"/>
    <w:rsid w:val="004E5076"/>
    <w:rPr>
      <w:rFonts w:cs="Times New Roman"/>
    </w:rPr>
  </w:style>
  <w:style w:type="paragraph" w:customStyle="1" w:styleId="EstiloTtulo2AsiticaMSMincho">
    <w:name w:val="Estilo Título 2 + (Asiática) MS Mincho"/>
    <w:basedOn w:val="Titulo3"/>
    <w:next w:val="Normal0"/>
    <w:rsid w:val="004E5076"/>
    <w:pPr>
      <w:numPr>
        <w:numId w:val="0"/>
      </w:numPr>
      <w:jc w:val="both"/>
    </w:pPr>
  </w:style>
  <w:style w:type="paragraph" w:customStyle="1" w:styleId="Titulo3">
    <w:name w:val="Titulo 3"/>
    <w:uiPriority w:val="99"/>
    <w:rsid w:val="004E5076"/>
    <w:pPr>
      <w:numPr>
        <w:numId w:val="5"/>
      </w:numPr>
      <w:tabs>
        <w:tab w:val="num" w:pos="0"/>
      </w:tabs>
      <w:autoSpaceDE w:val="0"/>
      <w:autoSpaceDN w:val="0"/>
      <w:adjustRightInd w:val="0"/>
      <w:spacing w:after="200" w:line="276" w:lineRule="auto"/>
      <w:ind w:left="0" w:firstLine="0"/>
    </w:pPr>
    <w:rPr>
      <w:rFonts w:eastAsia="MS Mincho" w:cs="Calibri"/>
      <w:lang w:val="es-ES_tradnl"/>
    </w:rPr>
  </w:style>
  <w:style w:type="paragraph" w:customStyle="1" w:styleId="EstiloTtulo2AsiticaMSMincho1">
    <w:name w:val="Estilo Título 2 + (Asiática) MS Mincho1"/>
    <w:basedOn w:val="heading20"/>
    <w:next w:val="Normal0"/>
    <w:uiPriority w:val="99"/>
    <w:rsid w:val="004E5076"/>
    <w:rPr>
      <w:rFonts w:ascii="Arial" w:eastAsia="MS Mincho" w:hAnsi="Arial"/>
      <w:b/>
      <w:szCs w:val="22"/>
      <w:u w:val="none"/>
    </w:rPr>
  </w:style>
  <w:style w:type="paragraph" w:customStyle="1" w:styleId="EstiloTtulo2ArialNegritaSinsubrayado">
    <w:name w:val="Estilo Título 2 + Arial Negrita Sin subrayado"/>
    <w:basedOn w:val="heading20"/>
    <w:uiPriority w:val="99"/>
    <w:rsid w:val="004E5076"/>
    <w:rPr>
      <w:rFonts w:ascii="Arial" w:hAnsi="Arial"/>
      <w:b/>
      <w:u w:val="none"/>
    </w:rPr>
  </w:style>
  <w:style w:type="paragraph" w:customStyle="1" w:styleId="EstiloTtulo2ArialNegritaAilSinsubrayado">
    <w:name w:val="Estilo Título 2 + Arial Negrita Añil Sin subrayado"/>
    <w:basedOn w:val="heading20"/>
    <w:next w:val="Normal0"/>
    <w:uiPriority w:val="99"/>
    <w:rsid w:val="004E5076"/>
    <w:pPr>
      <w:jc w:val="both"/>
    </w:pPr>
    <w:rPr>
      <w:rFonts w:ascii="Arial" w:hAnsi="Arial"/>
      <w:b/>
      <w:color w:val="333399"/>
      <w:u w:val="none"/>
    </w:rPr>
  </w:style>
  <w:style w:type="paragraph" w:styleId="TDC2">
    <w:name w:val="toc 2"/>
    <w:basedOn w:val="SubtituVICCHOQUE"/>
    <w:next w:val="Normal0"/>
    <w:autoRedefine/>
    <w:uiPriority w:val="39"/>
    <w:qFormat/>
    <w:rsid w:val="00C81BF7"/>
    <w:pPr>
      <w:tabs>
        <w:tab w:val="right" w:leader="dot" w:pos="8494"/>
      </w:tabs>
      <w:spacing w:before="120" w:after="0" w:line="240" w:lineRule="auto"/>
      <w:ind w:left="220"/>
    </w:pPr>
    <w:rPr>
      <w:rFonts w:eastAsia="Arial MT" w:cs="Arial MT"/>
      <w:b w:val="0"/>
      <w:bCs/>
    </w:rPr>
  </w:style>
  <w:style w:type="paragraph" w:styleId="TDC3">
    <w:name w:val="toc 3"/>
    <w:basedOn w:val="Normal0"/>
    <w:next w:val="Normal0"/>
    <w:autoRedefine/>
    <w:uiPriority w:val="39"/>
    <w:qFormat/>
    <w:rsid w:val="004E5076"/>
    <w:pPr>
      <w:autoSpaceDE/>
      <w:autoSpaceDN/>
      <w:adjustRightInd/>
      <w:spacing w:after="0" w:line="240" w:lineRule="auto"/>
      <w:ind w:left="440"/>
    </w:pPr>
    <w:rPr>
      <w:rFonts w:asciiTheme="minorHAnsi" w:eastAsia="Arial MT" w:hAnsiTheme="minorHAnsi" w:cs="Arial MT"/>
      <w:sz w:val="20"/>
      <w:szCs w:val="20"/>
    </w:rPr>
  </w:style>
  <w:style w:type="paragraph" w:styleId="TDC4">
    <w:name w:val="toc 4"/>
    <w:basedOn w:val="Normal0"/>
    <w:next w:val="Normal0"/>
    <w:autoRedefine/>
    <w:uiPriority w:val="39"/>
    <w:qFormat/>
    <w:rsid w:val="004E5076"/>
    <w:pPr>
      <w:autoSpaceDE/>
      <w:autoSpaceDN/>
      <w:adjustRightInd/>
      <w:spacing w:after="0" w:line="240" w:lineRule="auto"/>
      <w:ind w:left="660"/>
    </w:pPr>
    <w:rPr>
      <w:rFonts w:asciiTheme="minorHAnsi" w:eastAsia="Arial MT" w:hAnsiTheme="minorHAnsi" w:cs="Arial MT"/>
      <w:sz w:val="20"/>
      <w:szCs w:val="20"/>
    </w:rPr>
  </w:style>
  <w:style w:type="paragraph" w:styleId="TDC5">
    <w:name w:val="toc 5"/>
    <w:basedOn w:val="Normal0"/>
    <w:next w:val="Normal0"/>
    <w:autoRedefine/>
    <w:uiPriority w:val="39"/>
    <w:qFormat/>
    <w:rsid w:val="004E5076"/>
    <w:pPr>
      <w:autoSpaceDE/>
      <w:autoSpaceDN/>
      <w:adjustRightInd/>
      <w:spacing w:after="0" w:line="240" w:lineRule="auto"/>
      <w:ind w:left="880"/>
    </w:pPr>
    <w:rPr>
      <w:rFonts w:asciiTheme="minorHAnsi" w:eastAsia="Arial MT" w:hAnsiTheme="minorHAnsi" w:cs="Arial MT"/>
      <w:sz w:val="20"/>
      <w:szCs w:val="20"/>
    </w:rPr>
  </w:style>
  <w:style w:type="paragraph" w:styleId="TDC6">
    <w:name w:val="toc 6"/>
    <w:basedOn w:val="Normal0"/>
    <w:next w:val="Normal0"/>
    <w:autoRedefine/>
    <w:uiPriority w:val="39"/>
    <w:rsid w:val="004E5076"/>
    <w:pPr>
      <w:autoSpaceDE/>
      <w:autoSpaceDN/>
      <w:adjustRightInd/>
      <w:spacing w:after="0" w:line="240" w:lineRule="auto"/>
      <w:ind w:left="1100"/>
    </w:pPr>
    <w:rPr>
      <w:rFonts w:asciiTheme="minorHAnsi" w:eastAsia="Arial MT" w:hAnsiTheme="minorHAnsi" w:cs="Arial MT"/>
      <w:sz w:val="20"/>
      <w:szCs w:val="20"/>
    </w:rPr>
  </w:style>
  <w:style w:type="paragraph" w:styleId="TDC7">
    <w:name w:val="toc 7"/>
    <w:basedOn w:val="Normal0"/>
    <w:next w:val="Normal0"/>
    <w:autoRedefine/>
    <w:uiPriority w:val="39"/>
    <w:rsid w:val="004E5076"/>
    <w:pPr>
      <w:autoSpaceDE/>
      <w:autoSpaceDN/>
      <w:adjustRightInd/>
      <w:spacing w:after="0" w:line="240" w:lineRule="auto"/>
      <w:ind w:left="1320"/>
    </w:pPr>
    <w:rPr>
      <w:rFonts w:asciiTheme="minorHAnsi" w:eastAsia="Arial MT" w:hAnsiTheme="minorHAnsi" w:cs="Arial MT"/>
      <w:sz w:val="20"/>
      <w:szCs w:val="20"/>
    </w:rPr>
  </w:style>
  <w:style w:type="paragraph" w:styleId="TDC8">
    <w:name w:val="toc 8"/>
    <w:basedOn w:val="Normal0"/>
    <w:next w:val="Normal0"/>
    <w:autoRedefine/>
    <w:uiPriority w:val="39"/>
    <w:rsid w:val="004E5076"/>
    <w:pPr>
      <w:autoSpaceDE/>
      <w:autoSpaceDN/>
      <w:adjustRightInd/>
      <w:spacing w:after="0" w:line="240" w:lineRule="auto"/>
      <w:ind w:left="1540"/>
    </w:pPr>
    <w:rPr>
      <w:rFonts w:asciiTheme="minorHAnsi" w:eastAsia="Arial MT" w:hAnsiTheme="minorHAnsi" w:cs="Arial MT"/>
      <w:sz w:val="20"/>
      <w:szCs w:val="20"/>
    </w:rPr>
  </w:style>
  <w:style w:type="paragraph" w:styleId="TDC9">
    <w:name w:val="toc 9"/>
    <w:basedOn w:val="Normal0"/>
    <w:next w:val="Normal0"/>
    <w:autoRedefine/>
    <w:uiPriority w:val="39"/>
    <w:rsid w:val="004E5076"/>
    <w:pPr>
      <w:autoSpaceDE/>
      <w:autoSpaceDN/>
      <w:adjustRightInd/>
      <w:spacing w:after="0" w:line="240" w:lineRule="auto"/>
      <w:ind w:left="1760"/>
    </w:pPr>
    <w:rPr>
      <w:rFonts w:asciiTheme="minorHAnsi" w:eastAsia="Arial MT" w:hAnsiTheme="minorHAnsi" w:cs="Arial MT"/>
      <w:sz w:val="20"/>
      <w:szCs w:val="20"/>
    </w:rPr>
  </w:style>
  <w:style w:type="paragraph" w:customStyle="1" w:styleId="ArticleL2">
    <w:name w:val="Article_L2"/>
    <w:next w:val="Normal0"/>
    <w:rsid w:val="004E5076"/>
    <w:pPr>
      <w:autoSpaceDE w:val="0"/>
      <w:autoSpaceDN w:val="0"/>
      <w:adjustRightInd w:val="0"/>
      <w:spacing w:before="240" w:after="200" w:line="360" w:lineRule="auto"/>
      <w:jc w:val="both"/>
    </w:pPr>
    <w:rPr>
      <w:rFonts w:ascii="Times New Roman" w:eastAsia="Calibri" w:hAnsi="Times New Roman" w:cs="Calibri"/>
      <w:color w:val="FF6600"/>
      <w:sz w:val="24"/>
    </w:rPr>
  </w:style>
  <w:style w:type="paragraph" w:customStyle="1" w:styleId="BodyText22">
    <w:name w:val="Body Text 22"/>
    <w:basedOn w:val="Normal0"/>
    <w:rsid w:val="004E5076"/>
    <w:pPr>
      <w:tabs>
        <w:tab w:val="left" w:pos="567"/>
        <w:tab w:val="left" w:pos="1134"/>
        <w:tab w:val="left" w:pos="1701"/>
        <w:tab w:val="left" w:pos="2268"/>
        <w:tab w:val="left" w:pos="2835"/>
      </w:tabs>
      <w:spacing w:after="0" w:line="240" w:lineRule="auto"/>
      <w:jc w:val="both"/>
    </w:pPr>
    <w:rPr>
      <w:rFonts w:ascii="Times New Roman" w:eastAsia="MS Mincho" w:hAnsi="Times New Roman"/>
      <w:sz w:val="24"/>
      <w:szCs w:val="20"/>
    </w:rPr>
  </w:style>
  <w:style w:type="paragraph" w:customStyle="1" w:styleId="EstiloTtulo1AilAntes6ptoDespus6ptoInterlineado">
    <w:name w:val="Estilo Título 1 + Añil Antes:  6 pto Después:  6 pto Interlineado..."/>
    <w:basedOn w:val="heading10"/>
    <w:uiPriority w:val="99"/>
    <w:rsid w:val="004E5076"/>
    <w:pPr>
      <w:spacing w:after="240" w:line="240" w:lineRule="auto"/>
    </w:pPr>
    <w:rPr>
      <w:rFonts w:cs="Times New Roman"/>
      <w:szCs w:val="20"/>
    </w:rPr>
  </w:style>
  <w:style w:type="paragraph" w:customStyle="1" w:styleId="EstiloEstiloTtulo2ArialNegritaAilSinsubrayadoAntes">
    <w:name w:val="Estilo Estilo Título 2 + Arial Negrita Añil Sin subrayado + Antes:  ..."/>
    <w:basedOn w:val="EstiloTtulo2ArialNegritaAilSinsubrayado"/>
    <w:uiPriority w:val="99"/>
    <w:rsid w:val="004E5076"/>
    <w:pPr>
      <w:spacing w:before="240" w:after="240"/>
    </w:pPr>
  </w:style>
  <w:style w:type="paragraph" w:customStyle="1" w:styleId="Prrafodelista1">
    <w:name w:val="Párrafo de lista1"/>
    <w:basedOn w:val="Normal0"/>
    <w:uiPriority w:val="99"/>
    <w:qFormat/>
    <w:rsid w:val="004E5076"/>
    <w:pPr>
      <w:ind w:left="720"/>
    </w:pPr>
  </w:style>
  <w:style w:type="paragraph" w:customStyle="1" w:styleId="Revisin1">
    <w:name w:val="Revisión1"/>
    <w:hidden/>
    <w:uiPriority w:val="99"/>
    <w:rsid w:val="004E5076"/>
    <w:pPr>
      <w:autoSpaceDE w:val="0"/>
      <w:autoSpaceDN w:val="0"/>
      <w:adjustRightInd w:val="0"/>
      <w:spacing w:after="200" w:line="276" w:lineRule="auto"/>
    </w:pPr>
    <w:rPr>
      <w:rFonts w:ascii="Calibri" w:eastAsia="Times New Roman" w:hAnsi="Calibri" w:cs="Calibri"/>
    </w:rPr>
  </w:style>
  <w:style w:type="character" w:styleId="Refdenotaalpie">
    <w:name w:val="footnote reference"/>
    <w:aliases w:val="(NECG) Footnote Reference,(Ref. de nota al pie),16 Point,Appel note de bas de p,BVI fnr,CVR Ref. de nota al pie,Car Ca,FC,HAB06,Nota de pie,Ref,Style 24,Superscript 6 Point,de nota al pie,referencia nota al pie,sobrescrito,titulo 2"/>
    <w:basedOn w:val="Fuentedeprrafopredeter"/>
    <w:uiPriority w:val="99"/>
    <w:qFormat/>
    <w:rsid w:val="004E5076"/>
    <w:rPr>
      <w:rFonts w:cs="Times New Roman"/>
      <w:vertAlign w:val="superscript"/>
    </w:rPr>
  </w:style>
  <w:style w:type="paragraph" w:customStyle="1" w:styleId="bodytext220">
    <w:name w:val="bodytext22"/>
    <w:basedOn w:val="Normal0"/>
    <w:rsid w:val="004E5076"/>
    <w:pPr>
      <w:spacing w:before="100" w:beforeAutospacing="1" w:after="100" w:afterAutospacing="1" w:line="240" w:lineRule="auto"/>
    </w:pPr>
    <w:rPr>
      <w:rFonts w:ascii="Arial Unicode MS" w:hAnsi="Arial Unicode MS" w:cs="Arial Unicode MS"/>
      <w:sz w:val="24"/>
      <w:szCs w:val="24"/>
    </w:rPr>
  </w:style>
  <w:style w:type="character" w:styleId="Textoennegrita">
    <w:name w:val="Strong"/>
    <w:basedOn w:val="Fuentedeprrafopredeter"/>
    <w:uiPriority w:val="22"/>
    <w:qFormat/>
    <w:rsid w:val="004E5076"/>
    <w:rPr>
      <w:b/>
    </w:rPr>
  </w:style>
  <w:style w:type="character" w:customStyle="1" w:styleId="EstiloCorreo621">
    <w:name w:val="EstiloCorreo621"/>
    <w:rsid w:val="004E5076"/>
    <w:rPr>
      <w:rFonts w:ascii="Arial" w:hAnsi="Arial"/>
      <w:color w:val="000080"/>
    </w:rPr>
  </w:style>
  <w:style w:type="paragraph" w:customStyle="1" w:styleId="BodyText24">
    <w:name w:val="Body Text 24"/>
    <w:basedOn w:val="Normal0"/>
    <w:uiPriority w:val="99"/>
    <w:rsid w:val="004E5076"/>
    <w:pPr>
      <w:tabs>
        <w:tab w:val="left" w:pos="567"/>
        <w:tab w:val="left" w:pos="1134"/>
        <w:tab w:val="left" w:pos="1701"/>
        <w:tab w:val="left" w:pos="2268"/>
        <w:tab w:val="left" w:pos="2835"/>
      </w:tabs>
      <w:spacing w:after="0" w:line="240" w:lineRule="auto"/>
      <w:ind w:left="567" w:hanging="567"/>
      <w:jc w:val="both"/>
    </w:pPr>
    <w:rPr>
      <w:rFonts w:ascii="Times New Roman" w:eastAsiaTheme="minorEastAsia" w:hAnsi="Times New Roman"/>
      <w:szCs w:val="20"/>
    </w:rPr>
  </w:style>
  <w:style w:type="paragraph" w:customStyle="1" w:styleId="a">
    <w:name w:val=":"/>
    <w:basedOn w:val="Normal0"/>
    <w:rsid w:val="004E5076"/>
    <w:pPr>
      <w:tabs>
        <w:tab w:val="left" w:pos="-720"/>
      </w:tabs>
      <w:suppressAutoHyphens/>
      <w:spacing w:after="240" w:line="240" w:lineRule="auto"/>
      <w:jc w:val="both"/>
    </w:pPr>
    <w:rPr>
      <w:rFonts w:ascii="Times New Roman" w:eastAsiaTheme="minorEastAsia" w:hAnsi="Times New Roman"/>
      <w:spacing w:val="-2"/>
      <w:sz w:val="20"/>
      <w:szCs w:val="20"/>
      <w:lang w:val="es-ES_tradnl"/>
    </w:rPr>
  </w:style>
  <w:style w:type="paragraph" w:customStyle="1" w:styleId="p3">
    <w:name w:val="p3"/>
    <w:basedOn w:val="Normal0"/>
    <w:rsid w:val="004E5076"/>
    <w:pPr>
      <w:tabs>
        <w:tab w:val="left" w:pos="720"/>
      </w:tabs>
      <w:spacing w:after="0" w:line="240" w:lineRule="auto"/>
      <w:jc w:val="both"/>
    </w:pPr>
    <w:rPr>
      <w:rFonts w:ascii="Times" w:eastAsiaTheme="minorEastAsia" w:hAnsi="Times"/>
      <w:sz w:val="24"/>
      <w:szCs w:val="20"/>
      <w:lang w:val="es-ES_tradnl"/>
    </w:rPr>
  </w:style>
  <w:style w:type="paragraph" w:styleId="Mapadeldocumento">
    <w:name w:val="Document Map"/>
    <w:basedOn w:val="Normal0"/>
    <w:link w:val="MapadeldocumentoCar"/>
    <w:rsid w:val="004E507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4E5076"/>
    <w:rPr>
      <w:rFonts w:ascii="Tahoma" w:eastAsia="Times New Roman" w:hAnsi="Tahoma" w:cs="Tahoma"/>
      <w:kern w:val="0"/>
      <w:sz w:val="20"/>
      <w:szCs w:val="20"/>
      <w:shd w:val="clear" w:color="auto" w:fill="000080"/>
      <w:lang w:eastAsia="es-PE"/>
    </w:rPr>
  </w:style>
  <w:style w:type="paragraph" w:customStyle="1" w:styleId="Sangria">
    <w:name w:val="Sangria"/>
    <w:basedOn w:val="Normal0"/>
    <w:uiPriority w:val="99"/>
    <w:rsid w:val="004E5076"/>
    <w:pPr>
      <w:spacing w:before="120" w:after="120" w:line="240" w:lineRule="auto"/>
      <w:ind w:left="567" w:hanging="567"/>
      <w:jc w:val="both"/>
    </w:pPr>
    <w:rPr>
      <w:rFonts w:ascii="Times New Roman" w:eastAsiaTheme="minorEastAsia" w:hAnsi="Times New Roman"/>
      <w:sz w:val="24"/>
      <w:szCs w:val="20"/>
      <w:lang w:val="es-ES_tradnl"/>
    </w:rPr>
  </w:style>
  <w:style w:type="paragraph" w:customStyle="1" w:styleId="ALG-Ttulo5">
    <w:name w:val="ALG - Título 5"/>
    <w:basedOn w:val="Normal0"/>
    <w:next w:val="Normal0"/>
    <w:uiPriority w:val="99"/>
    <w:rsid w:val="004E5076"/>
    <w:pPr>
      <w:spacing w:before="120" w:after="120" w:line="240" w:lineRule="auto"/>
      <w:jc w:val="both"/>
    </w:pPr>
    <w:rPr>
      <w:rFonts w:ascii="Century Gothic" w:eastAsiaTheme="minorEastAsia" w:hAnsi="Century Gothic"/>
      <w:sz w:val="20"/>
      <w:szCs w:val="24"/>
      <w:u w:val="single"/>
    </w:rPr>
  </w:style>
  <w:style w:type="paragraph" w:customStyle="1" w:styleId="ALG-Vietas1">
    <w:name w:val="ALG - Viñetas 1"/>
    <w:basedOn w:val="Normal0"/>
    <w:uiPriority w:val="99"/>
    <w:rsid w:val="004E5076"/>
    <w:pPr>
      <w:numPr>
        <w:numId w:val="4"/>
      </w:numPr>
      <w:tabs>
        <w:tab w:val="num" w:pos="360"/>
      </w:tabs>
      <w:spacing w:before="240" w:after="120" w:line="240" w:lineRule="auto"/>
      <w:jc w:val="both"/>
    </w:pPr>
    <w:rPr>
      <w:rFonts w:ascii="Century Gothic" w:hAnsi="Century Gothic"/>
      <w:sz w:val="20"/>
      <w:szCs w:val="24"/>
    </w:rPr>
  </w:style>
  <w:style w:type="character" w:customStyle="1" w:styleId="ALG-Vietas1Car">
    <w:name w:val="ALG - Viñetas 1 Car"/>
    <w:uiPriority w:val="99"/>
    <w:rsid w:val="004E5076"/>
    <w:rPr>
      <w:rFonts w:ascii="Century Gothic" w:hAnsi="Century Gothic"/>
      <w:sz w:val="24"/>
      <w:lang w:val="x-none"/>
    </w:rPr>
  </w:style>
  <w:style w:type="paragraph" w:customStyle="1" w:styleId="ALG-Ttulo4">
    <w:name w:val="ALG - Título 4"/>
    <w:basedOn w:val="Normal0"/>
    <w:next w:val="Normal0"/>
    <w:rsid w:val="004E5076"/>
    <w:pPr>
      <w:spacing w:before="240" w:after="240" w:line="240" w:lineRule="auto"/>
      <w:jc w:val="both"/>
    </w:pPr>
    <w:rPr>
      <w:rFonts w:ascii="Century Gothic" w:eastAsiaTheme="minorEastAsia" w:hAnsi="Century Gothic"/>
      <w:b/>
      <w:sz w:val="20"/>
      <w:szCs w:val="24"/>
      <w:lang w:val="es-ES_tradnl"/>
    </w:rPr>
  </w:style>
  <w:style w:type="character" w:customStyle="1" w:styleId="ALG-Ttulo4Car">
    <w:name w:val="ALG - Título 4 Car"/>
    <w:rsid w:val="004E5076"/>
    <w:rPr>
      <w:rFonts w:ascii="Century Gothic" w:hAnsi="Century Gothic"/>
      <w:b/>
      <w:sz w:val="24"/>
      <w:lang w:val="es-ES_tradnl"/>
    </w:rPr>
  </w:style>
  <w:style w:type="character" w:customStyle="1" w:styleId="EstiloTtulo2AsiticaMSMinchoCarCar">
    <w:name w:val="Estilo Título 2 + (Asiática) MS Mincho Car Car"/>
    <w:rsid w:val="004E5076"/>
    <w:rPr>
      <w:rFonts w:ascii="Arial" w:eastAsia="MS Mincho" w:hAnsi="Arial"/>
      <w:sz w:val="22"/>
      <w:lang w:val="es-ES_tradnl"/>
    </w:rPr>
  </w:style>
  <w:style w:type="paragraph" w:customStyle="1" w:styleId="Titulo4numerado">
    <w:name w:val="Titulo 4 numerado"/>
    <w:uiPriority w:val="99"/>
    <w:rsid w:val="004E5076"/>
    <w:pPr>
      <w:numPr>
        <w:numId w:val="7"/>
      </w:numPr>
      <w:tabs>
        <w:tab w:val="num" w:pos="0"/>
      </w:tabs>
      <w:autoSpaceDE w:val="0"/>
      <w:autoSpaceDN w:val="0"/>
      <w:adjustRightInd w:val="0"/>
      <w:spacing w:after="200" w:line="276" w:lineRule="auto"/>
      <w:ind w:left="0" w:firstLine="0"/>
    </w:pPr>
    <w:rPr>
      <w:rFonts w:eastAsia="Times New Roman" w:cs="Calibri"/>
    </w:rPr>
  </w:style>
  <w:style w:type="paragraph" w:customStyle="1" w:styleId="Titulo10">
    <w:name w:val="Titulo 1"/>
    <w:basedOn w:val="heading10"/>
    <w:uiPriority w:val="99"/>
    <w:rsid w:val="004E5076"/>
    <w:pPr>
      <w:spacing w:before="0" w:after="0" w:line="240" w:lineRule="auto"/>
    </w:pPr>
    <w:rPr>
      <w:rFonts w:eastAsia="MS Mincho"/>
      <w:caps/>
      <w:lang w:val="es-ES_tradnl"/>
    </w:rPr>
  </w:style>
  <w:style w:type="paragraph" w:customStyle="1" w:styleId="Estilo2">
    <w:name w:val="Estilo2"/>
    <w:basedOn w:val="Normal0"/>
    <w:qFormat/>
    <w:rsid w:val="004E5076"/>
    <w:pPr>
      <w:numPr>
        <w:numId w:val="3"/>
      </w:numPr>
      <w:tabs>
        <w:tab w:val="num" w:pos="0"/>
      </w:tabs>
    </w:pPr>
  </w:style>
  <w:style w:type="paragraph" w:customStyle="1" w:styleId="Titulo">
    <w:name w:val="Titulo"/>
    <w:uiPriority w:val="99"/>
    <w:rsid w:val="004E5076"/>
    <w:pPr>
      <w:autoSpaceDE w:val="0"/>
      <w:autoSpaceDN w:val="0"/>
      <w:adjustRightInd w:val="0"/>
      <w:spacing w:after="200" w:line="276" w:lineRule="auto"/>
    </w:pPr>
    <w:rPr>
      <w:rFonts w:eastAsia="Calibri"/>
      <w:b/>
      <w:caps/>
      <w:lang w:val="es-ES_tradnl"/>
    </w:rPr>
  </w:style>
  <w:style w:type="paragraph" w:customStyle="1" w:styleId="EstiloTtulo3Hdg3Heading3aSubrayadoAntes0ptoDespus">
    <w:name w:val="Estilo Título 3Hdg 3Heading 3a + Subrayado Antes:  0 pto Después..."/>
    <w:basedOn w:val="Normal0"/>
    <w:uiPriority w:val="99"/>
    <w:rsid w:val="004E5076"/>
  </w:style>
  <w:style w:type="paragraph" w:customStyle="1" w:styleId="Titulo4">
    <w:name w:val="Titulo 4"/>
    <w:uiPriority w:val="99"/>
    <w:rsid w:val="004E5076"/>
    <w:pPr>
      <w:numPr>
        <w:numId w:val="6"/>
      </w:numPr>
      <w:tabs>
        <w:tab w:val="num" w:pos="0"/>
      </w:tabs>
      <w:autoSpaceDE w:val="0"/>
      <w:autoSpaceDN w:val="0"/>
      <w:adjustRightInd w:val="0"/>
      <w:spacing w:after="200" w:line="276" w:lineRule="auto"/>
      <w:ind w:left="0" w:firstLine="0"/>
    </w:pPr>
    <w:rPr>
      <w:rFonts w:eastAsia="MS Mincho" w:cs="Calibri"/>
      <w:lang w:val="es-ES_tradnl"/>
    </w:rPr>
  </w:style>
  <w:style w:type="paragraph" w:customStyle="1" w:styleId="BodyText31">
    <w:name w:val="Body Text 31"/>
    <w:basedOn w:val="Normal0"/>
    <w:uiPriority w:val="99"/>
    <w:rsid w:val="004E5076"/>
    <w:pPr>
      <w:spacing w:after="0" w:line="240" w:lineRule="auto"/>
      <w:jc w:val="both"/>
    </w:pPr>
    <w:rPr>
      <w:rFonts w:ascii="Arial Narrow" w:eastAsiaTheme="minorEastAsia" w:hAnsi="Arial Narrow" w:cs="Arial"/>
      <w:sz w:val="18"/>
      <w:szCs w:val="18"/>
      <w:lang w:val="es-MX"/>
    </w:rPr>
  </w:style>
  <w:style w:type="paragraph" w:customStyle="1" w:styleId="CM39">
    <w:name w:val="CM39"/>
    <w:basedOn w:val="Default"/>
    <w:next w:val="Default"/>
    <w:rsid w:val="004E5076"/>
    <w:pPr>
      <w:spacing w:after="200" w:line="253" w:lineRule="atLeast"/>
    </w:pPr>
    <w:rPr>
      <w:rFonts w:eastAsia="Calibri"/>
      <w:color w:val="auto"/>
      <w:lang w:val="es-ES"/>
    </w:rPr>
  </w:style>
  <w:style w:type="paragraph" w:customStyle="1" w:styleId="sinestilo">
    <w:name w:val="sin estilo"/>
    <w:uiPriority w:val="99"/>
    <w:rsid w:val="004E5076"/>
    <w:pPr>
      <w:autoSpaceDE w:val="0"/>
      <w:autoSpaceDN w:val="0"/>
      <w:adjustRightInd w:val="0"/>
      <w:spacing w:before="120" w:after="120" w:line="276" w:lineRule="auto"/>
      <w:jc w:val="center"/>
      <w:outlineLvl w:val="0"/>
    </w:pPr>
    <w:rPr>
      <w:rFonts w:eastAsia="MS Mincho"/>
      <w:b/>
    </w:rPr>
  </w:style>
  <w:style w:type="paragraph" w:customStyle="1" w:styleId="Estilo1">
    <w:name w:val="Estilo1"/>
    <w:next w:val="sinestilo"/>
    <w:qFormat/>
    <w:rsid w:val="004E5076"/>
    <w:pPr>
      <w:autoSpaceDE w:val="0"/>
      <w:autoSpaceDN w:val="0"/>
      <w:adjustRightInd w:val="0"/>
      <w:spacing w:before="120" w:after="120" w:line="276" w:lineRule="auto"/>
    </w:pPr>
    <w:rPr>
      <w:rFonts w:eastAsia="MS Mincho"/>
    </w:rPr>
  </w:style>
  <w:style w:type="paragraph" w:customStyle="1" w:styleId="EstiloArialNegroJustificadoDespus0ptoInterlineadose">
    <w:name w:val="Estilo Arial Negro Justificado Después:  0 pto Interlineado:  se..."/>
    <w:basedOn w:val="Normal0"/>
    <w:next w:val="sinestilo"/>
    <w:uiPriority w:val="99"/>
    <w:rsid w:val="004E5076"/>
    <w:pPr>
      <w:spacing w:after="0" w:line="240" w:lineRule="auto"/>
      <w:jc w:val="both"/>
    </w:pPr>
    <w:rPr>
      <w:rFonts w:ascii="Arial" w:hAnsi="Arial"/>
      <w:color w:val="000000"/>
      <w:szCs w:val="20"/>
    </w:rPr>
  </w:style>
  <w:style w:type="paragraph" w:styleId="Textoindependiente3">
    <w:name w:val="Body Text 3"/>
    <w:basedOn w:val="Normal0"/>
    <w:link w:val="Textoindependiente3Car"/>
    <w:rsid w:val="004E5076"/>
    <w:pPr>
      <w:spacing w:after="120" w:line="240" w:lineRule="auto"/>
    </w:pPr>
    <w:rPr>
      <w:rFonts w:eastAsiaTheme="minorEastAsia"/>
      <w:color w:val="000000"/>
      <w:sz w:val="16"/>
      <w:szCs w:val="16"/>
    </w:rPr>
  </w:style>
  <w:style w:type="character" w:customStyle="1" w:styleId="Textoindependiente3Car">
    <w:name w:val="Texto independiente 3 Car"/>
    <w:basedOn w:val="Fuentedeprrafopredeter"/>
    <w:link w:val="Textoindependiente3"/>
    <w:rsid w:val="004E5076"/>
    <w:rPr>
      <w:rFonts w:ascii="Calibri" w:eastAsiaTheme="minorEastAsia" w:hAnsi="Calibri" w:cs="Calibri"/>
      <w:color w:val="000000"/>
      <w:kern w:val="0"/>
      <w:sz w:val="16"/>
      <w:szCs w:val="16"/>
      <w:lang w:eastAsia="es-PE"/>
    </w:rPr>
  </w:style>
  <w:style w:type="paragraph" w:customStyle="1" w:styleId="subpar">
    <w:name w:val="subpar"/>
    <w:basedOn w:val="Sangra3detindependiente"/>
    <w:rsid w:val="004E5076"/>
    <w:pPr>
      <w:spacing w:before="120" w:line="240" w:lineRule="auto"/>
      <w:ind w:left="0"/>
      <w:jc w:val="both"/>
      <w:outlineLvl w:val="2"/>
    </w:pPr>
    <w:rPr>
      <w:rFonts w:ascii="Times New Roman" w:eastAsiaTheme="minorEastAsia" w:hAnsi="Times New Roman"/>
      <w:sz w:val="24"/>
      <w:szCs w:val="20"/>
      <w:lang w:val="es-ES_tradnl"/>
    </w:rPr>
  </w:style>
  <w:style w:type="paragraph" w:customStyle="1" w:styleId="ALG-Tablas-Cap4">
    <w:name w:val="ALG - Tablas - Cap.4"/>
    <w:next w:val="Normal0"/>
    <w:uiPriority w:val="99"/>
    <w:rsid w:val="004E5076"/>
    <w:pPr>
      <w:numPr>
        <w:numId w:val="8"/>
      </w:numPr>
      <w:autoSpaceDE w:val="0"/>
      <w:autoSpaceDN w:val="0"/>
      <w:adjustRightInd w:val="0"/>
      <w:spacing w:before="120" w:after="120" w:line="276" w:lineRule="auto"/>
      <w:jc w:val="center"/>
    </w:pPr>
    <w:rPr>
      <w:rFonts w:ascii="Century Gothic" w:eastAsia="Calibri" w:hAnsi="Century Gothic" w:cs="Calibri"/>
      <w:b/>
      <w:szCs w:val="24"/>
      <w:lang w:val="es-ES_tradnl"/>
    </w:rPr>
  </w:style>
  <w:style w:type="paragraph" w:customStyle="1" w:styleId="Sangra2detindependiente1">
    <w:name w:val="Sangría 2 de t. independiente1"/>
    <w:basedOn w:val="Normal0"/>
    <w:rsid w:val="004E5076"/>
    <w:pPr>
      <w:spacing w:after="0" w:line="240" w:lineRule="auto"/>
      <w:ind w:left="426"/>
      <w:jc w:val="both"/>
    </w:pPr>
    <w:rPr>
      <w:rFonts w:ascii="Arial" w:eastAsiaTheme="minorEastAsia" w:hAnsi="Arial"/>
      <w:sz w:val="24"/>
      <w:szCs w:val="20"/>
      <w:lang w:val="es-ES_tradnl"/>
    </w:rPr>
  </w:style>
  <w:style w:type="character" w:customStyle="1" w:styleId="ft0">
    <w:name w:val="ft0"/>
    <w:basedOn w:val="Fuentedeprrafopredeter"/>
    <w:rsid w:val="004E5076"/>
    <w:rPr>
      <w:rFonts w:cs="Times New Roman"/>
    </w:rPr>
  </w:style>
  <w:style w:type="character" w:customStyle="1" w:styleId="Ttulo3Car1">
    <w:name w:val="Título 3 Car1"/>
    <w:aliases w:val="Hdg 3 Car1,Heading 3a Car1,Título nivel 3 Car Car1,Título nivel 3 Car2,y Car1,3 bullet Car1,2 Car1,Title 3 Car1,Sub Heading Car1,ALK_K3 Car1,D&amp;M3 Car1,D&amp;M 3 Car1"/>
    <w:uiPriority w:val="99"/>
    <w:rsid w:val="004E5076"/>
    <w:rPr>
      <w:rFonts w:ascii="Cambria" w:hAnsi="Cambria"/>
      <w:color w:val="243F60"/>
      <w:sz w:val="24"/>
      <w:lang w:val="es-ES"/>
    </w:rPr>
  </w:style>
  <w:style w:type="character" w:customStyle="1" w:styleId="Ttulo4Car1">
    <w:name w:val="Título 4 Car1"/>
    <w:aliases w:val="Título 4amb Car1,Title 4 Car1,Sub Sub Heading Car1,ALK_K4 Car1,Alinéa Car1,Chapitre 1.1.1. Car1"/>
    <w:uiPriority w:val="99"/>
    <w:rsid w:val="004E5076"/>
    <w:rPr>
      <w:rFonts w:ascii="Cambria" w:hAnsi="Cambria"/>
      <w:i/>
      <w:color w:val="365F91"/>
      <w:sz w:val="22"/>
      <w:lang w:val="es-ES"/>
    </w:rPr>
  </w:style>
  <w:style w:type="paragraph" w:styleId="ndice1">
    <w:name w:val="index 1"/>
    <w:basedOn w:val="Normal0"/>
    <w:next w:val="Normal0"/>
    <w:autoRedefine/>
    <w:uiPriority w:val="99"/>
    <w:rsid w:val="004E5076"/>
    <w:pPr>
      <w:spacing w:after="0" w:line="240" w:lineRule="auto"/>
      <w:ind w:left="220" w:hanging="220"/>
      <w:jc w:val="both"/>
    </w:pPr>
    <w:rPr>
      <w:rFonts w:ascii="Arial" w:eastAsia="Batang" w:hAnsi="Arial"/>
      <w:szCs w:val="20"/>
    </w:rPr>
  </w:style>
  <w:style w:type="paragraph" w:styleId="ndice2">
    <w:name w:val="index 2"/>
    <w:basedOn w:val="Normal0"/>
    <w:next w:val="Normal0"/>
    <w:autoRedefine/>
    <w:uiPriority w:val="99"/>
    <w:rsid w:val="004E5076"/>
    <w:pPr>
      <w:numPr>
        <w:numId w:val="9"/>
      </w:numPr>
      <w:spacing w:after="0" w:line="240" w:lineRule="auto"/>
    </w:pPr>
    <w:rPr>
      <w:rFonts w:ascii="Arial Narrow" w:eastAsiaTheme="minorEastAsia" w:hAnsi="Arial Narrow" w:cs="Arial"/>
      <w:b/>
      <w:sz w:val="28"/>
      <w:szCs w:val="28"/>
      <w:u w:val="single"/>
    </w:rPr>
  </w:style>
  <w:style w:type="paragraph" w:styleId="ndice5">
    <w:name w:val="index 5"/>
    <w:basedOn w:val="Normal0"/>
    <w:next w:val="Normal0"/>
    <w:autoRedefine/>
    <w:uiPriority w:val="99"/>
    <w:rsid w:val="004E5076"/>
    <w:pPr>
      <w:spacing w:after="0" w:line="240" w:lineRule="auto"/>
      <w:ind w:left="1100" w:hanging="220"/>
      <w:jc w:val="both"/>
    </w:pPr>
    <w:rPr>
      <w:rFonts w:ascii="Arial" w:eastAsia="Batang" w:hAnsi="Arial"/>
      <w:szCs w:val="20"/>
    </w:rPr>
  </w:style>
  <w:style w:type="character" w:customStyle="1" w:styleId="TextonotapieCar1">
    <w:name w:val="Texto nota pie Car1"/>
    <w:aliases w:val="Car1 Car Car Car1,FN Car1,Footnote Text Char Char1 Car1,Footnote Text Char Char1 Char1 Char Char Car1,Footnote Text Char1 Car1,Footnote Text Char1 Char1 Char1 Char Car1,Footnote Text Char4 Char Char Car1,f Car1"/>
    <w:uiPriority w:val="99"/>
    <w:rsid w:val="004E5076"/>
    <w:rPr>
      <w:rFonts w:ascii="Arial" w:eastAsia="Batang" w:hAnsi="Arial"/>
      <w:lang w:val="es-ES"/>
    </w:rPr>
  </w:style>
  <w:style w:type="character" w:customStyle="1" w:styleId="PiedepginaCar1">
    <w:name w:val="Pie de página Car1"/>
    <w:aliases w:val="Pie de página ALG Car1,_Pie de página Tesis Car1"/>
    <w:uiPriority w:val="99"/>
    <w:rsid w:val="004E5076"/>
    <w:rPr>
      <w:rFonts w:ascii="Arial" w:eastAsia="Batang" w:hAnsi="Arial"/>
      <w:sz w:val="22"/>
      <w:lang w:val="es-ES"/>
    </w:rPr>
  </w:style>
  <w:style w:type="character" w:customStyle="1" w:styleId="DescripcinCar">
    <w:name w:val="Descripción Car"/>
    <w:aliases w:val="Didascalia Carattere Car,Didascalia Carattere Carattere Car,Didascalia Carattere Carattere Carattere Car,Didascalia Carattere Carattere Carattere Carattere Carattere Carattere Car,Didascalia1 Car,Map Car,Map Carattere Car,Map1 Car"/>
    <w:link w:val="Epgrafe1"/>
    <w:uiPriority w:val="35"/>
    <w:rsid w:val="004E5076"/>
    <w:rPr>
      <w:rFonts w:ascii="Times New Roman" w:hAnsi="Times New Roman"/>
      <w:b/>
      <w:caps/>
      <w:sz w:val="18"/>
      <w:lang w:val="x-none"/>
    </w:rPr>
  </w:style>
  <w:style w:type="paragraph" w:styleId="Descripcin">
    <w:name w:val="caption"/>
    <w:aliases w:val="Cuadr,Epígrafe 1,Epígrafe 1 Car Car,Epígrafe Car Car Car Car Car,Epígrafe Car Car Car Car Car Car Car Car,Epígrafe Car Car Car Car Car Car Car Car Car Car Car,Epígrafe Car Car Car Car Car Car Car Car Car Car Car Car Car Car Car C,Legend,Map1"/>
    <w:basedOn w:val="Normal0"/>
    <w:next w:val="Normal0"/>
    <w:uiPriority w:val="35"/>
    <w:qFormat/>
    <w:rsid w:val="004E5076"/>
    <w:pPr>
      <w:spacing w:after="0" w:line="240" w:lineRule="auto"/>
    </w:pPr>
    <w:rPr>
      <w:rFonts w:ascii="Times New Roman" w:hAnsi="Times New Roman"/>
      <w:b/>
      <w:caps/>
      <w:sz w:val="16"/>
      <w:szCs w:val="18"/>
    </w:rPr>
  </w:style>
  <w:style w:type="paragraph" w:styleId="Lista">
    <w:name w:val="List"/>
    <w:basedOn w:val="Normal0"/>
    <w:uiPriority w:val="99"/>
    <w:rsid w:val="004E5076"/>
    <w:pPr>
      <w:spacing w:after="0" w:line="240" w:lineRule="auto"/>
      <w:ind w:left="283" w:hanging="283"/>
    </w:pPr>
    <w:rPr>
      <w:rFonts w:ascii="Times New Roman" w:eastAsiaTheme="minorEastAsia" w:hAnsi="Times New Roman"/>
      <w:sz w:val="24"/>
      <w:szCs w:val="24"/>
    </w:rPr>
  </w:style>
  <w:style w:type="paragraph" w:styleId="Listaconvietas">
    <w:name w:val="List Bullet"/>
    <w:aliases w:val="TT Project title"/>
    <w:basedOn w:val="Normal0"/>
    <w:autoRedefine/>
    <w:uiPriority w:val="99"/>
    <w:qFormat/>
    <w:rsid w:val="004E5076"/>
    <w:pPr>
      <w:tabs>
        <w:tab w:val="left" w:pos="1068"/>
      </w:tabs>
      <w:spacing w:after="0" w:line="240" w:lineRule="auto"/>
      <w:ind w:left="1068" w:hanging="360"/>
    </w:pPr>
    <w:rPr>
      <w:rFonts w:ascii="Times New Roman" w:hAnsi="Times New Roman"/>
      <w:sz w:val="20"/>
      <w:szCs w:val="20"/>
      <w:lang w:val="es-ES_tradnl"/>
    </w:rPr>
  </w:style>
  <w:style w:type="paragraph" w:styleId="Lista2">
    <w:name w:val="List 2"/>
    <w:basedOn w:val="Normal0"/>
    <w:rsid w:val="004E5076"/>
    <w:pPr>
      <w:spacing w:after="0" w:line="240" w:lineRule="auto"/>
      <w:ind w:left="566" w:hanging="283"/>
    </w:pPr>
    <w:rPr>
      <w:rFonts w:ascii="Times New Roman" w:eastAsiaTheme="minorEastAsia" w:hAnsi="Times New Roman"/>
      <w:sz w:val="24"/>
      <w:szCs w:val="24"/>
    </w:rPr>
  </w:style>
  <w:style w:type="paragraph" w:styleId="Lista3">
    <w:name w:val="List 3"/>
    <w:basedOn w:val="Normal0"/>
    <w:rsid w:val="004E5076"/>
    <w:pPr>
      <w:spacing w:after="0" w:line="240" w:lineRule="auto"/>
      <w:ind w:left="849" w:hanging="283"/>
    </w:pPr>
    <w:rPr>
      <w:rFonts w:ascii="Times New Roman" w:eastAsiaTheme="minorEastAsia" w:hAnsi="Times New Roman"/>
      <w:sz w:val="24"/>
      <w:szCs w:val="24"/>
    </w:rPr>
  </w:style>
  <w:style w:type="paragraph" w:styleId="Lista4">
    <w:name w:val="List 4"/>
    <w:basedOn w:val="Normal0"/>
    <w:rsid w:val="004E5076"/>
    <w:pPr>
      <w:spacing w:after="0" w:line="240" w:lineRule="auto"/>
      <w:ind w:left="1132" w:hanging="283"/>
    </w:pPr>
    <w:rPr>
      <w:rFonts w:ascii="Times New Roman" w:eastAsiaTheme="minorEastAsia" w:hAnsi="Times New Roman"/>
      <w:sz w:val="24"/>
      <w:szCs w:val="24"/>
    </w:rPr>
  </w:style>
  <w:style w:type="character" w:customStyle="1" w:styleId="Mencinsinresolver1">
    <w:name w:val="Mención sin resolver1"/>
    <w:basedOn w:val="Fuentedeprrafopredeter"/>
    <w:uiPriority w:val="99"/>
    <w:rsid w:val="004E5076"/>
    <w:rPr>
      <w:rFonts w:cs="Times New Roman"/>
      <w:color w:val="605E5C"/>
      <w:shd w:val="clear" w:color="auto" w:fill="E1DFDD"/>
    </w:rPr>
  </w:style>
  <w:style w:type="character" w:customStyle="1" w:styleId="PuestoCar1">
    <w:name w:val="Puesto Car1"/>
    <w:aliases w:val="SubTítulo Car1"/>
    <w:uiPriority w:val="10"/>
    <w:rsid w:val="004E5076"/>
    <w:rPr>
      <w:rFonts w:ascii="Calibri Light" w:hAnsi="Calibri Light"/>
      <w:spacing w:val="-10"/>
      <w:kern w:val="28"/>
      <w:sz w:val="56"/>
    </w:rPr>
  </w:style>
  <w:style w:type="character" w:customStyle="1" w:styleId="TextoindependienteCar1">
    <w:name w:val="Texto independiente Car1"/>
    <w:aliases w:val="Ctrl+1 Car1,Texto CH2M Car1,Titulo 4 Car1,bt Car1,Car Car21 Car"/>
    <w:uiPriority w:val="99"/>
    <w:rsid w:val="004E5076"/>
    <w:rPr>
      <w:rFonts w:ascii="Arial" w:eastAsia="Batang" w:hAnsi="Arial"/>
      <w:sz w:val="22"/>
      <w:lang w:val="es-ES"/>
    </w:rPr>
  </w:style>
  <w:style w:type="character" w:customStyle="1" w:styleId="SangradetextonormalCar1">
    <w:name w:val="Sangría de texto normal Car1"/>
    <w:aliases w:val="Sangría de t Car1,independiente Car1"/>
    <w:rsid w:val="004E5076"/>
    <w:rPr>
      <w:rFonts w:ascii="Arial" w:eastAsia="Batang" w:hAnsi="Arial"/>
      <w:sz w:val="22"/>
      <w:lang w:val="es-ES"/>
    </w:rPr>
  </w:style>
  <w:style w:type="paragraph" w:styleId="Continuarlista">
    <w:name w:val="List Continue"/>
    <w:basedOn w:val="Normal0"/>
    <w:rsid w:val="004E5076"/>
    <w:pPr>
      <w:spacing w:after="120" w:line="240" w:lineRule="auto"/>
      <w:ind w:left="283"/>
    </w:pPr>
    <w:rPr>
      <w:rFonts w:ascii="Times New Roman" w:eastAsiaTheme="minorEastAsia" w:hAnsi="Times New Roman"/>
      <w:sz w:val="24"/>
      <w:szCs w:val="24"/>
    </w:rPr>
  </w:style>
  <w:style w:type="paragraph" w:styleId="Saludo">
    <w:name w:val="Salutation"/>
    <w:basedOn w:val="Normal0"/>
    <w:next w:val="Normal0"/>
    <w:link w:val="SaludoCar"/>
    <w:rsid w:val="004E5076"/>
    <w:pPr>
      <w:spacing w:after="0" w:line="240" w:lineRule="auto"/>
    </w:pPr>
    <w:rPr>
      <w:rFonts w:ascii="Times New Roman" w:eastAsiaTheme="minorEastAsia" w:hAnsi="Times New Roman"/>
      <w:sz w:val="24"/>
      <w:szCs w:val="24"/>
    </w:rPr>
  </w:style>
  <w:style w:type="character" w:customStyle="1" w:styleId="SaludoCar">
    <w:name w:val="Saludo Car"/>
    <w:basedOn w:val="Fuentedeprrafopredeter"/>
    <w:link w:val="Saludo"/>
    <w:rsid w:val="004E5076"/>
    <w:rPr>
      <w:rFonts w:ascii="Times New Roman" w:eastAsiaTheme="minorEastAsia" w:hAnsi="Times New Roman" w:cs="Calibri"/>
      <w:kern w:val="0"/>
      <w:sz w:val="24"/>
      <w:szCs w:val="24"/>
      <w:lang w:eastAsia="es-PE"/>
    </w:rPr>
  </w:style>
  <w:style w:type="paragraph" w:styleId="Textoindependienteprimerasangra">
    <w:name w:val="Body Text First Indent"/>
    <w:basedOn w:val="Textoindependiente"/>
    <w:link w:val="TextoindependienteprimerasangraCar"/>
    <w:rsid w:val="004E5076"/>
    <w:pPr>
      <w:widowControl/>
      <w:adjustRightInd w:val="0"/>
      <w:spacing w:after="120"/>
      <w:ind w:firstLine="210"/>
    </w:pPr>
    <w:rPr>
      <w:rFonts w:eastAsiaTheme="minorEastAsia"/>
      <w:spacing w:val="-3"/>
      <w:sz w:val="24"/>
      <w:szCs w:val="24"/>
      <w:lang w:val="es-PE" w:eastAsia="es-PE"/>
    </w:rPr>
  </w:style>
  <w:style w:type="character" w:customStyle="1" w:styleId="TextoindependienteprimerasangraCar">
    <w:name w:val="Texto independiente primera sangría Car"/>
    <w:basedOn w:val="TextoindependienteCar"/>
    <w:link w:val="Textoindependienteprimerasangra"/>
    <w:rsid w:val="004E5076"/>
    <w:rPr>
      <w:rFonts w:ascii="Arial" w:eastAsiaTheme="minorEastAsia" w:hAnsi="Arial" w:cs="Arial"/>
      <w:spacing w:val="-3"/>
      <w:kern w:val="0"/>
      <w:sz w:val="24"/>
      <w:szCs w:val="24"/>
      <w:lang w:val="es-ES" w:eastAsia="es-PE"/>
    </w:rPr>
  </w:style>
  <w:style w:type="character" w:customStyle="1" w:styleId="TextoindependienteCar2">
    <w:name w:val="Texto independiente Car2"/>
    <w:aliases w:val="(Main Text) Car1,ANEXO TEXTOS Texto ind Car1,BODY TEXT Car1,Block text Car1,Body Text (Main text) Car,Corpo testo Car1,Ctrl+1 Car2,Testo.t2 Car1,Texto CH2M Car2,Texto independiente Car Car Car Car1,body text Car1,bt Car2"/>
    <w:uiPriority w:val="99"/>
    <w:rsid w:val="004E5076"/>
    <w:rPr>
      <w:rFonts w:ascii="Calibri" w:eastAsia="Times New Roman" w:hAnsi="Calibri"/>
    </w:rPr>
  </w:style>
  <w:style w:type="paragraph" w:styleId="Textoindependienteprimerasangra2">
    <w:name w:val="Body Text First Indent 2"/>
    <w:basedOn w:val="Sangradetextonormal"/>
    <w:link w:val="Textoindependienteprimerasangra2Car"/>
    <w:rsid w:val="004E5076"/>
    <w:pPr>
      <w:spacing w:line="240" w:lineRule="auto"/>
      <w:ind w:firstLine="210"/>
    </w:pPr>
    <w:rPr>
      <w:rFonts w:ascii="Arial" w:eastAsiaTheme="minorEastAsia" w:hAnsi="Arial" w:cs="Arial"/>
      <w:sz w:val="24"/>
      <w:szCs w:val="24"/>
    </w:rPr>
  </w:style>
  <w:style w:type="character" w:customStyle="1" w:styleId="Textoindependienteprimerasangra2Car">
    <w:name w:val="Texto independiente primera sangría 2 Car"/>
    <w:basedOn w:val="SangradetextonormalCar"/>
    <w:link w:val="Textoindependienteprimerasangra2"/>
    <w:rsid w:val="004E5076"/>
    <w:rPr>
      <w:rFonts w:ascii="Arial" w:eastAsiaTheme="minorEastAsia" w:hAnsi="Arial" w:cs="Arial"/>
      <w:kern w:val="0"/>
      <w:sz w:val="24"/>
      <w:szCs w:val="24"/>
      <w:lang w:eastAsia="es-PE"/>
    </w:rPr>
  </w:style>
  <w:style w:type="character" w:customStyle="1" w:styleId="SangradetextonormalCar2">
    <w:name w:val="Sangría de texto normal Car2"/>
    <w:aliases w:val="Sangría de t Car2,independiente Car2"/>
    <w:rsid w:val="004E5076"/>
    <w:rPr>
      <w:rFonts w:ascii="Calibri" w:eastAsia="Times New Roman" w:hAnsi="Calibri"/>
    </w:rPr>
  </w:style>
  <w:style w:type="character" w:customStyle="1" w:styleId="TextosinformatoCar1">
    <w:name w:val="Texto sin formato Car1"/>
    <w:aliases w:val="Car Car1,Texto nota pie Car2,Texto nota pie Car Car Car1,Texto nota pie Car1 Car1,Footnote Text Char Car1,Geneva 9 Car1,Font: Geneva 9 Car1,Boston 10 Car1,single space Car1,Fußnotentextr Car1,Texto nota pie Car1 Car Car Car1"/>
    <w:rsid w:val="004E5076"/>
    <w:rPr>
      <w:rFonts w:ascii="Courier New" w:eastAsia="Batang" w:hAnsi="Courier New"/>
      <w:sz w:val="22"/>
      <w:lang w:val="es-ES"/>
    </w:rPr>
  </w:style>
  <w:style w:type="character" w:customStyle="1" w:styleId="SinespaciadoCar">
    <w:name w:val="Sin espaciado Car"/>
    <w:aliases w:val="Titulo 5 Car,Figuritas Car"/>
    <w:uiPriority w:val="1"/>
    <w:rsid w:val="004E5076"/>
    <w:rPr>
      <w:rFonts w:ascii="Times New Roman" w:hAnsi="Times New Roman"/>
      <w:sz w:val="24"/>
      <w:lang w:val="x-none"/>
    </w:rPr>
  </w:style>
  <w:style w:type="paragraph" w:styleId="Sinespaciado">
    <w:name w:val="No Spacing"/>
    <w:aliases w:val="Titulo 5,Figuritas"/>
    <w:basedOn w:val="Normal0"/>
    <w:uiPriority w:val="1"/>
    <w:qFormat/>
    <w:rsid w:val="004E5076"/>
    <w:pPr>
      <w:spacing w:after="0" w:line="240" w:lineRule="auto"/>
    </w:pPr>
    <w:rPr>
      <w:rFonts w:ascii="Times New Roman" w:eastAsiaTheme="minorEastAsia" w:hAnsi="Times New Roman"/>
      <w:sz w:val="24"/>
      <w:szCs w:val="24"/>
    </w:rPr>
  </w:style>
  <w:style w:type="paragraph" w:customStyle="1" w:styleId="BodyText21">
    <w:name w:val="Body Text 21"/>
    <w:basedOn w:val="Normal0"/>
    <w:rsid w:val="004E5076"/>
    <w:pPr>
      <w:tabs>
        <w:tab w:val="left" w:pos="1"/>
        <w:tab w:val="left" w:pos="582"/>
        <w:tab w:val="left" w:pos="1134"/>
        <w:tab w:val="left" w:pos="1350"/>
        <w:tab w:val="left" w:pos="1701"/>
        <w:tab w:val="left" w:pos="1980"/>
        <w:tab w:val="left" w:pos="2280"/>
        <w:tab w:val="left" w:pos="2616"/>
        <w:tab w:val="left" w:pos="2835"/>
        <w:tab w:val="left" w:pos="4320"/>
        <w:tab w:val="left" w:pos="5040"/>
        <w:tab w:val="left" w:pos="5760"/>
        <w:tab w:val="left" w:pos="6480"/>
        <w:tab w:val="left" w:pos="7200"/>
        <w:tab w:val="left" w:pos="7920"/>
        <w:tab w:val="left" w:pos="8494"/>
      </w:tabs>
      <w:spacing w:after="0" w:line="240" w:lineRule="auto"/>
      <w:jc w:val="both"/>
    </w:pPr>
    <w:rPr>
      <w:rFonts w:ascii="Arial" w:eastAsia="Batang" w:hAnsi="Arial"/>
      <w:szCs w:val="20"/>
    </w:rPr>
  </w:style>
  <w:style w:type="paragraph" w:customStyle="1" w:styleId="subitemt">
    <w:name w:val="subitem t"/>
    <w:basedOn w:val="Normal0"/>
    <w:uiPriority w:val="99"/>
    <w:rsid w:val="004E5076"/>
    <w:pPr>
      <w:tabs>
        <w:tab w:val="right" w:leader="dot" w:pos="851"/>
        <w:tab w:val="right" w:leader="dot" w:pos="8789"/>
      </w:tabs>
      <w:spacing w:before="60" w:after="60" w:line="240" w:lineRule="auto"/>
      <w:jc w:val="both"/>
    </w:pPr>
    <w:rPr>
      <w:rFonts w:ascii="Arial" w:eastAsia="Batang" w:hAnsi="Arial"/>
      <w:sz w:val="24"/>
      <w:szCs w:val="20"/>
    </w:rPr>
  </w:style>
  <w:style w:type="paragraph" w:customStyle="1" w:styleId="item">
    <w:name w:val="item"/>
    <w:basedOn w:val="Normal0"/>
    <w:rsid w:val="004E5076"/>
    <w:pPr>
      <w:tabs>
        <w:tab w:val="num" w:pos="360"/>
      </w:tabs>
      <w:spacing w:before="60" w:after="60" w:line="240" w:lineRule="auto"/>
      <w:ind w:left="360" w:hanging="360"/>
      <w:jc w:val="both"/>
    </w:pPr>
    <w:rPr>
      <w:rFonts w:ascii="Arial" w:eastAsia="Batang" w:hAnsi="Arial"/>
      <w:sz w:val="24"/>
      <w:szCs w:val="20"/>
    </w:rPr>
  </w:style>
  <w:style w:type="paragraph" w:customStyle="1" w:styleId="subitem">
    <w:name w:val="subitem"/>
    <w:basedOn w:val="item"/>
    <w:rsid w:val="004E5076"/>
    <w:pPr>
      <w:tabs>
        <w:tab w:val="clear" w:pos="360"/>
        <w:tab w:val="num" w:pos="720"/>
      </w:tabs>
      <w:ind w:left="720"/>
    </w:pPr>
  </w:style>
  <w:style w:type="paragraph" w:customStyle="1" w:styleId="Textoindependiente31">
    <w:name w:val="Texto independiente 31"/>
    <w:basedOn w:val="Normal0"/>
    <w:rsid w:val="004E5076"/>
    <w:pPr>
      <w:spacing w:after="0" w:line="240" w:lineRule="auto"/>
      <w:jc w:val="both"/>
    </w:pPr>
    <w:rPr>
      <w:rFonts w:ascii="Arial" w:eastAsiaTheme="minorEastAsia" w:hAnsi="Arial"/>
      <w:sz w:val="24"/>
      <w:szCs w:val="20"/>
    </w:rPr>
  </w:style>
  <w:style w:type="paragraph" w:customStyle="1" w:styleId="Textoindependiente21">
    <w:name w:val="Texto independiente 21"/>
    <w:basedOn w:val="Normal0"/>
    <w:rsid w:val="004E5076"/>
    <w:pPr>
      <w:suppressAutoHyphens/>
      <w:spacing w:after="0" w:line="240" w:lineRule="auto"/>
      <w:jc w:val="both"/>
    </w:pPr>
    <w:rPr>
      <w:rFonts w:ascii="Arial" w:eastAsiaTheme="minorEastAsia" w:hAnsi="Arial"/>
      <w:szCs w:val="20"/>
    </w:rPr>
  </w:style>
  <w:style w:type="paragraph" w:customStyle="1" w:styleId="CM90">
    <w:name w:val="CM90"/>
    <w:basedOn w:val="Default"/>
    <w:next w:val="Default"/>
    <w:uiPriority w:val="99"/>
    <w:rsid w:val="004E5076"/>
    <w:pPr>
      <w:spacing w:after="248" w:line="276" w:lineRule="auto"/>
    </w:pPr>
    <w:rPr>
      <w:rFonts w:eastAsia="Calibri"/>
      <w:color w:val="auto"/>
      <w:lang w:val="es-ES"/>
    </w:rPr>
  </w:style>
  <w:style w:type="paragraph" w:customStyle="1" w:styleId="CM92">
    <w:name w:val="CM92"/>
    <w:basedOn w:val="Default"/>
    <w:next w:val="Default"/>
    <w:uiPriority w:val="99"/>
    <w:rsid w:val="004E5076"/>
    <w:pPr>
      <w:spacing w:after="113" w:line="276" w:lineRule="auto"/>
    </w:pPr>
    <w:rPr>
      <w:rFonts w:eastAsia="Calibri"/>
      <w:color w:val="auto"/>
      <w:lang w:val="es-ES"/>
    </w:rPr>
  </w:style>
  <w:style w:type="paragraph" w:customStyle="1" w:styleId="CM6">
    <w:name w:val="CM6"/>
    <w:basedOn w:val="Default"/>
    <w:next w:val="Default"/>
    <w:uiPriority w:val="99"/>
    <w:rsid w:val="004E5076"/>
    <w:pPr>
      <w:spacing w:after="200" w:line="253" w:lineRule="atLeast"/>
    </w:pPr>
    <w:rPr>
      <w:rFonts w:eastAsia="Calibri"/>
      <w:color w:val="auto"/>
      <w:lang w:val="es-ES"/>
    </w:rPr>
  </w:style>
  <w:style w:type="paragraph" w:customStyle="1" w:styleId="CM44">
    <w:name w:val="CM44"/>
    <w:basedOn w:val="Default"/>
    <w:next w:val="Default"/>
    <w:uiPriority w:val="99"/>
    <w:rsid w:val="004E5076"/>
    <w:pPr>
      <w:spacing w:after="200" w:line="253" w:lineRule="atLeast"/>
    </w:pPr>
    <w:rPr>
      <w:rFonts w:eastAsia="Calibri"/>
      <w:color w:val="auto"/>
      <w:lang w:val="es-ES"/>
    </w:rPr>
  </w:style>
  <w:style w:type="paragraph" w:customStyle="1" w:styleId="EstiloTtulo3Hdg3Subrayado">
    <w:name w:val="Estilo Título 3Hdg 3 + Subrayado"/>
    <w:basedOn w:val="heading30"/>
    <w:uiPriority w:val="99"/>
    <w:rsid w:val="004E5076"/>
    <w:pPr>
      <w:spacing w:before="0" w:after="0" w:line="240" w:lineRule="auto"/>
      <w:jc w:val="center"/>
    </w:pPr>
    <w:rPr>
      <w:rFonts w:eastAsia="Batang" w:cs="Times New Roman"/>
      <w:b/>
      <w:szCs w:val="20"/>
    </w:rPr>
  </w:style>
  <w:style w:type="paragraph" w:customStyle="1" w:styleId="Comprimido015pto">
    <w:name w:val="+ Comprimido  0.15 pto"/>
    <w:basedOn w:val="Titulo3"/>
    <w:uiPriority w:val="99"/>
    <w:rsid w:val="004E5076"/>
    <w:pPr>
      <w:numPr>
        <w:numId w:val="0"/>
      </w:numPr>
      <w:jc w:val="both"/>
    </w:pPr>
    <w:rPr>
      <w:rFonts w:eastAsia="Batang" w:cs="Arial"/>
      <w:spacing w:val="-3"/>
      <w:lang w:val="es-PE"/>
    </w:rPr>
  </w:style>
  <w:style w:type="paragraph" w:customStyle="1" w:styleId="Ttulo3Comprimido015pto">
    <w:name w:val="Título 3 + Comprimido  0.15 pto"/>
    <w:basedOn w:val="Comprimido015pto"/>
    <w:uiPriority w:val="99"/>
    <w:rsid w:val="004E5076"/>
    <w:pPr>
      <w:numPr>
        <w:ilvl w:val="2"/>
        <w:numId w:val="10"/>
      </w:numPr>
      <w:tabs>
        <w:tab w:val="num" w:pos="720"/>
      </w:tabs>
    </w:pPr>
  </w:style>
  <w:style w:type="paragraph" w:customStyle="1" w:styleId="Sangra3detindependiente1">
    <w:name w:val="Sangría 3 de t. independiente1"/>
    <w:basedOn w:val="Normal0"/>
    <w:uiPriority w:val="99"/>
    <w:rsid w:val="004E5076"/>
    <w:pPr>
      <w:tabs>
        <w:tab w:val="left" w:pos="0"/>
      </w:tabs>
      <w:suppressAutoHyphens/>
      <w:spacing w:after="0" w:line="240" w:lineRule="auto"/>
      <w:ind w:left="1110"/>
      <w:jc w:val="both"/>
    </w:pPr>
    <w:rPr>
      <w:rFonts w:ascii="Arial" w:eastAsia="Batang" w:hAnsi="Arial"/>
      <w:spacing w:val="-3"/>
      <w:szCs w:val="20"/>
      <w:lang w:val="es-ES_tradnl"/>
    </w:rPr>
  </w:style>
  <w:style w:type="paragraph" w:customStyle="1" w:styleId="TypistsInitials">
    <w:name w:val="Typist's Initials"/>
    <w:basedOn w:val="Normal0"/>
    <w:uiPriority w:val="99"/>
    <w:rsid w:val="004E5076"/>
    <w:pPr>
      <w:spacing w:before="240" w:after="0" w:line="240" w:lineRule="auto"/>
      <w:jc w:val="both"/>
    </w:pPr>
    <w:rPr>
      <w:rFonts w:ascii="Times New Roman" w:eastAsiaTheme="minorEastAsia" w:hAnsi="Times New Roman"/>
      <w:sz w:val="20"/>
      <w:szCs w:val="20"/>
      <w:lang w:val="en-US"/>
    </w:rPr>
  </w:style>
  <w:style w:type="paragraph" w:customStyle="1" w:styleId="EstiloNegritaJustificado">
    <w:name w:val="Estilo Negrita Justificado"/>
    <w:basedOn w:val="heading20"/>
    <w:next w:val="heading20"/>
    <w:uiPriority w:val="99"/>
    <w:rsid w:val="004E5076"/>
    <w:pPr>
      <w:ind w:left="964"/>
      <w:jc w:val="both"/>
    </w:pPr>
    <w:rPr>
      <w:b/>
    </w:rPr>
  </w:style>
  <w:style w:type="paragraph" w:customStyle="1" w:styleId="texto5">
    <w:name w:val="texto5"/>
    <w:basedOn w:val="Normal0"/>
    <w:uiPriority w:val="99"/>
    <w:rsid w:val="004E5076"/>
    <w:pPr>
      <w:spacing w:before="100" w:beforeAutospacing="1" w:after="100" w:afterAutospacing="1" w:line="240" w:lineRule="auto"/>
    </w:pPr>
    <w:rPr>
      <w:rFonts w:ascii="Arial" w:eastAsiaTheme="minorEastAsia" w:hAnsi="Arial" w:cs="Arial"/>
      <w:color w:val="225371"/>
      <w:sz w:val="21"/>
      <w:szCs w:val="21"/>
    </w:rPr>
  </w:style>
  <w:style w:type="paragraph" w:customStyle="1" w:styleId="ListaCC">
    <w:name w:val="Lista CC."/>
    <w:basedOn w:val="Normal0"/>
    <w:uiPriority w:val="99"/>
    <w:rsid w:val="004E5076"/>
    <w:pPr>
      <w:spacing w:after="0" w:line="240" w:lineRule="auto"/>
    </w:pPr>
    <w:rPr>
      <w:rFonts w:ascii="Times New Roman" w:eastAsiaTheme="minorEastAsia" w:hAnsi="Times New Roman"/>
      <w:sz w:val="24"/>
      <w:szCs w:val="24"/>
    </w:rPr>
  </w:style>
  <w:style w:type="paragraph" w:customStyle="1" w:styleId="pelota0">
    <w:name w:val="pelota0"/>
    <w:basedOn w:val="Normal0"/>
    <w:uiPriority w:val="99"/>
    <w:rsid w:val="004E5076"/>
    <w:pPr>
      <w:spacing w:after="0" w:line="240" w:lineRule="auto"/>
      <w:jc w:val="both"/>
    </w:pPr>
    <w:rPr>
      <w:rFonts w:ascii="Times New Roman" w:hAnsi="Times New Roman"/>
    </w:rPr>
  </w:style>
  <w:style w:type="paragraph" w:customStyle="1" w:styleId="CarCarCar">
    <w:name w:val="Car Car Car"/>
    <w:basedOn w:val="Normal0"/>
    <w:uiPriority w:val="99"/>
    <w:qFormat/>
    <w:rsid w:val="004E5076"/>
    <w:pPr>
      <w:spacing w:after="160" w:line="240" w:lineRule="exact"/>
    </w:pPr>
    <w:rPr>
      <w:rFonts w:ascii="Verdana" w:eastAsiaTheme="minorEastAsia" w:hAnsi="Verdana"/>
      <w:sz w:val="20"/>
      <w:szCs w:val="20"/>
      <w:lang w:val="en-US"/>
    </w:rPr>
  </w:style>
  <w:style w:type="character" w:customStyle="1" w:styleId="NoSpacingChar">
    <w:name w:val="No Spacing Char"/>
    <w:rsid w:val="004E5076"/>
    <w:rPr>
      <w:rFonts w:eastAsia="Times New Roman"/>
      <w:lang w:val="en-US"/>
    </w:rPr>
  </w:style>
  <w:style w:type="paragraph" w:customStyle="1" w:styleId="Sinespaciado1">
    <w:name w:val="Sin espaciado1"/>
    <w:qFormat/>
    <w:rsid w:val="004E5076"/>
    <w:pPr>
      <w:autoSpaceDE w:val="0"/>
      <w:autoSpaceDN w:val="0"/>
      <w:adjustRightInd w:val="0"/>
      <w:spacing w:after="200" w:line="276" w:lineRule="auto"/>
    </w:pPr>
    <w:rPr>
      <w:rFonts w:ascii="Calibri" w:eastAsia="Calibri" w:hAnsi="Calibri" w:cs="Calibri"/>
      <w:lang w:val="en-US"/>
    </w:rPr>
  </w:style>
  <w:style w:type="paragraph" w:customStyle="1" w:styleId="Prrafodelista2">
    <w:name w:val="Párrafo de lista2"/>
    <w:basedOn w:val="Normal0"/>
    <w:qFormat/>
    <w:rsid w:val="004E5076"/>
    <w:pPr>
      <w:spacing w:after="0" w:line="240" w:lineRule="auto"/>
      <w:ind w:left="708"/>
    </w:pPr>
    <w:rPr>
      <w:rFonts w:ascii="Times New Roman" w:eastAsiaTheme="minorEastAsia" w:hAnsi="Times New Roman"/>
      <w:sz w:val="24"/>
      <w:szCs w:val="24"/>
    </w:rPr>
  </w:style>
  <w:style w:type="paragraph" w:customStyle="1" w:styleId="Contenidodelmarco">
    <w:name w:val="Contenido del marco"/>
    <w:basedOn w:val="Textoindependiente"/>
    <w:uiPriority w:val="99"/>
    <w:rsid w:val="004E5076"/>
    <w:pPr>
      <w:widowControl/>
      <w:suppressAutoHyphens/>
      <w:adjustRightInd w:val="0"/>
      <w:jc w:val="both"/>
    </w:pPr>
    <w:rPr>
      <w:rFonts w:ascii="Times New Roman" w:eastAsiaTheme="minorEastAsia" w:hAnsi="Times New Roman"/>
      <w:sz w:val="20"/>
      <w:szCs w:val="20"/>
      <w:lang w:val="es-PE" w:eastAsia="es-PE"/>
    </w:rPr>
  </w:style>
  <w:style w:type="paragraph" w:customStyle="1" w:styleId="cuerpo1">
    <w:name w:val="cuerpo1"/>
    <w:basedOn w:val="Textoindependiente"/>
    <w:uiPriority w:val="99"/>
    <w:rsid w:val="004E5076"/>
    <w:pPr>
      <w:widowControl/>
      <w:adjustRightInd w:val="0"/>
      <w:spacing w:before="240"/>
      <w:ind w:left="708"/>
      <w:jc w:val="both"/>
    </w:pPr>
    <w:rPr>
      <w:rFonts w:ascii="AvantGarde Bk BT" w:eastAsiaTheme="minorEastAsia" w:hAnsi="AvantGarde Bk BT"/>
      <w:szCs w:val="20"/>
      <w:lang w:val="es-ES_tradnl" w:eastAsia="es-PE"/>
    </w:rPr>
  </w:style>
  <w:style w:type="paragraph" w:customStyle="1" w:styleId="CUERPO">
    <w:name w:val="CUERPO"/>
    <w:basedOn w:val="Normal0"/>
    <w:uiPriority w:val="99"/>
    <w:rsid w:val="004E5076"/>
    <w:pPr>
      <w:tabs>
        <w:tab w:val="left" w:pos="-1440"/>
        <w:tab w:val="left" w:pos="-720"/>
      </w:tabs>
      <w:suppressAutoHyphens/>
      <w:spacing w:before="120" w:after="240" w:line="240" w:lineRule="atLeast"/>
      <w:ind w:left="709"/>
      <w:jc w:val="both"/>
    </w:pPr>
    <w:rPr>
      <w:rFonts w:ascii="MS Sans Serif" w:eastAsiaTheme="minorEastAsia" w:hAnsi="MS Sans Serif"/>
      <w:spacing w:val="20"/>
      <w:sz w:val="24"/>
      <w:szCs w:val="20"/>
      <w:lang w:val="es-ES_tradnl"/>
    </w:rPr>
  </w:style>
  <w:style w:type="paragraph" w:customStyle="1" w:styleId="Cuerpo0">
    <w:name w:val="Cuerpo"/>
    <w:basedOn w:val="Normal0"/>
    <w:uiPriority w:val="99"/>
    <w:rsid w:val="004E5076"/>
    <w:pPr>
      <w:tabs>
        <w:tab w:val="left" w:pos="-1440"/>
        <w:tab w:val="left" w:pos="-720"/>
      </w:tabs>
      <w:suppressAutoHyphens/>
      <w:spacing w:before="120" w:after="240" w:line="240" w:lineRule="auto"/>
      <w:ind w:left="709"/>
      <w:jc w:val="both"/>
    </w:pPr>
    <w:rPr>
      <w:rFonts w:ascii="Arial" w:eastAsiaTheme="minorEastAsia" w:hAnsi="Arial"/>
      <w:spacing w:val="20"/>
      <w:sz w:val="24"/>
      <w:szCs w:val="20"/>
      <w:lang w:val="es-ES_tradnl"/>
    </w:rPr>
  </w:style>
  <w:style w:type="paragraph" w:customStyle="1" w:styleId="Cuerpo-2">
    <w:name w:val="Cuerpo-2"/>
    <w:basedOn w:val="Normal0"/>
    <w:next w:val="Cuerpo0"/>
    <w:uiPriority w:val="99"/>
    <w:rsid w:val="004E5076"/>
    <w:pPr>
      <w:tabs>
        <w:tab w:val="left" w:pos="-1440"/>
        <w:tab w:val="left" w:pos="-720"/>
        <w:tab w:val="left" w:pos="0"/>
        <w:tab w:val="left" w:pos="720"/>
        <w:tab w:val="left" w:pos="1418"/>
      </w:tabs>
      <w:suppressAutoHyphens/>
      <w:spacing w:before="120" w:after="120" w:line="12" w:lineRule="atLeast"/>
      <w:ind w:left="1418"/>
      <w:jc w:val="both"/>
    </w:pPr>
    <w:rPr>
      <w:rFonts w:ascii="Arial" w:eastAsiaTheme="minorEastAsia" w:hAnsi="Arial"/>
      <w:spacing w:val="20"/>
      <w:sz w:val="24"/>
      <w:szCs w:val="20"/>
    </w:rPr>
  </w:style>
  <w:style w:type="paragraph" w:customStyle="1" w:styleId="Cuerpo-1">
    <w:name w:val="Cuerpo-1"/>
    <w:basedOn w:val="Cuerpo0"/>
    <w:uiPriority w:val="99"/>
    <w:rsid w:val="004E5076"/>
    <w:pPr>
      <w:tabs>
        <w:tab w:val="left" w:pos="0"/>
        <w:tab w:val="left" w:pos="720"/>
        <w:tab w:val="left" w:pos="1418"/>
        <w:tab w:val="left" w:pos="1985"/>
        <w:tab w:val="left" w:pos="2552"/>
      </w:tabs>
      <w:spacing w:after="120" w:line="240" w:lineRule="atLeast"/>
      <w:ind w:left="1418" w:hanging="709"/>
    </w:pPr>
  </w:style>
  <w:style w:type="paragraph" w:customStyle="1" w:styleId="texto">
    <w:name w:val="texto"/>
    <w:basedOn w:val="Normal0"/>
    <w:rsid w:val="004E5076"/>
    <w:pPr>
      <w:spacing w:before="100" w:after="100" w:line="240" w:lineRule="auto"/>
    </w:pPr>
    <w:rPr>
      <w:rFonts w:ascii="Verdana" w:eastAsiaTheme="minorEastAsia" w:hAnsi="Verdana"/>
      <w:b/>
      <w:color w:val="000000"/>
      <w:sz w:val="18"/>
      <w:szCs w:val="20"/>
    </w:rPr>
  </w:style>
  <w:style w:type="paragraph" w:customStyle="1" w:styleId="subttulo3nivel">
    <w:name w:val="subtítulo 3 nivel"/>
    <w:basedOn w:val="Normal0"/>
    <w:uiPriority w:val="99"/>
    <w:rsid w:val="004E5076"/>
    <w:pPr>
      <w:tabs>
        <w:tab w:val="num" w:pos="2970"/>
      </w:tabs>
      <w:spacing w:after="0" w:line="240" w:lineRule="auto"/>
      <w:ind w:left="709" w:hanging="990"/>
      <w:jc w:val="both"/>
    </w:pPr>
    <w:rPr>
      <w:rFonts w:ascii="Garamond" w:eastAsiaTheme="minorEastAsia" w:hAnsi="Garamond"/>
      <w:sz w:val="24"/>
      <w:szCs w:val="20"/>
    </w:rPr>
  </w:style>
  <w:style w:type="paragraph" w:customStyle="1" w:styleId="xl32">
    <w:name w:val="xl32"/>
    <w:basedOn w:val="Normal0"/>
    <w:uiPriority w:val="99"/>
    <w:rsid w:val="004E5076"/>
    <w:pPr>
      <w:spacing w:before="100" w:after="100" w:line="240" w:lineRule="auto"/>
      <w:jc w:val="center"/>
    </w:pPr>
    <w:rPr>
      <w:rFonts w:ascii="Comic Sans MS" w:eastAsiaTheme="minorEastAsia" w:hAnsi="Comic Sans MS"/>
      <w:sz w:val="18"/>
      <w:szCs w:val="20"/>
    </w:rPr>
  </w:style>
  <w:style w:type="paragraph" w:customStyle="1" w:styleId="Numeracin">
    <w:name w:val="Numeración"/>
    <w:basedOn w:val="Normal0"/>
    <w:uiPriority w:val="99"/>
    <w:rsid w:val="004E5076"/>
    <w:pPr>
      <w:tabs>
        <w:tab w:val="num" w:pos="1068"/>
      </w:tabs>
      <w:spacing w:before="120" w:after="120" w:line="240" w:lineRule="auto"/>
      <w:ind w:left="1068" w:hanging="360"/>
      <w:jc w:val="both"/>
    </w:pPr>
    <w:rPr>
      <w:rFonts w:ascii="Arial" w:eastAsiaTheme="minorEastAsia" w:hAnsi="Arial"/>
      <w:sz w:val="20"/>
      <w:szCs w:val="20"/>
    </w:rPr>
  </w:style>
  <w:style w:type="paragraph" w:customStyle="1" w:styleId="NoSpacing1">
    <w:name w:val="No Spacing1"/>
    <w:uiPriority w:val="99"/>
    <w:rsid w:val="004E5076"/>
    <w:pPr>
      <w:autoSpaceDE w:val="0"/>
      <w:autoSpaceDN w:val="0"/>
      <w:adjustRightInd w:val="0"/>
      <w:spacing w:after="200" w:line="276" w:lineRule="auto"/>
    </w:pPr>
    <w:rPr>
      <w:rFonts w:ascii="Calibri" w:eastAsia="Calibri" w:hAnsi="Calibri" w:cs="Calibri"/>
      <w:lang w:val="en-US"/>
    </w:rPr>
  </w:style>
  <w:style w:type="paragraph" w:customStyle="1" w:styleId="ListParagraph1">
    <w:name w:val="List Paragraph1"/>
    <w:basedOn w:val="Normal0"/>
    <w:uiPriority w:val="99"/>
    <w:qFormat/>
    <w:rsid w:val="004E5076"/>
    <w:pPr>
      <w:spacing w:after="0" w:line="240" w:lineRule="auto"/>
      <w:ind w:left="708"/>
    </w:pPr>
    <w:rPr>
      <w:rFonts w:ascii="Times New Roman" w:eastAsiaTheme="minorEastAsia" w:hAnsi="Times New Roman"/>
      <w:sz w:val="24"/>
      <w:szCs w:val="24"/>
    </w:rPr>
  </w:style>
  <w:style w:type="paragraph" w:customStyle="1" w:styleId="BodyTextIndent31">
    <w:name w:val="Body Text Indent 31"/>
    <w:basedOn w:val="Normal0"/>
    <w:uiPriority w:val="99"/>
    <w:rsid w:val="004E5076"/>
    <w:pPr>
      <w:spacing w:after="0" w:line="360" w:lineRule="auto"/>
      <w:ind w:left="1134"/>
      <w:jc w:val="both"/>
    </w:pPr>
    <w:rPr>
      <w:rFonts w:ascii="Century Gothic" w:eastAsiaTheme="minorEastAsia" w:hAnsi="Century Gothic" w:cs="Arial"/>
      <w:szCs w:val="20"/>
    </w:rPr>
  </w:style>
  <w:style w:type="paragraph" w:customStyle="1" w:styleId="Listavistosa-nfasis11">
    <w:name w:val="Lista vistosa - Énfasis 11"/>
    <w:basedOn w:val="Normal0"/>
    <w:link w:val="Listavistosa-nfasis1Car"/>
    <w:uiPriority w:val="34"/>
    <w:qFormat/>
    <w:rsid w:val="004E5076"/>
    <w:pPr>
      <w:ind w:left="720"/>
      <w:contextualSpacing/>
    </w:pPr>
    <w:rPr>
      <w:lang w:val="en-US"/>
    </w:rPr>
  </w:style>
  <w:style w:type="paragraph" w:customStyle="1" w:styleId="TituloClausulas">
    <w:name w:val="Titulo Clausulas"/>
    <w:basedOn w:val="Normal0"/>
    <w:uiPriority w:val="99"/>
    <w:rsid w:val="004E5076"/>
    <w:pPr>
      <w:tabs>
        <w:tab w:val="left" w:pos="-720"/>
      </w:tabs>
      <w:suppressAutoHyphens/>
      <w:spacing w:before="120" w:after="120" w:line="360" w:lineRule="auto"/>
      <w:jc w:val="center"/>
    </w:pPr>
    <w:rPr>
      <w:rFonts w:ascii="Arial" w:eastAsia="MS Mincho" w:hAnsi="Arial"/>
      <w:b/>
      <w:spacing w:val="-2"/>
      <w:sz w:val="24"/>
      <w:szCs w:val="24"/>
      <w:lang w:val="es-ES_tradnl"/>
    </w:rPr>
  </w:style>
  <w:style w:type="paragraph" w:customStyle="1" w:styleId="Elenco03">
    <w:name w:val="Elenco 03"/>
    <w:basedOn w:val="Normal0"/>
    <w:uiPriority w:val="99"/>
    <w:rsid w:val="004E5076"/>
    <w:pPr>
      <w:numPr>
        <w:ilvl w:val="1"/>
        <w:numId w:val="11"/>
      </w:numPr>
      <w:tabs>
        <w:tab w:val="num" w:pos="717"/>
      </w:tabs>
      <w:spacing w:before="60" w:after="0" w:line="240" w:lineRule="auto"/>
      <w:ind w:left="357" w:firstLine="0"/>
      <w:jc w:val="both"/>
    </w:pPr>
    <w:rPr>
      <w:rFonts w:ascii="Arial" w:eastAsiaTheme="minorEastAsia" w:hAnsi="Arial" w:cs="Arial"/>
    </w:rPr>
  </w:style>
  <w:style w:type="character" w:customStyle="1" w:styleId="FigureChar">
    <w:name w:val="Figure Char"/>
    <w:rsid w:val="004E5076"/>
    <w:rPr>
      <w:rFonts w:ascii="Arial" w:hAnsi="Arial"/>
      <w:b/>
      <w:sz w:val="16"/>
      <w:lang w:val="x-none"/>
    </w:rPr>
  </w:style>
  <w:style w:type="paragraph" w:customStyle="1" w:styleId="Figure">
    <w:name w:val="Figure"/>
    <w:basedOn w:val="Normal0"/>
    <w:autoRedefine/>
    <w:rsid w:val="004E5076"/>
    <w:pPr>
      <w:spacing w:before="60" w:after="240" w:line="240" w:lineRule="auto"/>
      <w:jc w:val="center"/>
    </w:pPr>
    <w:rPr>
      <w:rFonts w:ascii="Arial" w:eastAsiaTheme="minorEastAsia" w:hAnsi="Arial" w:cs="Arial"/>
      <w:b/>
      <w:sz w:val="16"/>
      <w:szCs w:val="16"/>
    </w:rPr>
  </w:style>
  <w:style w:type="paragraph" w:customStyle="1" w:styleId="Textotabla">
    <w:name w:val="Texto tabla"/>
    <w:basedOn w:val="Normal0"/>
    <w:autoRedefine/>
    <w:rsid w:val="004E5076"/>
    <w:pPr>
      <w:tabs>
        <w:tab w:val="left" w:pos="851"/>
        <w:tab w:val="left" w:pos="2552"/>
      </w:tabs>
      <w:spacing w:after="0" w:line="240" w:lineRule="auto"/>
      <w:jc w:val="center"/>
    </w:pPr>
    <w:rPr>
      <w:rFonts w:ascii="Arial" w:eastAsiaTheme="minorEastAsia" w:hAnsi="Arial"/>
      <w:szCs w:val="20"/>
      <w:lang w:val="es-ES_tradnl"/>
    </w:rPr>
  </w:style>
  <w:style w:type="character" w:customStyle="1" w:styleId="comunCar">
    <w:name w:val="comun Car"/>
    <w:rsid w:val="004E5076"/>
    <w:rPr>
      <w:rFonts w:ascii="Arial Narrow" w:hAnsi="Arial Narrow"/>
      <w:spacing w:val="-2"/>
      <w:sz w:val="20"/>
      <w:lang w:val="es-ES_tradnl"/>
    </w:rPr>
  </w:style>
  <w:style w:type="paragraph" w:customStyle="1" w:styleId="comun">
    <w:name w:val="comun"/>
    <w:basedOn w:val="Normal0"/>
    <w:autoRedefine/>
    <w:qFormat/>
    <w:rsid w:val="004E5076"/>
    <w:pPr>
      <w:spacing w:after="0" w:line="240" w:lineRule="auto"/>
      <w:ind w:left="458"/>
      <w:jc w:val="center"/>
    </w:pPr>
    <w:rPr>
      <w:rFonts w:ascii="Arial Narrow" w:eastAsiaTheme="minorEastAsia" w:hAnsi="Arial Narrow" w:cs="Arial"/>
      <w:spacing w:val="-2"/>
      <w:sz w:val="20"/>
      <w:szCs w:val="20"/>
      <w:lang w:val="es-ES_tradnl"/>
    </w:rPr>
  </w:style>
  <w:style w:type="character" w:customStyle="1" w:styleId="vietas1CarCar">
    <w:name w:val="viñetas 1 Car Car"/>
    <w:rsid w:val="004E5076"/>
    <w:rPr>
      <w:rFonts w:ascii="Arial Narrow" w:hAnsi="Arial Narrow"/>
      <w:sz w:val="24"/>
      <w:lang w:val="x-none"/>
    </w:rPr>
  </w:style>
  <w:style w:type="paragraph" w:customStyle="1" w:styleId="vietas1">
    <w:name w:val="viñetas 1"/>
    <w:basedOn w:val="Normal0"/>
    <w:autoRedefine/>
    <w:rsid w:val="004E5076"/>
    <w:pPr>
      <w:numPr>
        <w:numId w:val="12"/>
      </w:numPr>
      <w:spacing w:after="0" w:line="240" w:lineRule="auto"/>
      <w:jc w:val="both"/>
    </w:pPr>
    <w:rPr>
      <w:rFonts w:ascii="Arial Narrow" w:eastAsiaTheme="minorEastAsia" w:hAnsi="Arial Narrow"/>
      <w:szCs w:val="24"/>
    </w:rPr>
  </w:style>
  <w:style w:type="character" w:styleId="Refdenotaalfinal">
    <w:name w:val="endnote reference"/>
    <w:basedOn w:val="Fuentedeprrafopredeter"/>
    <w:uiPriority w:val="99"/>
    <w:rsid w:val="004E5076"/>
    <w:rPr>
      <w:vertAlign w:val="superscript"/>
    </w:rPr>
  </w:style>
  <w:style w:type="character" w:styleId="nfasissutil">
    <w:name w:val="Subtle Emphasis"/>
    <w:basedOn w:val="Fuentedeprrafopredeter"/>
    <w:uiPriority w:val="19"/>
    <w:qFormat/>
    <w:rsid w:val="004E5076"/>
    <w:rPr>
      <w:i/>
    </w:rPr>
  </w:style>
  <w:style w:type="character" w:styleId="Referenciasutil">
    <w:name w:val="Subtle Reference"/>
    <w:basedOn w:val="Fuentedeprrafopredeter"/>
    <w:uiPriority w:val="31"/>
    <w:qFormat/>
    <w:rsid w:val="004E5076"/>
    <w:rPr>
      <w:b/>
    </w:rPr>
  </w:style>
  <w:style w:type="character" w:styleId="Ttulodellibro">
    <w:name w:val="Book Title"/>
    <w:basedOn w:val="Fuentedeprrafopredeter"/>
    <w:uiPriority w:val="33"/>
    <w:qFormat/>
    <w:rsid w:val="004E5076"/>
    <w:rPr>
      <w:rFonts w:ascii="Cambria" w:hAnsi="Cambria"/>
      <w:i/>
      <w:sz w:val="20"/>
    </w:rPr>
  </w:style>
  <w:style w:type="character" w:customStyle="1" w:styleId="Hdg3CarCar3">
    <w:name w:val="Hdg 3 Car Car3"/>
    <w:rsid w:val="004E5076"/>
    <w:rPr>
      <w:rFonts w:ascii="Arial" w:eastAsia="Batang" w:hAnsi="Arial"/>
      <w:b/>
      <w:sz w:val="22"/>
      <w:lang w:val="es-ES"/>
    </w:rPr>
  </w:style>
  <w:style w:type="character" w:customStyle="1" w:styleId="estilocorreo20">
    <w:name w:val="estilocorreo20"/>
    <w:rsid w:val="004E5076"/>
    <w:rPr>
      <w:rFonts w:ascii="Arial" w:hAnsi="Arial"/>
      <w:color w:val="000080"/>
    </w:rPr>
  </w:style>
  <w:style w:type="character" w:customStyle="1" w:styleId="EstiloTtulo3Hdg3SubrayadoCar">
    <w:name w:val="Estilo Título 3Hdg 3 + Subrayado Car"/>
    <w:uiPriority w:val="99"/>
    <w:rsid w:val="004E5076"/>
    <w:rPr>
      <w:rFonts w:ascii="Arial" w:eastAsia="Batang" w:hAnsi="Arial"/>
      <w:b/>
      <w:sz w:val="22"/>
      <w:lang w:val="es-ES"/>
    </w:rPr>
  </w:style>
  <w:style w:type="character" w:customStyle="1" w:styleId="Hdg3CarCar">
    <w:name w:val="Hdg 3 Car Car"/>
    <w:rsid w:val="004E5076"/>
    <w:rPr>
      <w:rFonts w:ascii="Arial" w:eastAsia="Batang" w:hAnsi="Arial"/>
      <w:b/>
      <w:sz w:val="22"/>
      <w:lang w:val="es-ES"/>
    </w:rPr>
  </w:style>
  <w:style w:type="character" w:customStyle="1" w:styleId="nshiroma">
    <w:name w:val="nshiroma"/>
    <w:rsid w:val="004E5076"/>
    <w:rPr>
      <w:rFonts w:ascii="Arial" w:hAnsi="Arial"/>
      <w:color w:val="auto"/>
      <w:sz w:val="20"/>
    </w:rPr>
  </w:style>
  <w:style w:type="character" w:customStyle="1" w:styleId="Hdg3CarCar4">
    <w:name w:val="Hdg 3 Car Car4"/>
    <w:rsid w:val="004E5076"/>
    <w:rPr>
      <w:rFonts w:ascii="Arial" w:eastAsia="Batang" w:hAnsi="Arial"/>
      <w:b/>
      <w:sz w:val="22"/>
      <w:lang w:val="es-ES"/>
    </w:rPr>
  </w:style>
  <w:style w:type="character" w:customStyle="1" w:styleId="Hdg3CarCar1">
    <w:name w:val="Hdg 3 Car Car1"/>
    <w:rsid w:val="004E5076"/>
    <w:rPr>
      <w:rFonts w:ascii="Arial" w:eastAsia="Batang" w:hAnsi="Arial"/>
      <w:b/>
      <w:sz w:val="22"/>
      <w:lang w:val="es-ES"/>
    </w:rPr>
  </w:style>
  <w:style w:type="character" w:customStyle="1" w:styleId="DeltaViewInsertion">
    <w:name w:val="DeltaView Insertion"/>
    <w:uiPriority w:val="99"/>
    <w:rsid w:val="004E5076"/>
    <w:rPr>
      <w:color w:val="0000FF"/>
      <w:u w:val="double"/>
    </w:rPr>
  </w:style>
  <w:style w:type="character" w:customStyle="1" w:styleId="DeltaViewDeletion">
    <w:name w:val="DeltaView Deletion"/>
    <w:rsid w:val="004E5076"/>
    <w:rPr>
      <w:strike/>
      <w:color w:val="FF0000"/>
    </w:rPr>
  </w:style>
  <w:style w:type="character" w:customStyle="1" w:styleId="Hdg3CarCar2">
    <w:name w:val="Hdg 3 Car Car2"/>
    <w:rsid w:val="004E5076"/>
    <w:rPr>
      <w:rFonts w:ascii="Arial" w:eastAsia="Batang" w:hAnsi="Arial"/>
      <w:b/>
      <w:sz w:val="22"/>
      <w:lang w:val="es-ES"/>
    </w:rPr>
  </w:style>
  <w:style w:type="character" w:customStyle="1" w:styleId="deltaviewinsertion0">
    <w:name w:val="deltaviewinsertion"/>
    <w:rsid w:val="004E5076"/>
    <w:rPr>
      <w:color w:val="0000FF"/>
      <w:spacing w:val="0"/>
      <w:u w:val="single"/>
    </w:rPr>
  </w:style>
  <w:style w:type="character" w:customStyle="1" w:styleId="CarCar2">
    <w:name w:val="Car Car2"/>
    <w:rsid w:val="004E5076"/>
    <w:rPr>
      <w:rFonts w:ascii="Times New Roman" w:hAnsi="Times New Roman"/>
      <w:lang w:val="es-ES"/>
    </w:rPr>
  </w:style>
  <w:style w:type="character" w:customStyle="1" w:styleId="CarCar3">
    <w:name w:val="Car Car3"/>
    <w:rsid w:val="004E5076"/>
    <w:rPr>
      <w:rFonts w:ascii="Arial" w:hAnsi="Arial"/>
      <w:b/>
      <w:sz w:val="26"/>
      <w:lang w:val="es-ES"/>
    </w:rPr>
  </w:style>
  <w:style w:type="character" w:customStyle="1" w:styleId="CarCar4">
    <w:name w:val="Car Car4"/>
    <w:rsid w:val="004E5076"/>
    <w:rPr>
      <w:rFonts w:ascii="Arial" w:hAnsi="Arial"/>
      <w:b/>
      <w:sz w:val="26"/>
      <w:lang w:val="es-ES"/>
    </w:rPr>
  </w:style>
  <w:style w:type="character" w:customStyle="1" w:styleId="CarCar23">
    <w:name w:val="Car Car23"/>
    <w:rsid w:val="004E5076"/>
    <w:rPr>
      <w:rFonts w:ascii="Arial" w:hAnsi="Arial"/>
      <w:b/>
      <w:sz w:val="26"/>
      <w:lang w:val="es-ES"/>
    </w:rPr>
  </w:style>
  <w:style w:type="character" w:customStyle="1" w:styleId="CarCar15">
    <w:name w:val="Car Car15"/>
    <w:rsid w:val="004E5076"/>
    <w:rPr>
      <w:rFonts w:ascii="Times New Roman" w:hAnsi="Times New Roman"/>
      <w:sz w:val="20"/>
      <w:lang w:val="es-ES"/>
    </w:rPr>
  </w:style>
  <w:style w:type="character" w:customStyle="1" w:styleId="CarCar13">
    <w:name w:val="Car Car13"/>
    <w:rsid w:val="004E5076"/>
    <w:rPr>
      <w:rFonts w:ascii="Tahoma" w:hAnsi="Tahoma"/>
      <w:sz w:val="16"/>
      <w:lang w:val="es-ES"/>
    </w:rPr>
  </w:style>
  <w:style w:type="character" w:customStyle="1" w:styleId="CommentTextChar">
    <w:name w:val="Comment Text Char"/>
    <w:rsid w:val="004E5076"/>
    <w:rPr>
      <w:rFonts w:ascii="Times New Roman" w:hAnsi="Times New Roman"/>
      <w:lang w:val="es-ES"/>
    </w:rPr>
  </w:style>
  <w:style w:type="character" w:customStyle="1" w:styleId="Heading1Char">
    <w:name w:val="Heading 1 Char"/>
    <w:rsid w:val="004E5076"/>
    <w:rPr>
      <w:rFonts w:ascii="Cambria" w:hAnsi="Cambria"/>
      <w:b/>
      <w:kern w:val="32"/>
      <w:sz w:val="32"/>
      <w:lang w:val="es-ES"/>
    </w:rPr>
  </w:style>
  <w:style w:type="character" w:customStyle="1" w:styleId="Heading2Char">
    <w:name w:val="Heading 2 Char"/>
    <w:rsid w:val="004E5076"/>
    <w:rPr>
      <w:rFonts w:ascii="Cambria" w:hAnsi="Cambria"/>
      <w:b/>
      <w:i/>
      <w:sz w:val="28"/>
      <w:lang w:val="es-ES"/>
    </w:rPr>
  </w:style>
  <w:style w:type="character" w:customStyle="1" w:styleId="Heading3Char">
    <w:name w:val="Heading 3 Char"/>
    <w:rsid w:val="004E5076"/>
    <w:rPr>
      <w:rFonts w:ascii="Arial" w:hAnsi="Arial"/>
      <w:b/>
      <w:sz w:val="26"/>
      <w:lang w:val="es-ES"/>
    </w:rPr>
  </w:style>
  <w:style w:type="character" w:customStyle="1" w:styleId="Heading4Char">
    <w:name w:val="Heading 4 Char"/>
    <w:aliases w:val="Título 4amb Char"/>
    <w:rsid w:val="004E5076"/>
    <w:rPr>
      <w:rFonts w:ascii="Calibri" w:hAnsi="Calibri"/>
      <w:b/>
      <w:sz w:val="28"/>
      <w:lang w:val="es-ES"/>
    </w:rPr>
  </w:style>
  <w:style w:type="character" w:customStyle="1" w:styleId="Heading5Char">
    <w:name w:val="Heading 5 Char"/>
    <w:rsid w:val="004E5076"/>
    <w:rPr>
      <w:rFonts w:ascii="Calibri" w:hAnsi="Calibri"/>
      <w:b/>
      <w:i/>
      <w:sz w:val="26"/>
      <w:lang w:val="es-ES"/>
    </w:rPr>
  </w:style>
  <w:style w:type="character" w:customStyle="1" w:styleId="Heading6Char">
    <w:name w:val="Heading 6 Char"/>
    <w:rsid w:val="004E5076"/>
    <w:rPr>
      <w:rFonts w:ascii="Calibri" w:hAnsi="Calibri"/>
      <w:b/>
      <w:lang w:val="es-ES"/>
    </w:rPr>
  </w:style>
  <w:style w:type="character" w:customStyle="1" w:styleId="Heading7Char">
    <w:name w:val="Heading 7 Char"/>
    <w:rsid w:val="004E5076"/>
    <w:rPr>
      <w:rFonts w:ascii="Calibri" w:hAnsi="Calibri"/>
      <w:sz w:val="24"/>
      <w:lang w:val="es-ES"/>
    </w:rPr>
  </w:style>
  <w:style w:type="character" w:customStyle="1" w:styleId="Heading8Char">
    <w:name w:val="Heading 8 Char"/>
    <w:rsid w:val="004E5076"/>
    <w:rPr>
      <w:rFonts w:ascii="Calibri" w:hAnsi="Calibri"/>
      <w:i/>
      <w:sz w:val="24"/>
      <w:lang w:val="es-ES"/>
    </w:rPr>
  </w:style>
  <w:style w:type="character" w:customStyle="1" w:styleId="Heading9Char">
    <w:name w:val="Heading 9 Char"/>
    <w:rsid w:val="004E5076"/>
    <w:rPr>
      <w:rFonts w:ascii="Cambria" w:hAnsi="Cambria"/>
      <w:lang w:val="es-ES"/>
    </w:rPr>
  </w:style>
  <w:style w:type="character" w:customStyle="1" w:styleId="BalloonTextChar">
    <w:name w:val="Balloon Text Char"/>
    <w:rsid w:val="004E5076"/>
    <w:rPr>
      <w:rFonts w:ascii="Tahoma" w:hAnsi="Tahoma"/>
      <w:sz w:val="16"/>
      <w:lang w:val="es-ES"/>
    </w:rPr>
  </w:style>
  <w:style w:type="character" w:customStyle="1" w:styleId="BodyTextChar">
    <w:name w:val="Body Text Char"/>
    <w:aliases w:val="Car Car21 Char"/>
    <w:rsid w:val="004E5076"/>
    <w:rPr>
      <w:rFonts w:ascii="Times New Roman" w:hAnsi="Times New Roman"/>
      <w:sz w:val="24"/>
      <w:lang w:val="es-ES"/>
    </w:rPr>
  </w:style>
  <w:style w:type="character" w:customStyle="1" w:styleId="BodyTextIndentChar">
    <w:name w:val="Body Text Indent Char"/>
    <w:rsid w:val="004E5076"/>
    <w:rPr>
      <w:rFonts w:ascii="Times New Roman" w:hAnsi="Times New Roman"/>
      <w:sz w:val="24"/>
      <w:lang w:val="es-ES"/>
    </w:rPr>
  </w:style>
  <w:style w:type="character" w:customStyle="1" w:styleId="CommentSubjectChar">
    <w:name w:val="Comment Subject Char"/>
    <w:rsid w:val="004E5076"/>
    <w:rPr>
      <w:rFonts w:ascii="Times New Roman" w:hAnsi="Times New Roman"/>
      <w:b/>
      <w:sz w:val="20"/>
      <w:lang w:val="es-ES"/>
    </w:rPr>
  </w:style>
  <w:style w:type="character" w:customStyle="1" w:styleId="BodyTextIndent2Char">
    <w:name w:val="Body Text Indent 2 Char"/>
    <w:rsid w:val="004E5076"/>
    <w:rPr>
      <w:rFonts w:ascii="Times New Roman" w:hAnsi="Times New Roman"/>
      <w:sz w:val="24"/>
      <w:lang w:val="es-ES"/>
    </w:rPr>
  </w:style>
  <w:style w:type="character" w:customStyle="1" w:styleId="SalutationChar">
    <w:name w:val="Salutation Char"/>
    <w:rsid w:val="004E5076"/>
    <w:rPr>
      <w:rFonts w:ascii="Times New Roman" w:hAnsi="Times New Roman"/>
      <w:sz w:val="24"/>
      <w:lang w:val="es-ES"/>
    </w:rPr>
  </w:style>
  <w:style w:type="character" w:customStyle="1" w:styleId="BodyTextFirstIndentChar">
    <w:name w:val="Body Text First Indent Char"/>
    <w:rsid w:val="004E5076"/>
  </w:style>
  <w:style w:type="character" w:customStyle="1" w:styleId="BodyTextFirstIndent2Char">
    <w:name w:val="Body Text First Indent 2 Char"/>
    <w:rsid w:val="004E5076"/>
  </w:style>
  <w:style w:type="character" w:customStyle="1" w:styleId="BodyText2Char">
    <w:name w:val="Body Text 2 Char"/>
    <w:rsid w:val="004E5076"/>
    <w:rPr>
      <w:rFonts w:ascii="Times New Roman" w:hAnsi="Times New Roman"/>
      <w:sz w:val="24"/>
      <w:lang w:val="es-ES"/>
    </w:rPr>
  </w:style>
  <w:style w:type="character" w:customStyle="1" w:styleId="HeaderChar">
    <w:name w:val="Header Char"/>
    <w:rsid w:val="004E5076"/>
    <w:rPr>
      <w:rFonts w:ascii="Times New Roman" w:hAnsi="Times New Roman"/>
      <w:lang w:val="es-ES"/>
    </w:rPr>
  </w:style>
  <w:style w:type="character" w:customStyle="1" w:styleId="apple-style-span">
    <w:name w:val="apple-style-span"/>
    <w:uiPriority w:val="99"/>
    <w:rsid w:val="004E5076"/>
  </w:style>
  <w:style w:type="character" w:customStyle="1" w:styleId="FootnoteTextChar">
    <w:name w:val="Footnote Text Char"/>
    <w:aliases w:val="Car Car Car Car Car Car Char,Car Car Car Car Char,Car Car Char,Car Char,Char Char,Car Car Car Car Car Char,Car1 Car Car Char,FOOTNOTES Char,Texto nota pie Car1 Char,footnote Char,foottextfra Char, Char Char, Car Car Char, Car Char"/>
    <w:uiPriority w:val="99"/>
    <w:rsid w:val="004E5076"/>
    <w:rPr>
      <w:rFonts w:ascii="Times New Roman" w:hAnsi="Times New Roman"/>
      <w:sz w:val="20"/>
      <w:lang w:val="x-none"/>
    </w:rPr>
  </w:style>
  <w:style w:type="character" w:customStyle="1" w:styleId="st1">
    <w:name w:val="st1"/>
    <w:rsid w:val="004E5076"/>
  </w:style>
  <w:style w:type="character" w:customStyle="1" w:styleId="hps">
    <w:name w:val="hps"/>
    <w:rsid w:val="004E5076"/>
  </w:style>
  <w:style w:type="table" w:styleId="Tablaweb1">
    <w:name w:val="Table Web 1"/>
    <w:basedOn w:val="Tablanormal"/>
    <w:uiPriority w:val="99"/>
    <w:semiHidden/>
    <w:unhideWhenUsed/>
    <w:rsid w:val="004E5076"/>
    <w:pPr>
      <w:autoSpaceDE w:val="0"/>
      <w:autoSpaceDN w:val="0"/>
      <w:adjustRightInd w:val="0"/>
      <w:spacing w:after="200" w:line="276" w:lineRule="auto"/>
    </w:pPr>
    <w:rPr>
      <w:rFonts w:ascii="Calibri" w:eastAsia="Calibri" w:hAnsi="Calibri"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tema">
    <w:name w:val="Table Theme"/>
    <w:basedOn w:val="Tablanormal"/>
    <w:semiHidden/>
    <w:unhideWhenUsed/>
    <w:rsid w:val="004E5076"/>
    <w:pPr>
      <w:autoSpaceDE w:val="0"/>
      <w:autoSpaceDN w:val="0"/>
      <w:adjustRightInd w:val="0"/>
      <w:spacing w:after="200" w:line="276"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2">
    <w:name w:val="cuerpo2"/>
    <w:basedOn w:val="cuerpo1"/>
    <w:uiPriority w:val="99"/>
    <w:rsid w:val="004E5076"/>
    <w:pPr>
      <w:numPr>
        <w:numId w:val="13"/>
      </w:numPr>
      <w:tabs>
        <w:tab w:val="num" w:pos="360"/>
      </w:tabs>
      <w:ind w:left="360"/>
    </w:pPr>
    <w:rPr>
      <w:lang w:val="es-PE"/>
    </w:rPr>
  </w:style>
  <w:style w:type="paragraph" w:customStyle="1" w:styleId="TITULO0">
    <w:name w:val="TITULO"/>
    <w:basedOn w:val="comun"/>
    <w:next w:val="comun"/>
    <w:autoRedefine/>
    <w:uiPriority w:val="99"/>
    <w:rsid w:val="004E5076"/>
    <w:rPr>
      <w:rFonts w:ascii="Arial Negrita" w:hAnsi="Arial Negrita" w:cs="Times New Roman"/>
      <w:b/>
      <w:caps/>
      <w:sz w:val="24"/>
      <w:szCs w:val="30"/>
    </w:rPr>
  </w:style>
  <w:style w:type="paragraph" w:customStyle="1" w:styleId="NDICE">
    <w:name w:val="ÍNDICE"/>
    <w:basedOn w:val="comun"/>
    <w:uiPriority w:val="99"/>
    <w:rsid w:val="004E5076"/>
    <w:pPr>
      <w:tabs>
        <w:tab w:val="left" w:pos="851"/>
        <w:tab w:val="left" w:pos="2552"/>
      </w:tabs>
    </w:pPr>
    <w:rPr>
      <w:rFonts w:ascii="Arial Negrita" w:hAnsi="Arial Negrita" w:cs="Times New Roman"/>
      <w:sz w:val="24"/>
      <w:u w:val="single"/>
    </w:rPr>
  </w:style>
  <w:style w:type="paragraph" w:customStyle="1" w:styleId="Listaconnmeros1">
    <w:name w:val="Lista con números 1"/>
    <w:basedOn w:val="Normal0"/>
    <w:rsid w:val="004E5076"/>
    <w:pPr>
      <w:numPr>
        <w:numId w:val="14"/>
      </w:numPr>
      <w:tabs>
        <w:tab w:val="num" w:pos="714"/>
      </w:tabs>
      <w:spacing w:after="0" w:line="240" w:lineRule="auto"/>
      <w:ind w:left="714" w:hanging="357"/>
      <w:jc w:val="both"/>
    </w:pPr>
    <w:rPr>
      <w:rFonts w:ascii="Arial" w:eastAsiaTheme="minorEastAsia" w:hAnsi="Arial"/>
      <w:szCs w:val="20"/>
      <w:lang w:val="es-ES_tradnl"/>
    </w:rPr>
  </w:style>
  <w:style w:type="paragraph" w:customStyle="1" w:styleId="Ttulofigura">
    <w:name w:val="Título figura"/>
    <w:aliases w:val="Titulo figura,cuadro,foto,foto Car Car,titulo figura,Títulos tabla,grafico,figura"/>
    <w:basedOn w:val="comun"/>
    <w:next w:val="comun"/>
    <w:autoRedefine/>
    <w:rsid w:val="004E5076"/>
    <w:pPr>
      <w:tabs>
        <w:tab w:val="left" w:pos="851"/>
        <w:tab w:val="left" w:pos="2552"/>
      </w:tabs>
    </w:pPr>
    <w:rPr>
      <w:rFonts w:ascii="Arial Negrita" w:hAnsi="Arial Negrita" w:cs="Times New Roman"/>
      <w:b/>
      <w:sz w:val="18"/>
      <w:szCs w:val="18"/>
    </w:rPr>
  </w:style>
  <w:style w:type="character" w:customStyle="1" w:styleId="Ttulofigura1">
    <w:name w:val="Título figura1"/>
    <w:aliases w:val="Título figura2,cuadro Car Car"/>
    <w:rsid w:val="004E5076"/>
    <w:rPr>
      <w:rFonts w:ascii="Arial Negrita" w:hAnsi="Arial Negrita"/>
      <w:b/>
      <w:spacing w:val="-2"/>
      <w:w w:val="95"/>
      <w:sz w:val="18"/>
      <w:lang w:val="es-ES_tradnl"/>
    </w:rPr>
  </w:style>
  <w:style w:type="paragraph" w:customStyle="1" w:styleId="TITULOPORTADA">
    <w:name w:val="TITULO_PORTADA"/>
    <w:basedOn w:val="comun"/>
    <w:next w:val="comun"/>
    <w:uiPriority w:val="99"/>
    <w:rsid w:val="004E5076"/>
    <w:pPr>
      <w:spacing w:before="80" w:after="80" w:line="300" w:lineRule="auto"/>
    </w:pPr>
    <w:rPr>
      <w:rFonts w:ascii="Arial Negrita" w:hAnsi="Arial Negrita" w:cs="Times New Roman"/>
      <w:b/>
      <w:caps/>
      <w:szCs w:val="30"/>
    </w:rPr>
  </w:style>
  <w:style w:type="character" w:customStyle="1" w:styleId="shorttext">
    <w:name w:val="short_text"/>
    <w:rsid w:val="004E5076"/>
  </w:style>
  <w:style w:type="character" w:customStyle="1" w:styleId="hpsalt-edited">
    <w:name w:val="hps alt-edited"/>
    <w:uiPriority w:val="99"/>
    <w:rsid w:val="004E5076"/>
  </w:style>
  <w:style w:type="paragraph" w:customStyle="1" w:styleId="vietas2">
    <w:name w:val="viñetas 2"/>
    <w:basedOn w:val="Normal0"/>
    <w:autoRedefine/>
    <w:rsid w:val="004E5076"/>
    <w:pPr>
      <w:tabs>
        <w:tab w:val="left" w:pos="1072"/>
        <w:tab w:val="num" w:pos="1440"/>
      </w:tabs>
      <w:spacing w:after="0" w:line="240" w:lineRule="auto"/>
      <w:ind w:left="1440" w:hanging="360"/>
      <w:jc w:val="both"/>
    </w:pPr>
    <w:rPr>
      <w:rFonts w:ascii="Arial" w:eastAsiaTheme="minorEastAsia" w:hAnsi="Arial"/>
      <w:szCs w:val="24"/>
    </w:rPr>
  </w:style>
  <w:style w:type="paragraph" w:customStyle="1" w:styleId="Vietas3">
    <w:name w:val="Viñetas 3"/>
    <w:basedOn w:val="Normal0"/>
    <w:autoRedefine/>
    <w:uiPriority w:val="99"/>
    <w:rsid w:val="004E5076"/>
    <w:pPr>
      <w:tabs>
        <w:tab w:val="num" w:pos="720"/>
      </w:tabs>
      <w:spacing w:after="0" w:line="240" w:lineRule="auto"/>
      <w:ind w:left="1620" w:hanging="180"/>
      <w:jc w:val="both"/>
    </w:pPr>
    <w:rPr>
      <w:rFonts w:ascii="Arial" w:eastAsiaTheme="minorEastAsia" w:hAnsi="Arial"/>
      <w:szCs w:val="24"/>
    </w:rPr>
  </w:style>
  <w:style w:type="character" w:customStyle="1" w:styleId="TtulofiguraCar">
    <w:name w:val="Título figura Car"/>
    <w:aliases w:val="cuadro Car,foto Car,Títulos tabla Car,grafico Car,figura Car"/>
    <w:rsid w:val="004E5076"/>
    <w:rPr>
      <w:rFonts w:ascii="Arial Negrita" w:hAnsi="Arial Negrita"/>
      <w:b/>
      <w:sz w:val="25"/>
      <w:lang w:val="es-ES_tradnl"/>
    </w:rPr>
  </w:style>
  <w:style w:type="paragraph" w:customStyle="1" w:styleId="Parrafo">
    <w:name w:val="Parrafo"/>
    <w:basedOn w:val="heading10"/>
    <w:uiPriority w:val="99"/>
    <w:qFormat/>
    <w:rsid w:val="004E5076"/>
    <w:pPr>
      <w:spacing w:before="0" w:after="0" w:line="288" w:lineRule="auto"/>
      <w:jc w:val="both"/>
    </w:pPr>
    <w:rPr>
      <w:rFonts w:ascii="Times New Roman" w:eastAsiaTheme="minorEastAsia" w:hAnsi="Times New Roman" w:cs="Times New Roman"/>
      <w:b w:val="0"/>
      <w:kern w:val="0"/>
      <w:sz w:val="24"/>
      <w:szCs w:val="20"/>
      <w:lang w:val="es-ES_tradnl"/>
    </w:rPr>
  </w:style>
  <w:style w:type="character" w:customStyle="1" w:styleId="ListParagraphChar1">
    <w:name w:val="List Paragraph Char1"/>
    <w:aliases w:val="Citation List Char,Colorful List - Accent 11 Char1,Colorful List - Accent 111 Char1,Colorful List Accent 1 Char1,Fluvial1 Char1,Graphic Char,HOJA Char1,Párrafo de lista (analisis predial) Char1,Resume Title Char"/>
    <w:uiPriority w:val="99"/>
    <w:rsid w:val="004E5076"/>
    <w:rPr>
      <w:rFonts w:ascii="Calibri" w:eastAsia="Times New Roman" w:hAnsi="Calibri"/>
    </w:rPr>
  </w:style>
  <w:style w:type="character" w:customStyle="1" w:styleId="ListParagraphChar">
    <w:name w:val="List Paragraph Char"/>
    <w:aliases w:val="Bullet Styles para Char,Colorful List - Accent 11 Char,Colorful List - Accent 111 Char,Colorful List Accent 1 Char,First Level Outline Char,HOJA Char,List Paragraph 1 Char,Number Bullets Char,Párrafo de lista (analisis predial) Char"/>
    <w:uiPriority w:val="34"/>
    <w:qFormat/>
    <w:rsid w:val="004E5076"/>
    <w:rPr>
      <w:rFonts w:ascii="Verdana" w:hAnsi="Verdana"/>
      <w:sz w:val="22"/>
      <w:lang w:val="es-ES"/>
    </w:rPr>
  </w:style>
  <w:style w:type="paragraph" w:customStyle="1" w:styleId="TITULOCUADRO">
    <w:name w:val="TITULO_CUADRO"/>
    <w:basedOn w:val="comun"/>
    <w:next w:val="comun"/>
    <w:autoRedefine/>
    <w:rsid w:val="004E5076"/>
    <w:pPr>
      <w:spacing w:before="120" w:after="200"/>
    </w:pPr>
    <w:rPr>
      <w:rFonts w:ascii="Arial Negrita" w:hAnsi="Arial Negrita"/>
      <w:b/>
      <w:szCs w:val="30"/>
    </w:rPr>
  </w:style>
  <w:style w:type="character" w:customStyle="1" w:styleId="TITULOCUADROCar">
    <w:name w:val="TITULO_CUADRO Car"/>
    <w:rsid w:val="004E5076"/>
    <w:rPr>
      <w:rFonts w:ascii="Arial Negrita" w:hAnsi="Arial Negrita"/>
      <w:b/>
      <w:spacing w:val="-2"/>
      <w:w w:val="95"/>
      <w:sz w:val="30"/>
      <w:lang w:val="es-ES_tradnl"/>
    </w:rPr>
  </w:style>
  <w:style w:type="paragraph" w:customStyle="1" w:styleId="vieta">
    <w:name w:val="viñeta"/>
    <w:basedOn w:val="vietas1"/>
    <w:uiPriority w:val="99"/>
    <w:qFormat/>
    <w:rsid w:val="004E5076"/>
    <w:pPr>
      <w:numPr>
        <w:numId w:val="2"/>
      </w:numPr>
      <w:tabs>
        <w:tab w:val="num" w:pos="705"/>
        <w:tab w:val="left" w:pos="851"/>
        <w:tab w:val="num" w:pos="993"/>
        <w:tab w:val="left" w:pos="2552"/>
      </w:tabs>
      <w:spacing w:after="200"/>
      <w:ind w:left="705" w:hanging="705"/>
    </w:pPr>
  </w:style>
  <w:style w:type="character" w:customStyle="1" w:styleId="vietaCar">
    <w:name w:val="viñeta Car"/>
    <w:uiPriority w:val="99"/>
    <w:rsid w:val="004E5076"/>
    <w:rPr>
      <w:rFonts w:ascii="Arial Narrow" w:hAnsi="Arial Narrow"/>
      <w:sz w:val="24"/>
      <w:lang w:val="x-none"/>
    </w:rPr>
  </w:style>
  <w:style w:type="paragraph" w:customStyle="1" w:styleId="TextoFotografa">
    <w:name w:val="Texto Fotografía"/>
    <w:basedOn w:val="comun"/>
    <w:next w:val="comun"/>
    <w:autoRedefine/>
    <w:rsid w:val="004E5076"/>
    <w:pPr>
      <w:tabs>
        <w:tab w:val="left" w:pos="851"/>
        <w:tab w:val="left" w:pos="2552"/>
      </w:tabs>
      <w:spacing w:before="120" w:after="200"/>
    </w:pPr>
    <w:rPr>
      <w:rFonts w:ascii="Arial Negrita" w:hAnsi="Arial Negrita" w:cs="Times New Roman"/>
      <w:b/>
      <w:szCs w:val="24"/>
    </w:rPr>
  </w:style>
  <w:style w:type="character" w:customStyle="1" w:styleId="TextoFotografaCar">
    <w:name w:val="Texto Fotografía Car"/>
    <w:rsid w:val="004E5076"/>
    <w:rPr>
      <w:rFonts w:ascii="Arial Negrita" w:hAnsi="Arial Negrita"/>
      <w:b/>
      <w:spacing w:val="-2"/>
      <w:w w:val="95"/>
      <w:sz w:val="24"/>
      <w:lang w:val="es-ES_tradnl"/>
    </w:rPr>
  </w:style>
  <w:style w:type="paragraph" w:customStyle="1" w:styleId="Normal1">
    <w:name w:val="Normal1"/>
    <w:basedOn w:val="Normal0"/>
    <w:uiPriority w:val="99"/>
    <w:rsid w:val="004E5076"/>
    <w:pPr>
      <w:spacing w:before="120" w:after="120" w:line="360" w:lineRule="auto"/>
      <w:jc w:val="both"/>
    </w:pPr>
    <w:rPr>
      <w:rFonts w:ascii="Arial" w:eastAsiaTheme="minorEastAsia" w:hAnsi="Arial"/>
      <w:sz w:val="24"/>
      <w:szCs w:val="20"/>
    </w:rPr>
  </w:style>
  <w:style w:type="paragraph" w:customStyle="1" w:styleId="font0">
    <w:name w:val="font0"/>
    <w:basedOn w:val="Normal0"/>
    <w:uiPriority w:val="99"/>
    <w:rsid w:val="004E5076"/>
    <w:pPr>
      <w:spacing w:before="100" w:beforeAutospacing="1" w:after="100" w:afterAutospacing="1" w:line="240" w:lineRule="auto"/>
    </w:pPr>
    <w:rPr>
      <w:rFonts w:eastAsiaTheme="minorEastAsia"/>
      <w:color w:val="000000"/>
    </w:rPr>
  </w:style>
  <w:style w:type="paragraph" w:customStyle="1" w:styleId="xl63">
    <w:name w:val="xl63"/>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64">
    <w:name w:val="xl64"/>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65">
    <w:name w:val="xl65"/>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heme="minorEastAsia" w:hAnsi="Arial" w:cs="Arial"/>
      <w:sz w:val="24"/>
      <w:szCs w:val="24"/>
    </w:rPr>
  </w:style>
  <w:style w:type="paragraph" w:customStyle="1" w:styleId="xl66">
    <w:name w:val="xl66"/>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heme="minorEastAsia" w:hAnsi="Arial" w:cs="Arial"/>
      <w:sz w:val="24"/>
      <w:szCs w:val="24"/>
    </w:rPr>
  </w:style>
  <w:style w:type="paragraph" w:customStyle="1" w:styleId="xl67">
    <w:name w:val="xl67"/>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68">
    <w:name w:val="xl68"/>
    <w:basedOn w:val="Normal0"/>
    <w:rsid w:val="004E507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9">
    <w:name w:val="xl69"/>
    <w:basedOn w:val="Normal0"/>
    <w:rsid w:val="004E5076"/>
    <w:pPr>
      <w:spacing w:before="100" w:beforeAutospacing="1" w:after="100" w:afterAutospacing="1" w:line="240" w:lineRule="auto"/>
    </w:pPr>
    <w:rPr>
      <w:rFonts w:ascii="Arial" w:eastAsiaTheme="minorEastAsia" w:hAnsi="Arial" w:cs="Arial"/>
      <w:sz w:val="20"/>
      <w:szCs w:val="20"/>
    </w:rPr>
  </w:style>
  <w:style w:type="paragraph" w:customStyle="1" w:styleId="xl70">
    <w:name w:val="xl70"/>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71">
    <w:name w:val="xl71"/>
    <w:basedOn w:val="Normal0"/>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2">
    <w:name w:val="xl72"/>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3">
    <w:name w:val="xl73"/>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4">
    <w:name w:val="xl74"/>
    <w:basedOn w:val="Normal0"/>
    <w:rsid w:val="004E5076"/>
    <w:pPr>
      <w:shd w:val="clear" w:color="000000" w:fill="FDE9D9"/>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75">
    <w:name w:val="xl75"/>
    <w:basedOn w:val="Normal0"/>
    <w:rsid w:val="004E5076"/>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500"/>
    </w:pPr>
    <w:rPr>
      <w:rFonts w:ascii="Times New Roman" w:eastAsiaTheme="minorEastAsia" w:hAnsi="Times New Roman"/>
      <w:sz w:val="24"/>
      <w:szCs w:val="24"/>
    </w:rPr>
  </w:style>
  <w:style w:type="paragraph" w:customStyle="1" w:styleId="xl76">
    <w:name w:val="xl76"/>
    <w:basedOn w:val="Normal0"/>
    <w:rsid w:val="004E5076"/>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400"/>
    </w:pPr>
    <w:rPr>
      <w:rFonts w:ascii="Times New Roman" w:eastAsiaTheme="minorEastAsia" w:hAnsi="Times New Roman"/>
      <w:sz w:val="24"/>
      <w:szCs w:val="24"/>
    </w:rPr>
  </w:style>
  <w:style w:type="paragraph" w:customStyle="1" w:styleId="xl77">
    <w:name w:val="xl77"/>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Ttulocuadro">
    <w:name w:val="Título_cuadro"/>
    <w:basedOn w:val="Ttulofigura"/>
    <w:uiPriority w:val="99"/>
    <w:qFormat/>
    <w:rsid w:val="004E5076"/>
    <w:pPr>
      <w:spacing w:before="240" w:after="240" w:line="288" w:lineRule="auto"/>
    </w:pPr>
    <w:rPr>
      <w:rFonts w:ascii="Arial" w:hAnsi="Arial"/>
      <w:sz w:val="20"/>
      <w:szCs w:val="25"/>
    </w:rPr>
  </w:style>
  <w:style w:type="paragraph" w:customStyle="1" w:styleId="cuadro1">
    <w:name w:val="cuadro1"/>
    <w:aliases w:val="Titulo figura1,Titulo tabla1,foto1,titulo figura1"/>
    <w:basedOn w:val="comun"/>
    <w:next w:val="comun"/>
    <w:autoRedefine/>
    <w:uiPriority w:val="99"/>
    <w:rsid w:val="004E5076"/>
    <w:pPr>
      <w:tabs>
        <w:tab w:val="left" w:pos="851"/>
        <w:tab w:val="left" w:pos="2552"/>
      </w:tabs>
      <w:spacing w:before="120" w:after="200"/>
      <w:ind w:left="425"/>
    </w:pPr>
    <w:rPr>
      <w:rFonts w:ascii="Arial Negrita" w:hAnsi="Arial Negrita" w:cs="Times New Roman"/>
      <w:b/>
      <w:szCs w:val="25"/>
    </w:rPr>
  </w:style>
  <w:style w:type="character" w:customStyle="1" w:styleId="CarCar5">
    <w:name w:val="Car Car5"/>
    <w:rsid w:val="004E5076"/>
    <w:rPr>
      <w:rFonts w:ascii="Tahoma" w:hAnsi="Tahoma"/>
      <w:sz w:val="16"/>
    </w:rPr>
  </w:style>
  <w:style w:type="character" w:customStyle="1" w:styleId="vietas1Car">
    <w:name w:val="viñetas 1 Car"/>
    <w:rsid w:val="004E5076"/>
    <w:rPr>
      <w:rFonts w:ascii="Arial" w:hAnsi="Arial"/>
      <w:sz w:val="24"/>
      <w:lang w:val="es-ES"/>
    </w:rPr>
  </w:style>
  <w:style w:type="paragraph" w:customStyle="1" w:styleId="Comun0">
    <w:name w:val="Comun"/>
    <w:basedOn w:val="Normal0"/>
    <w:rsid w:val="004E5076"/>
    <w:pPr>
      <w:spacing w:after="0" w:line="240" w:lineRule="auto"/>
      <w:jc w:val="both"/>
    </w:pPr>
    <w:rPr>
      <w:rFonts w:ascii="Arial" w:eastAsiaTheme="minorEastAsia" w:hAnsi="Arial" w:cs="Arial"/>
    </w:rPr>
  </w:style>
  <w:style w:type="character" w:customStyle="1" w:styleId="ComunCar0">
    <w:name w:val="Comun Car"/>
    <w:rsid w:val="004E5076"/>
    <w:rPr>
      <w:rFonts w:ascii="Arial" w:hAnsi="Arial"/>
      <w:lang w:val="x-none"/>
    </w:rPr>
  </w:style>
  <w:style w:type="paragraph" w:customStyle="1" w:styleId="TextoTabla0">
    <w:name w:val="Texto Tabla"/>
    <w:basedOn w:val="Normal0"/>
    <w:link w:val="TextoTablaCar"/>
    <w:qFormat/>
    <w:rsid w:val="004E5076"/>
    <w:pPr>
      <w:tabs>
        <w:tab w:val="center" w:pos="4252"/>
        <w:tab w:val="left" w:pos="8494"/>
      </w:tabs>
      <w:spacing w:before="80" w:after="80" w:line="360" w:lineRule="auto"/>
    </w:pPr>
    <w:rPr>
      <w:rFonts w:ascii="Times New Roman" w:eastAsiaTheme="minorEastAsia" w:hAnsi="Times New Roman" w:cs="Tahoma"/>
      <w:color w:val="404040"/>
      <w:sz w:val="20"/>
      <w:szCs w:val="14"/>
      <w:lang w:val="es-ES_tradnl"/>
    </w:rPr>
  </w:style>
  <w:style w:type="character" w:customStyle="1" w:styleId="apple-converted-space">
    <w:name w:val="apple-converted-space"/>
    <w:uiPriority w:val="99"/>
    <w:rsid w:val="004E5076"/>
  </w:style>
  <w:style w:type="character" w:customStyle="1" w:styleId="Ttulofigura3">
    <w:name w:val="Título figura3"/>
    <w:aliases w:val="cuadro Car Car1"/>
    <w:rsid w:val="004E5076"/>
    <w:rPr>
      <w:rFonts w:ascii="Arial Negrita" w:hAnsi="Arial Negrita"/>
      <w:b/>
      <w:sz w:val="25"/>
      <w:lang w:val="es-ES_tradnl"/>
    </w:rPr>
  </w:style>
  <w:style w:type="character" w:customStyle="1" w:styleId="PrrafodelistaCar1">
    <w:name w:val="Párrafo de lista Car1"/>
    <w:aliases w:val="Lista 123 Car1"/>
    <w:uiPriority w:val="34"/>
    <w:rsid w:val="004E5076"/>
    <w:rPr>
      <w:rFonts w:ascii="Calibri" w:eastAsia="Times New Roman" w:hAnsi="Calibri"/>
      <w:sz w:val="20"/>
      <w:lang w:val="es-ES"/>
    </w:rPr>
  </w:style>
  <w:style w:type="character" w:customStyle="1" w:styleId="TOC12">
    <w:name w:val="TOC 12"/>
    <w:rsid w:val="004E5076"/>
  </w:style>
  <w:style w:type="table" w:styleId="Cuadrculamedia1-nfasis1">
    <w:name w:val="Medium Grid 1 Accent 1"/>
    <w:basedOn w:val="Tablanormal"/>
    <w:uiPriority w:val="67"/>
    <w:unhideWhenUsed/>
    <w:rsid w:val="004E5076"/>
    <w:rPr>
      <w:rFonts w:ascii="Calibri" w:eastAsia="Calibri" w:hAnsi="Calibri" w:cs="Calibri"/>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pgrafetablas">
    <w:name w:val="Epígrafe tablas"/>
    <w:aliases w:val="Car Car Car2,25 cm + ....,25 cm + Left:  2,5 cm,5 cm...,BildBeschriftung,Caption Char,Caption2,CaptionCFMU,Car Car Car + Left,FigureCaption,First line:  1,Left:  2,Titulo tabla,ft_figure_title,label, Car Car Car"/>
    <w:basedOn w:val="Normal0"/>
    <w:next w:val="Normal0"/>
    <w:qFormat/>
    <w:rsid w:val="004E5076"/>
    <w:pPr>
      <w:spacing w:after="40" w:line="360" w:lineRule="auto"/>
      <w:ind w:left="1021"/>
      <w:jc w:val="center"/>
    </w:pPr>
    <w:rPr>
      <w:rFonts w:ascii="Arial" w:eastAsiaTheme="minorEastAsia" w:hAnsi="Arial"/>
      <w:i/>
      <w:color w:val="4F81BD"/>
      <w:sz w:val="18"/>
      <w:szCs w:val="20"/>
      <w:lang w:val="es-ES_tradnl"/>
    </w:rPr>
  </w:style>
  <w:style w:type="paragraph" w:customStyle="1" w:styleId="P1">
    <w:name w:val="P1"/>
    <w:basedOn w:val="Normal0"/>
    <w:uiPriority w:val="99"/>
    <w:qFormat/>
    <w:rsid w:val="004E5076"/>
    <w:pPr>
      <w:numPr>
        <w:numId w:val="15"/>
      </w:numPr>
      <w:spacing w:before="60" w:after="60" w:line="360" w:lineRule="auto"/>
      <w:jc w:val="both"/>
    </w:pPr>
    <w:rPr>
      <w:rFonts w:ascii="Arial" w:eastAsiaTheme="minorEastAsia" w:hAnsi="Arial"/>
      <w:color w:val="5A5A5A"/>
      <w:sz w:val="20"/>
      <w:szCs w:val="20"/>
      <w:lang w:val="es-ES_tradnl"/>
    </w:rPr>
  </w:style>
  <w:style w:type="paragraph" w:customStyle="1" w:styleId="P2">
    <w:name w:val="P2"/>
    <w:basedOn w:val="Normal0"/>
    <w:uiPriority w:val="99"/>
    <w:qFormat/>
    <w:rsid w:val="004E5076"/>
    <w:pPr>
      <w:numPr>
        <w:numId w:val="16"/>
      </w:numPr>
      <w:spacing w:before="60" w:after="60" w:line="360" w:lineRule="auto"/>
      <w:jc w:val="both"/>
    </w:pPr>
    <w:rPr>
      <w:rFonts w:ascii="Arial" w:eastAsiaTheme="minorEastAsia" w:hAnsi="Arial"/>
      <w:color w:val="5A5A5A"/>
      <w:sz w:val="20"/>
      <w:szCs w:val="20"/>
      <w:lang w:val="es-ES_tradnl"/>
    </w:rPr>
  </w:style>
  <w:style w:type="character" w:customStyle="1" w:styleId="EpgrafeCar">
    <w:name w:val="Epígrafe Car"/>
    <w:aliases w:val="Car Car Car Car,5 cm Car,5 cm... Car,BildBeschriftung Car,Caption2 Car,Car Car Car + Left Car,Epígrafe tablas Car,FigureCaption Car,First line:  1 Car,Left:  2 Car,Legend Car,Titulo tabla Car,ft_figure_title Car,label Car, Car Car Car Car"/>
    <w:rsid w:val="004E5076"/>
    <w:rPr>
      <w:rFonts w:ascii="Arial" w:hAnsi="Arial"/>
      <w:i/>
      <w:color w:val="4F81BD"/>
      <w:sz w:val="20"/>
      <w:lang w:val="es-ES_tradnl"/>
    </w:rPr>
  </w:style>
  <w:style w:type="paragraph" w:customStyle="1" w:styleId="xl78">
    <w:name w:val="xl78"/>
    <w:basedOn w:val="Normal0"/>
    <w:rsid w:val="004E50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heme="minorEastAsia" w:hAnsi="Times New Roman"/>
      <w:sz w:val="18"/>
      <w:szCs w:val="18"/>
    </w:rPr>
  </w:style>
  <w:style w:type="paragraph" w:customStyle="1" w:styleId="xl79">
    <w:name w:val="xl79"/>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0">
    <w:name w:val="xl80"/>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1">
    <w:name w:val="xl81"/>
    <w:basedOn w:val="Normal0"/>
    <w:rsid w:val="004E507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heme="minorEastAsia" w:hAnsi="Times New Roman"/>
      <w:b/>
      <w:sz w:val="18"/>
      <w:szCs w:val="18"/>
    </w:rPr>
  </w:style>
  <w:style w:type="paragraph" w:customStyle="1" w:styleId="xl82">
    <w:name w:val="xl82"/>
    <w:basedOn w:val="Normal0"/>
    <w:rsid w:val="004E5076"/>
    <w:pPr>
      <w:pBdr>
        <w:bottom w:val="single" w:sz="4" w:space="0" w:color="auto"/>
      </w:pBdr>
      <w:spacing w:before="100" w:beforeAutospacing="1" w:after="100" w:afterAutospacing="1" w:line="240" w:lineRule="auto"/>
      <w:jc w:val="center"/>
    </w:pPr>
    <w:rPr>
      <w:rFonts w:ascii="Times New Roman" w:eastAsiaTheme="minorEastAsia" w:hAnsi="Times New Roman"/>
      <w:b/>
      <w:sz w:val="24"/>
      <w:szCs w:val="24"/>
    </w:rPr>
  </w:style>
  <w:style w:type="paragraph" w:customStyle="1" w:styleId="font5">
    <w:name w:val="font5"/>
    <w:basedOn w:val="Normal0"/>
    <w:rsid w:val="004E5076"/>
    <w:pPr>
      <w:spacing w:before="100" w:beforeAutospacing="1" w:after="100" w:afterAutospacing="1" w:line="240" w:lineRule="auto"/>
    </w:pPr>
    <w:rPr>
      <w:rFonts w:ascii="Arial" w:eastAsiaTheme="minorEastAsia" w:hAnsi="Arial" w:cs="Arial"/>
      <w:b/>
      <w:sz w:val="20"/>
      <w:szCs w:val="20"/>
    </w:rPr>
  </w:style>
  <w:style w:type="character" w:customStyle="1" w:styleId="Parraf-NCar">
    <w:name w:val="Parraf-N Car"/>
    <w:rsid w:val="004E5076"/>
    <w:rPr>
      <w:rFonts w:ascii="Arial Narrow" w:hAnsi="Arial Narrow"/>
      <w:sz w:val="24"/>
      <w:lang w:val="es-ES_tradnl"/>
    </w:rPr>
  </w:style>
  <w:style w:type="paragraph" w:customStyle="1" w:styleId="Parraf-N">
    <w:name w:val="Parraf-N"/>
    <w:basedOn w:val="comun"/>
    <w:qFormat/>
    <w:rsid w:val="004E5076"/>
    <w:pPr>
      <w:spacing w:before="240" w:after="200"/>
    </w:pPr>
    <w:rPr>
      <w:rFonts w:eastAsia="Times New Roman"/>
      <w:b/>
      <w:spacing w:val="0"/>
      <w:szCs w:val="24"/>
    </w:rPr>
  </w:style>
  <w:style w:type="character" w:customStyle="1" w:styleId="Parraf-075Car">
    <w:name w:val="Parraf-0.75 Car"/>
    <w:rsid w:val="004E5076"/>
    <w:rPr>
      <w:rFonts w:ascii="Arial" w:hAnsi="Arial"/>
      <w:b/>
      <w:sz w:val="24"/>
      <w:lang w:val="es-ES_tradnl"/>
    </w:rPr>
  </w:style>
  <w:style w:type="paragraph" w:customStyle="1" w:styleId="Parraf-075">
    <w:name w:val="Parraf-0.75"/>
    <w:basedOn w:val="Parraf-N"/>
    <w:qFormat/>
    <w:rsid w:val="004E5076"/>
    <w:pPr>
      <w:ind w:left="425"/>
    </w:pPr>
  </w:style>
  <w:style w:type="character" w:customStyle="1" w:styleId="Parraf-125Car">
    <w:name w:val="Parraf-1.25 Car"/>
    <w:rsid w:val="004E5076"/>
    <w:rPr>
      <w:rFonts w:ascii="Arial" w:hAnsi="Arial"/>
      <w:sz w:val="24"/>
    </w:rPr>
  </w:style>
  <w:style w:type="paragraph" w:customStyle="1" w:styleId="Parraf-125">
    <w:name w:val="Parraf-1.25"/>
    <w:basedOn w:val="Normal0"/>
    <w:qFormat/>
    <w:rsid w:val="004E5076"/>
    <w:pPr>
      <w:spacing w:line="240" w:lineRule="auto"/>
      <w:ind w:left="709"/>
      <w:jc w:val="both"/>
    </w:pPr>
    <w:rPr>
      <w:rFonts w:ascii="Arial" w:hAnsi="Arial" w:cs="Arial"/>
      <w:szCs w:val="24"/>
    </w:rPr>
  </w:style>
  <w:style w:type="character" w:customStyle="1" w:styleId="Parraf-10Car">
    <w:name w:val="Parraf-1.0 Car"/>
    <w:rsid w:val="004E5076"/>
    <w:rPr>
      <w:rFonts w:ascii="Arial" w:hAnsi="Arial"/>
      <w:b/>
      <w:sz w:val="24"/>
      <w:lang w:val="es-ES_tradnl"/>
    </w:rPr>
  </w:style>
  <w:style w:type="paragraph" w:customStyle="1" w:styleId="Parraf-10">
    <w:name w:val="Parraf-1.0"/>
    <w:basedOn w:val="Parraf-N"/>
    <w:qFormat/>
    <w:rsid w:val="004E5076"/>
    <w:pPr>
      <w:spacing w:before="0"/>
      <w:ind w:left="567"/>
    </w:pPr>
  </w:style>
  <w:style w:type="paragraph" w:customStyle="1" w:styleId="Fuente">
    <w:name w:val="Fuente"/>
    <w:basedOn w:val="Normal0"/>
    <w:next w:val="Normal0"/>
    <w:link w:val="FuenteCar"/>
    <w:uiPriority w:val="99"/>
    <w:qFormat/>
    <w:rsid w:val="004E5076"/>
    <w:pPr>
      <w:spacing w:before="120" w:after="240" w:line="240" w:lineRule="auto"/>
      <w:jc w:val="center"/>
    </w:pPr>
    <w:rPr>
      <w:rFonts w:eastAsiaTheme="minorEastAsia"/>
      <w:i/>
      <w:sz w:val="20"/>
      <w:lang w:val="es-CO"/>
    </w:rPr>
  </w:style>
  <w:style w:type="character" w:customStyle="1" w:styleId="primera">
    <w:name w:val="primera"/>
    <w:basedOn w:val="Fuentedeprrafopredeter"/>
    <w:rsid w:val="004E5076"/>
    <w:rPr>
      <w:rFonts w:cs="Times New Roman"/>
    </w:rPr>
  </w:style>
  <w:style w:type="paragraph" w:styleId="Textonotaalfinal">
    <w:name w:val="endnote text"/>
    <w:basedOn w:val="Normal0"/>
    <w:link w:val="TextonotaalfinalCar"/>
    <w:uiPriority w:val="99"/>
    <w:qFormat/>
    <w:rsid w:val="004E5076"/>
    <w:pPr>
      <w:suppressAutoHyphens/>
      <w:spacing w:after="0" w:line="240" w:lineRule="auto"/>
    </w:pPr>
    <w:rPr>
      <w:rFonts w:ascii="Times New Roman" w:eastAsiaTheme="minorEastAsia" w:hAnsi="Times New Roman"/>
      <w:sz w:val="20"/>
      <w:szCs w:val="20"/>
    </w:rPr>
  </w:style>
  <w:style w:type="character" w:customStyle="1" w:styleId="TextonotaalfinalCar">
    <w:name w:val="Texto nota al final Car"/>
    <w:basedOn w:val="Fuentedeprrafopredeter"/>
    <w:link w:val="Textonotaalfinal"/>
    <w:uiPriority w:val="99"/>
    <w:rsid w:val="004E5076"/>
    <w:rPr>
      <w:rFonts w:ascii="Times New Roman" w:eastAsiaTheme="minorEastAsia" w:hAnsi="Times New Roman" w:cs="Calibri"/>
      <w:kern w:val="0"/>
      <w:sz w:val="20"/>
      <w:szCs w:val="20"/>
      <w:lang w:eastAsia="es-PE"/>
    </w:rPr>
  </w:style>
  <w:style w:type="paragraph" w:customStyle="1" w:styleId="m-4158181370338034730gmail-comun">
    <w:name w:val="m_-4158181370338034730gmail-comun"/>
    <w:basedOn w:val="Normal0"/>
    <w:uiPriority w:val="99"/>
    <w:rsid w:val="004E5076"/>
    <w:pPr>
      <w:spacing w:before="100" w:beforeAutospacing="1" w:after="100" w:afterAutospacing="1" w:line="240" w:lineRule="auto"/>
    </w:pPr>
    <w:rPr>
      <w:rFonts w:ascii="Times New Roman" w:eastAsiaTheme="minorEastAsia" w:hAnsi="Times New Roman"/>
      <w:sz w:val="24"/>
      <w:szCs w:val="24"/>
    </w:rPr>
  </w:style>
  <w:style w:type="paragraph" w:customStyle="1" w:styleId="Encabezado1">
    <w:name w:val="Encabezado1"/>
    <w:basedOn w:val="Normal0"/>
    <w:next w:val="Textoindependiente"/>
    <w:uiPriority w:val="99"/>
    <w:rsid w:val="004E5076"/>
    <w:pPr>
      <w:keepNext/>
      <w:suppressAutoHyphens/>
      <w:spacing w:before="240" w:after="120" w:line="288" w:lineRule="auto"/>
    </w:pPr>
    <w:rPr>
      <w:rFonts w:ascii="Liberation Sans" w:hAnsi="Liberation Sans" w:cs="Mangal"/>
      <w:sz w:val="28"/>
      <w:szCs w:val="28"/>
    </w:rPr>
  </w:style>
  <w:style w:type="paragraph" w:customStyle="1" w:styleId="ndice0">
    <w:name w:val="Índice"/>
    <w:basedOn w:val="Normal0"/>
    <w:uiPriority w:val="99"/>
    <w:rsid w:val="004E5076"/>
    <w:pPr>
      <w:suppressLineNumbers/>
      <w:suppressAutoHyphens/>
      <w:spacing w:after="240" w:line="288" w:lineRule="auto"/>
    </w:pPr>
    <w:rPr>
      <w:rFonts w:ascii="Times New Roman" w:eastAsiaTheme="minorEastAsia" w:hAnsi="Times New Roman" w:cs="Mangal"/>
      <w:sz w:val="24"/>
      <w:szCs w:val="24"/>
    </w:rPr>
  </w:style>
  <w:style w:type="paragraph" w:customStyle="1" w:styleId="Listaconnmeros21">
    <w:name w:val="Lista con números 21"/>
    <w:basedOn w:val="Listaconnmeros1"/>
    <w:uiPriority w:val="99"/>
    <w:rsid w:val="004E5076"/>
    <w:pPr>
      <w:numPr>
        <w:numId w:val="17"/>
      </w:numPr>
      <w:tabs>
        <w:tab w:val="left" w:pos="1072"/>
      </w:tabs>
      <w:suppressAutoHyphens/>
    </w:pPr>
    <w:rPr>
      <w:rFonts w:cs="Arial"/>
    </w:rPr>
  </w:style>
  <w:style w:type="paragraph" w:customStyle="1" w:styleId="ndice10">
    <w:name w:val="Índice 10"/>
    <w:basedOn w:val="ndice0"/>
    <w:uiPriority w:val="99"/>
    <w:rsid w:val="004E5076"/>
    <w:pPr>
      <w:tabs>
        <w:tab w:val="right" w:leader="dot" w:pos="7091"/>
      </w:tabs>
      <w:ind w:left="2547"/>
    </w:pPr>
  </w:style>
  <w:style w:type="paragraph" w:customStyle="1" w:styleId="Contenidodelatabla">
    <w:name w:val="Contenido de la tabla"/>
    <w:basedOn w:val="Normal0"/>
    <w:uiPriority w:val="99"/>
    <w:rsid w:val="004E5076"/>
    <w:pPr>
      <w:suppressLineNumbers/>
      <w:suppressAutoHyphens/>
      <w:spacing w:after="240" w:line="288" w:lineRule="auto"/>
    </w:pPr>
    <w:rPr>
      <w:rFonts w:ascii="Times New Roman" w:eastAsiaTheme="minorEastAsia" w:hAnsi="Times New Roman"/>
      <w:sz w:val="24"/>
      <w:szCs w:val="24"/>
    </w:rPr>
  </w:style>
  <w:style w:type="paragraph" w:customStyle="1" w:styleId="Encabezadodelatabla">
    <w:name w:val="Encabezado de la tabla"/>
    <w:basedOn w:val="Contenidodelatabla"/>
    <w:uiPriority w:val="99"/>
    <w:rsid w:val="004E5076"/>
    <w:pPr>
      <w:jc w:val="center"/>
    </w:pPr>
    <w:rPr>
      <w:b/>
    </w:rPr>
  </w:style>
  <w:style w:type="character" w:customStyle="1" w:styleId="Vieta1Car">
    <w:name w:val="Viñeta 1 Car"/>
    <w:uiPriority w:val="99"/>
    <w:rsid w:val="004E5076"/>
    <w:rPr>
      <w:rFonts w:ascii="Adif Fago Co Regular" w:hAnsi="Adif Fago Co Regular"/>
      <w:sz w:val="24"/>
      <w:lang w:val="es-ES_tradnl"/>
    </w:rPr>
  </w:style>
  <w:style w:type="paragraph" w:customStyle="1" w:styleId="Vieta1">
    <w:name w:val="Viñeta 1"/>
    <w:basedOn w:val="Normal0"/>
    <w:autoRedefine/>
    <w:uiPriority w:val="99"/>
    <w:qFormat/>
    <w:rsid w:val="004E5076"/>
    <w:pPr>
      <w:numPr>
        <w:numId w:val="18"/>
      </w:numPr>
      <w:tabs>
        <w:tab w:val="num" w:pos="907"/>
      </w:tabs>
      <w:spacing w:before="60" w:after="60" w:line="360" w:lineRule="auto"/>
      <w:ind w:left="907" w:hanging="340"/>
      <w:jc w:val="both"/>
    </w:pPr>
    <w:rPr>
      <w:rFonts w:ascii="Adif Fago Co Regular" w:hAnsi="Adif Fago Co Regular"/>
      <w:sz w:val="24"/>
      <w:szCs w:val="24"/>
      <w:lang w:val="es-ES_tradnl"/>
    </w:rPr>
  </w:style>
  <w:style w:type="character" w:customStyle="1" w:styleId="Cuerpodeltexto2Exact">
    <w:name w:val="Cuerpo del texto (2) Exact"/>
    <w:rsid w:val="004E5076"/>
    <w:rPr>
      <w:rFonts w:ascii="Arial" w:eastAsia="Times New Roman" w:hAnsi="Arial"/>
      <w:sz w:val="19"/>
      <w:u w:val="none"/>
      <w:effect w:val="none"/>
    </w:rPr>
  </w:style>
  <w:style w:type="character" w:customStyle="1" w:styleId="Cuerpodeltexto2Calibri">
    <w:name w:val="Cuerpo del texto (2) + Calibri"/>
    <w:aliases w:val="5 pto,7"/>
    <w:rsid w:val="004E5076"/>
    <w:rPr>
      <w:rFonts w:ascii="Calibri" w:eastAsia="Times New Roman" w:hAnsi="Calibri"/>
      <w:color w:val="000000"/>
      <w:spacing w:val="0"/>
      <w:w w:val="100"/>
      <w:position w:val="0"/>
      <w:sz w:val="15"/>
      <w:u w:val="none"/>
      <w:effect w:val="none"/>
      <w:lang w:val="es-ES"/>
    </w:rPr>
  </w:style>
  <w:style w:type="character" w:customStyle="1" w:styleId="WW8Num1z0">
    <w:name w:val="WW8Num1z0"/>
    <w:rsid w:val="004E5076"/>
  </w:style>
  <w:style w:type="character" w:customStyle="1" w:styleId="WW8Num2z0">
    <w:name w:val="WW8Num2z0"/>
    <w:rsid w:val="004E5076"/>
  </w:style>
  <w:style w:type="character" w:customStyle="1" w:styleId="WW8Num3z0">
    <w:name w:val="WW8Num3z0"/>
    <w:rsid w:val="004E5076"/>
  </w:style>
  <w:style w:type="character" w:customStyle="1" w:styleId="WW8Num3z1">
    <w:name w:val="WW8Num3z1"/>
    <w:rsid w:val="004E5076"/>
  </w:style>
  <w:style w:type="character" w:customStyle="1" w:styleId="WW8Num3z2">
    <w:name w:val="WW8Num3z2"/>
    <w:rsid w:val="004E5076"/>
  </w:style>
  <w:style w:type="character" w:customStyle="1" w:styleId="WW8Num3z3">
    <w:name w:val="WW8Num3z3"/>
    <w:rsid w:val="004E5076"/>
  </w:style>
  <w:style w:type="character" w:customStyle="1" w:styleId="WW8Num3z4">
    <w:name w:val="WW8Num3z4"/>
    <w:rsid w:val="004E5076"/>
  </w:style>
  <w:style w:type="character" w:customStyle="1" w:styleId="WW8Num3z5">
    <w:name w:val="WW8Num3z5"/>
    <w:rsid w:val="004E5076"/>
  </w:style>
  <w:style w:type="character" w:customStyle="1" w:styleId="WW8Num3z6">
    <w:name w:val="WW8Num3z6"/>
    <w:rsid w:val="004E5076"/>
  </w:style>
  <w:style w:type="character" w:customStyle="1" w:styleId="WW8Num3z7">
    <w:name w:val="WW8Num3z7"/>
    <w:rsid w:val="004E5076"/>
  </w:style>
  <w:style w:type="character" w:customStyle="1" w:styleId="WW8Num3z8">
    <w:name w:val="WW8Num3z8"/>
    <w:rsid w:val="004E5076"/>
  </w:style>
  <w:style w:type="character" w:customStyle="1" w:styleId="WW8Num4z0">
    <w:name w:val="WW8Num4z0"/>
    <w:rsid w:val="004E5076"/>
  </w:style>
  <w:style w:type="character" w:customStyle="1" w:styleId="WW8Num4z1">
    <w:name w:val="WW8Num4z1"/>
    <w:rsid w:val="004E5076"/>
  </w:style>
  <w:style w:type="character" w:customStyle="1" w:styleId="WW8Num4z2">
    <w:name w:val="WW8Num4z2"/>
    <w:rsid w:val="004E5076"/>
  </w:style>
  <w:style w:type="character" w:customStyle="1" w:styleId="WW8Num4z3">
    <w:name w:val="WW8Num4z3"/>
    <w:rsid w:val="004E5076"/>
  </w:style>
  <w:style w:type="character" w:customStyle="1" w:styleId="WW8Num4z4">
    <w:name w:val="WW8Num4z4"/>
    <w:rsid w:val="004E5076"/>
  </w:style>
  <w:style w:type="character" w:customStyle="1" w:styleId="WW8Num4z5">
    <w:name w:val="WW8Num4z5"/>
    <w:rsid w:val="004E5076"/>
  </w:style>
  <w:style w:type="character" w:customStyle="1" w:styleId="WW8Num4z6">
    <w:name w:val="WW8Num4z6"/>
    <w:rsid w:val="004E5076"/>
  </w:style>
  <w:style w:type="character" w:customStyle="1" w:styleId="WW8Num4z7">
    <w:name w:val="WW8Num4z7"/>
    <w:rsid w:val="004E5076"/>
  </w:style>
  <w:style w:type="character" w:customStyle="1" w:styleId="WW8Num4z8">
    <w:name w:val="WW8Num4z8"/>
    <w:rsid w:val="004E5076"/>
  </w:style>
  <w:style w:type="character" w:customStyle="1" w:styleId="WW8Num5z0">
    <w:name w:val="WW8Num5z0"/>
    <w:rsid w:val="004E5076"/>
    <w:rPr>
      <w:rFonts w:ascii="Symbol" w:hAnsi="Symbol"/>
      <w:color w:val="auto"/>
    </w:rPr>
  </w:style>
  <w:style w:type="character" w:customStyle="1" w:styleId="WW8Num5z1">
    <w:name w:val="WW8Num5z1"/>
    <w:rsid w:val="004E5076"/>
    <w:rPr>
      <w:rFonts w:ascii="Courier New" w:hAnsi="Courier New"/>
    </w:rPr>
  </w:style>
  <w:style w:type="character" w:customStyle="1" w:styleId="WW8Num5z2">
    <w:name w:val="WW8Num5z2"/>
    <w:rsid w:val="004E5076"/>
    <w:rPr>
      <w:rFonts w:ascii="Wingdings" w:hAnsi="Wingdings"/>
    </w:rPr>
  </w:style>
  <w:style w:type="character" w:customStyle="1" w:styleId="WW8Num5z3">
    <w:name w:val="WW8Num5z3"/>
    <w:rsid w:val="004E5076"/>
    <w:rPr>
      <w:rFonts w:ascii="Symbol" w:hAnsi="Symbol"/>
    </w:rPr>
  </w:style>
  <w:style w:type="character" w:customStyle="1" w:styleId="WW8Num6z0">
    <w:name w:val="WW8Num6z0"/>
    <w:rsid w:val="004E5076"/>
    <w:rPr>
      <w:rFonts w:ascii="Wingdings 2" w:hAnsi="Wingdings 2"/>
      <w:color w:val="auto"/>
      <w:sz w:val="20"/>
    </w:rPr>
  </w:style>
  <w:style w:type="character" w:customStyle="1" w:styleId="WW8Num6z1">
    <w:name w:val="WW8Num6z1"/>
    <w:rsid w:val="004E5076"/>
    <w:rPr>
      <w:rFonts w:ascii="Symbol" w:hAnsi="Symbol"/>
      <w:color w:val="auto"/>
    </w:rPr>
  </w:style>
  <w:style w:type="character" w:customStyle="1" w:styleId="WW8Num6z2">
    <w:name w:val="WW8Num6z2"/>
    <w:rsid w:val="004E5076"/>
    <w:rPr>
      <w:rFonts w:ascii="Wingdings" w:hAnsi="Wingdings"/>
    </w:rPr>
  </w:style>
  <w:style w:type="character" w:customStyle="1" w:styleId="WW8Num6z3">
    <w:name w:val="WW8Num6z3"/>
    <w:rsid w:val="004E5076"/>
    <w:rPr>
      <w:rFonts w:ascii="Symbol" w:hAnsi="Symbol"/>
    </w:rPr>
  </w:style>
  <w:style w:type="character" w:customStyle="1" w:styleId="WW8Num6z4">
    <w:name w:val="WW8Num6z4"/>
    <w:rsid w:val="004E5076"/>
    <w:rPr>
      <w:rFonts w:ascii="Courier New" w:hAnsi="Courier New"/>
    </w:rPr>
  </w:style>
  <w:style w:type="character" w:customStyle="1" w:styleId="WW8Num7z0">
    <w:name w:val="WW8Num7z0"/>
    <w:rsid w:val="004E5076"/>
    <w:rPr>
      <w:b/>
      <w:sz w:val="24"/>
    </w:rPr>
  </w:style>
  <w:style w:type="character" w:customStyle="1" w:styleId="WW8Num7z1">
    <w:name w:val="WW8Num7z1"/>
    <w:rsid w:val="004E5076"/>
    <w:rPr>
      <w:rFonts w:ascii="Arial Negrita" w:hAnsi="Arial Negrita"/>
      <w:b/>
      <w:color w:val="000000"/>
      <w:spacing w:val="0"/>
      <w:kern w:val="2"/>
      <w:position w:val="0"/>
      <w:sz w:val="22"/>
      <w:u w:val="none"/>
      <w:effect w:val="none"/>
      <w:vertAlign w:val="baseline"/>
    </w:rPr>
  </w:style>
  <w:style w:type="character" w:customStyle="1" w:styleId="WW8Num7z3">
    <w:name w:val="WW8Num7z3"/>
    <w:rsid w:val="004E5076"/>
    <w:rPr>
      <w:rFonts w:ascii="Arial Negrita" w:hAnsi="Arial Negrita"/>
      <w:b/>
      <w:sz w:val="22"/>
    </w:rPr>
  </w:style>
  <w:style w:type="character" w:customStyle="1" w:styleId="WW8Num7z4">
    <w:name w:val="WW8Num7z4"/>
    <w:rsid w:val="004E5076"/>
    <w:rPr>
      <w:rFonts w:ascii="Arial Negrita" w:hAnsi="Arial Negrita"/>
      <w:b/>
      <w:i/>
      <w:color w:val="000000"/>
      <w:position w:val="0"/>
      <w:sz w:val="22"/>
      <w:u w:val="none"/>
      <w:effect w:val="none"/>
      <w:vertAlign w:val="baseline"/>
    </w:rPr>
  </w:style>
  <w:style w:type="character" w:customStyle="1" w:styleId="WW8Num7z6">
    <w:name w:val="WW8Num7z6"/>
    <w:rsid w:val="004E5076"/>
    <w:rPr>
      <w:rFonts w:ascii="Arial" w:hAnsi="Arial"/>
      <w:i/>
      <w:sz w:val="22"/>
    </w:rPr>
  </w:style>
  <w:style w:type="character" w:customStyle="1" w:styleId="WW8Num7z7">
    <w:name w:val="WW8Num7z7"/>
    <w:rsid w:val="004E5076"/>
    <w:rPr>
      <w:sz w:val="22"/>
    </w:rPr>
  </w:style>
  <w:style w:type="character" w:customStyle="1" w:styleId="WW8Num8z0">
    <w:name w:val="WW8Num8z0"/>
    <w:rsid w:val="004E5076"/>
  </w:style>
  <w:style w:type="character" w:customStyle="1" w:styleId="WW8Num8z1">
    <w:name w:val="WW8Num8z1"/>
    <w:rsid w:val="004E5076"/>
  </w:style>
  <w:style w:type="character" w:customStyle="1" w:styleId="WW8Num8z2">
    <w:name w:val="WW8Num8z2"/>
    <w:rsid w:val="004E5076"/>
  </w:style>
  <w:style w:type="character" w:customStyle="1" w:styleId="WW8Num8z3">
    <w:name w:val="WW8Num8z3"/>
    <w:rsid w:val="004E5076"/>
  </w:style>
  <w:style w:type="character" w:customStyle="1" w:styleId="WW8Num8z4">
    <w:name w:val="WW8Num8z4"/>
    <w:rsid w:val="004E5076"/>
  </w:style>
  <w:style w:type="character" w:customStyle="1" w:styleId="WW8Num8z5">
    <w:name w:val="WW8Num8z5"/>
    <w:rsid w:val="004E5076"/>
  </w:style>
  <w:style w:type="character" w:customStyle="1" w:styleId="WW8Num8z6">
    <w:name w:val="WW8Num8z6"/>
    <w:rsid w:val="004E5076"/>
  </w:style>
  <w:style w:type="character" w:customStyle="1" w:styleId="WW8Num8z7">
    <w:name w:val="WW8Num8z7"/>
    <w:rsid w:val="004E5076"/>
  </w:style>
  <w:style w:type="character" w:customStyle="1" w:styleId="WW8Num8z8">
    <w:name w:val="WW8Num8z8"/>
    <w:rsid w:val="004E5076"/>
  </w:style>
  <w:style w:type="character" w:customStyle="1" w:styleId="WW8Num9z0">
    <w:name w:val="WW8Num9z0"/>
    <w:rsid w:val="004E5076"/>
  </w:style>
  <w:style w:type="character" w:customStyle="1" w:styleId="WW8Num9z1">
    <w:name w:val="WW8Num9z1"/>
    <w:rsid w:val="004E5076"/>
  </w:style>
  <w:style w:type="character" w:customStyle="1" w:styleId="WW8Num9z2">
    <w:name w:val="WW8Num9z2"/>
    <w:rsid w:val="004E5076"/>
  </w:style>
  <w:style w:type="character" w:customStyle="1" w:styleId="WW8Num9z3">
    <w:name w:val="WW8Num9z3"/>
    <w:rsid w:val="004E5076"/>
  </w:style>
  <w:style w:type="character" w:customStyle="1" w:styleId="WW8Num9z4">
    <w:name w:val="WW8Num9z4"/>
    <w:rsid w:val="004E5076"/>
  </w:style>
  <w:style w:type="character" w:customStyle="1" w:styleId="WW8Num9z5">
    <w:name w:val="WW8Num9z5"/>
    <w:rsid w:val="004E5076"/>
  </w:style>
  <w:style w:type="character" w:customStyle="1" w:styleId="WW8Num9z6">
    <w:name w:val="WW8Num9z6"/>
    <w:rsid w:val="004E5076"/>
  </w:style>
  <w:style w:type="character" w:customStyle="1" w:styleId="WW8Num9z7">
    <w:name w:val="WW8Num9z7"/>
    <w:rsid w:val="004E5076"/>
  </w:style>
  <w:style w:type="character" w:customStyle="1" w:styleId="WW8Num9z8">
    <w:name w:val="WW8Num9z8"/>
    <w:rsid w:val="004E5076"/>
  </w:style>
  <w:style w:type="character" w:customStyle="1" w:styleId="WW8Num10z0">
    <w:name w:val="WW8Num10z0"/>
    <w:rsid w:val="004E5076"/>
  </w:style>
  <w:style w:type="character" w:customStyle="1" w:styleId="WW8Num10z1">
    <w:name w:val="WW8Num10z1"/>
    <w:rsid w:val="004E5076"/>
  </w:style>
  <w:style w:type="character" w:customStyle="1" w:styleId="WW8Num10z2">
    <w:name w:val="WW8Num10z2"/>
    <w:rsid w:val="004E5076"/>
  </w:style>
  <w:style w:type="character" w:customStyle="1" w:styleId="WW8Num10z3">
    <w:name w:val="WW8Num10z3"/>
    <w:rsid w:val="004E5076"/>
  </w:style>
  <w:style w:type="character" w:customStyle="1" w:styleId="WW8Num10z4">
    <w:name w:val="WW8Num10z4"/>
    <w:rsid w:val="004E5076"/>
  </w:style>
  <w:style w:type="character" w:customStyle="1" w:styleId="WW8Num10z5">
    <w:name w:val="WW8Num10z5"/>
    <w:rsid w:val="004E5076"/>
  </w:style>
  <w:style w:type="character" w:customStyle="1" w:styleId="WW8Num10z6">
    <w:name w:val="WW8Num10z6"/>
    <w:rsid w:val="004E5076"/>
  </w:style>
  <w:style w:type="character" w:customStyle="1" w:styleId="WW8Num10z7">
    <w:name w:val="WW8Num10z7"/>
    <w:rsid w:val="004E5076"/>
  </w:style>
  <w:style w:type="character" w:customStyle="1" w:styleId="WW8Num10z8">
    <w:name w:val="WW8Num10z8"/>
    <w:rsid w:val="004E5076"/>
  </w:style>
  <w:style w:type="character" w:customStyle="1" w:styleId="WW8Num11z0">
    <w:name w:val="WW8Num11z0"/>
    <w:rsid w:val="004E5076"/>
    <w:rPr>
      <w:rFonts w:ascii="Arial" w:hAnsi="Arial"/>
    </w:rPr>
  </w:style>
  <w:style w:type="character" w:customStyle="1" w:styleId="WW8Num11z1">
    <w:name w:val="WW8Num11z1"/>
    <w:rsid w:val="004E5076"/>
  </w:style>
  <w:style w:type="character" w:customStyle="1" w:styleId="WW8Num11z2">
    <w:name w:val="WW8Num11z2"/>
    <w:rsid w:val="004E5076"/>
  </w:style>
  <w:style w:type="character" w:customStyle="1" w:styleId="WW8Num11z3">
    <w:name w:val="WW8Num11z3"/>
    <w:rsid w:val="004E5076"/>
  </w:style>
  <w:style w:type="character" w:customStyle="1" w:styleId="WW8Num11z4">
    <w:name w:val="WW8Num11z4"/>
    <w:rsid w:val="004E5076"/>
  </w:style>
  <w:style w:type="character" w:customStyle="1" w:styleId="WW8Num11z5">
    <w:name w:val="WW8Num11z5"/>
    <w:rsid w:val="004E5076"/>
  </w:style>
  <w:style w:type="character" w:customStyle="1" w:styleId="WW8Num11z6">
    <w:name w:val="WW8Num11z6"/>
    <w:rsid w:val="004E5076"/>
  </w:style>
  <w:style w:type="character" w:customStyle="1" w:styleId="WW8Num11z7">
    <w:name w:val="WW8Num11z7"/>
    <w:rsid w:val="004E5076"/>
  </w:style>
  <w:style w:type="character" w:customStyle="1" w:styleId="WW8Num11z8">
    <w:name w:val="WW8Num11z8"/>
    <w:rsid w:val="004E5076"/>
  </w:style>
  <w:style w:type="character" w:customStyle="1" w:styleId="WW8Num12z0">
    <w:name w:val="WW8Num12z0"/>
    <w:rsid w:val="004E5076"/>
    <w:rPr>
      <w:rFonts w:ascii="Wingdings" w:hAnsi="Wingdings"/>
    </w:rPr>
  </w:style>
  <w:style w:type="character" w:customStyle="1" w:styleId="WW8Num12z1">
    <w:name w:val="WW8Num12z1"/>
    <w:rsid w:val="004E5076"/>
    <w:rPr>
      <w:rFonts w:ascii="Courier New" w:hAnsi="Courier New"/>
    </w:rPr>
  </w:style>
  <w:style w:type="character" w:customStyle="1" w:styleId="WW8Num12z3">
    <w:name w:val="WW8Num12z3"/>
    <w:rsid w:val="004E5076"/>
    <w:rPr>
      <w:rFonts w:ascii="Symbol" w:hAnsi="Symbol"/>
    </w:rPr>
  </w:style>
  <w:style w:type="character" w:customStyle="1" w:styleId="Fuentedeprrafopredeter1">
    <w:name w:val="Fuente de párrafo predeter.1"/>
    <w:rsid w:val="004E5076"/>
  </w:style>
  <w:style w:type="character" w:customStyle="1" w:styleId="Textoindependiente4CarCar">
    <w:name w:val="Texto independiente4 Car Car"/>
    <w:rsid w:val="004E5076"/>
    <w:rPr>
      <w:rFonts w:ascii="Calibri" w:eastAsia="Times New Roman" w:hAnsi="Calibri"/>
      <w:sz w:val="24"/>
      <w:lang w:val="es-ES"/>
    </w:rPr>
  </w:style>
  <w:style w:type="paragraph" w:customStyle="1" w:styleId="Title0">
    <w:name w:val="Title0"/>
    <w:aliases w:val="Título3"/>
    <w:basedOn w:val="Normal0"/>
    <w:uiPriority w:val="10"/>
    <w:qFormat/>
    <w:rsid w:val="004E5076"/>
    <w:pPr>
      <w:spacing w:after="0" w:line="240" w:lineRule="auto"/>
      <w:jc w:val="center"/>
    </w:pPr>
    <w:rPr>
      <w:rFonts w:ascii="Arial" w:eastAsiaTheme="minorEastAsia" w:hAnsi="Arial" w:cs="Arial"/>
      <w:b/>
      <w:lang w:val="es-ES_tradnl"/>
    </w:rPr>
  </w:style>
  <w:style w:type="character" w:customStyle="1" w:styleId="TtuloCar2">
    <w:name w:val="Título Car2"/>
    <w:aliases w:val="Título3 Car"/>
    <w:uiPriority w:val="10"/>
    <w:rsid w:val="004E5076"/>
    <w:rPr>
      <w:rFonts w:ascii="Arial" w:hAnsi="Arial"/>
      <w:b/>
      <w:lang w:val="es-ES_tradnl"/>
    </w:rPr>
  </w:style>
  <w:style w:type="paragraph" w:customStyle="1" w:styleId="xl24">
    <w:name w:val="xl24"/>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5">
    <w:name w:val="xl25"/>
    <w:basedOn w:val="Normal0"/>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6">
    <w:name w:val="xl26"/>
    <w:basedOn w:val="Normal0"/>
    <w:uiPriority w:val="99"/>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7">
    <w:name w:val="xl27"/>
    <w:basedOn w:val="Normal0"/>
    <w:uiPriority w:val="99"/>
    <w:qFormat/>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8">
    <w:name w:val="xl28"/>
    <w:basedOn w:val="Normal0"/>
    <w:uiPriority w:val="99"/>
    <w:rsid w:val="004E5076"/>
    <w:pP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29">
    <w:name w:val="xl29"/>
    <w:basedOn w:val="Normal0"/>
    <w:uiPriority w:val="99"/>
    <w:rsid w:val="004E5076"/>
    <w:pPr>
      <w:pBdr>
        <w:left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0">
    <w:name w:val="xl30"/>
    <w:basedOn w:val="Normal0"/>
    <w:uiPriority w:val="99"/>
    <w:rsid w:val="004E5076"/>
    <w:pPr>
      <w:pBdr>
        <w:lef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1">
    <w:name w:val="xl31"/>
    <w:basedOn w:val="Normal0"/>
    <w:uiPriority w:val="99"/>
    <w:rsid w:val="004E5076"/>
    <w:pPr>
      <w:pBdr>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3">
    <w:name w:val="xl33"/>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4">
    <w:name w:val="xl34"/>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5">
    <w:name w:val="xl35"/>
    <w:basedOn w:val="Normal0"/>
    <w:uiPriority w:val="99"/>
    <w:rsid w:val="004E5076"/>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6">
    <w:name w:val="xl36"/>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7">
    <w:name w:val="xl37"/>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8">
    <w:name w:val="xl38"/>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39">
    <w:name w:val="xl39"/>
    <w:basedOn w:val="Normal0"/>
    <w:uiPriority w:val="99"/>
    <w:rsid w:val="004E5076"/>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0">
    <w:name w:val="xl40"/>
    <w:basedOn w:val="Normal0"/>
    <w:uiPriority w:val="99"/>
    <w:rsid w:val="004E5076"/>
    <w:pPr>
      <w:pBdr>
        <w:top w:val="single" w:sz="8" w:space="0" w:color="auto"/>
        <w:lef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1">
    <w:name w:val="xl41"/>
    <w:basedOn w:val="Normal0"/>
    <w:uiPriority w:val="99"/>
    <w:rsid w:val="004E5076"/>
    <w:pPr>
      <w:pBdr>
        <w:top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2">
    <w:name w:val="xl42"/>
    <w:basedOn w:val="Normal0"/>
    <w:uiPriority w:val="99"/>
    <w:rsid w:val="004E5076"/>
    <w:pPr>
      <w:pBdr>
        <w:left w:val="single" w:sz="4" w:space="0" w:color="auto"/>
        <w:bottom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3">
    <w:name w:val="xl43"/>
    <w:basedOn w:val="Normal0"/>
    <w:uiPriority w:val="99"/>
    <w:rsid w:val="004E5076"/>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44">
    <w:name w:val="xl44"/>
    <w:basedOn w:val="Normal0"/>
    <w:uiPriority w:val="99"/>
    <w:rsid w:val="004E5076"/>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5">
    <w:name w:val="xl45"/>
    <w:basedOn w:val="Normal0"/>
    <w:uiPriority w:val="99"/>
    <w:rsid w:val="004E5076"/>
    <w:pPr>
      <w:pBdr>
        <w:left w:val="single" w:sz="4"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6">
    <w:name w:val="xl46"/>
    <w:basedOn w:val="Normal0"/>
    <w:uiPriority w:val="99"/>
    <w:rsid w:val="004E5076"/>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47">
    <w:name w:val="xl47"/>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heme="minorEastAsia" w:hAnsi="Arial" w:cs="Arial"/>
      <w:sz w:val="24"/>
      <w:szCs w:val="24"/>
    </w:rPr>
  </w:style>
  <w:style w:type="paragraph" w:customStyle="1" w:styleId="xl48">
    <w:name w:val="xl48"/>
    <w:basedOn w:val="Normal0"/>
    <w:uiPriority w:val="99"/>
    <w:rsid w:val="004E507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49">
    <w:name w:val="xl49"/>
    <w:basedOn w:val="Normal0"/>
    <w:uiPriority w:val="99"/>
    <w:rsid w:val="004E50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50">
    <w:name w:val="xl50"/>
    <w:basedOn w:val="Normal0"/>
    <w:uiPriority w:val="99"/>
    <w:rsid w:val="004E507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heme="minorEastAsia" w:hAnsi="Times New Roman"/>
      <w:sz w:val="24"/>
      <w:szCs w:val="24"/>
    </w:rPr>
  </w:style>
  <w:style w:type="paragraph" w:customStyle="1" w:styleId="xl51">
    <w:name w:val="xl51"/>
    <w:basedOn w:val="Normal0"/>
    <w:uiPriority w:val="99"/>
    <w:rsid w:val="004E5076"/>
    <w:pPr>
      <w:pBdr>
        <w:top w:val="single" w:sz="4" w:space="0" w:color="auto"/>
        <w:lef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2">
    <w:name w:val="xl52"/>
    <w:basedOn w:val="Normal0"/>
    <w:uiPriority w:val="99"/>
    <w:rsid w:val="004E5076"/>
    <w:pPr>
      <w:pBdr>
        <w:top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3">
    <w:name w:val="xl53"/>
    <w:basedOn w:val="Normal0"/>
    <w:uiPriority w:val="99"/>
    <w:rsid w:val="004E5076"/>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4">
    <w:name w:val="xl54"/>
    <w:basedOn w:val="Normal0"/>
    <w:uiPriority w:val="99"/>
    <w:rsid w:val="004E5076"/>
    <w:pPr>
      <w:pBdr>
        <w:top w:val="single" w:sz="8"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5">
    <w:name w:val="xl55"/>
    <w:basedOn w:val="Normal0"/>
    <w:uiPriority w:val="99"/>
    <w:rsid w:val="004E5076"/>
    <w:pPr>
      <w:pBdr>
        <w:top w:val="single" w:sz="8"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6">
    <w:name w:val="xl56"/>
    <w:basedOn w:val="Normal0"/>
    <w:uiPriority w:val="99"/>
    <w:rsid w:val="004E5076"/>
    <w:pPr>
      <w:pBdr>
        <w:top w:val="single" w:sz="4" w:space="0" w:color="auto"/>
        <w:left w:val="single" w:sz="8" w:space="0" w:color="auto"/>
        <w:right w:val="single" w:sz="4"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7">
    <w:name w:val="xl57"/>
    <w:basedOn w:val="Normal0"/>
    <w:uiPriority w:val="99"/>
    <w:rsid w:val="004E5076"/>
    <w:pPr>
      <w:pBdr>
        <w:top w:val="single" w:sz="4" w:space="0" w:color="auto"/>
        <w:left w:val="single" w:sz="4" w:space="0" w:color="auto"/>
        <w:right w:val="single" w:sz="8" w:space="0" w:color="auto"/>
      </w:pBdr>
      <w:shd w:val="clear" w:color="auto" w:fill="C0C0C0"/>
      <w:spacing w:before="100" w:beforeAutospacing="1" w:after="100" w:afterAutospacing="1" w:line="240" w:lineRule="auto"/>
      <w:jc w:val="center"/>
    </w:pPr>
    <w:rPr>
      <w:rFonts w:ascii="Arial" w:eastAsiaTheme="minorEastAsia" w:hAnsi="Arial" w:cs="Arial"/>
      <w:b/>
      <w:sz w:val="24"/>
      <w:szCs w:val="24"/>
    </w:rPr>
  </w:style>
  <w:style w:type="paragraph" w:customStyle="1" w:styleId="xl58">
    <w:name w:val="xl58"/>
    <w:basedOn w:val="Normal0"/>
    <w:uiPriority w:val="99"/>
    <w:rsid w:val="004E5076"/>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59">
    <w:name w:val="xl59"/>
    <w:basedOn w:val="Normal0"/>
    <w:uiPriority w:val="99"/>
    <w:rsid w:val="004E5076"/>
    <w:pPr>
      <w:pBdr>
        <w:left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0">
    <w:name w:val="xl60"/>
    <w:basedOn w:val="Normal0"/>
    <w:uiPriority w:val="99"/>
    <w:rsid w:val="004E5076"/>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heme="minorEastAsia" w:hAnsi="Times New Roman"/>
      <w:sz w:val="24"/>
      <w:szCs w:val="24"/>
    </w:rPr>
  </w:style>
  <w:style w:type="paragraph" w:customStyle="1" w:styleId="xl61">
    <w:name w:val="xl61"/>
    <w:basedOn w:val="Normal0"/>
    <w:uiPriority w:val="99"/>
    <w:rsid w:val="004E5076"/>
    <w:pPr>
      <w:pBdr>
        <w:top w:val="single" w:sz="8" w:space="0" w:color="auto"/>
        <w:left w:val="single" w:sz="4" w:space="0" w:color="auto"/>
        <w:right w:val="single" w:sz="8" w:space="0" w:color="auto"/>
      </w:pBdr>
      <w:spacing w:before="100" w:beforeAutospacing="1" w:after="100" w:afterAutospacing="1" w:line="240" w:lineRule="auto"/>
      <w:jc w:val="center"/>
    </w:pPr>
    <w:rPr>
      <w:rFonts w:ascii="Arial" w:eastAsiaTheme="minorEastAsia" w:hAnsi="Arial" w:cs="Arial"/>
      <w:b/>
      <w:sz w:val="24"/>
      <w:szCs w:val="24"/>
    </w:rPr>
  </w:style>
  <w:style w:type="paragraph" w:customStyle="1" w:styleId="xl62">
    <w:name w:val="xl62"/>
    <w:basedOn w:val="Normal0"/>
    <w:uiPriority w:val="99"/>
    <w:rsid w:val="004E5076"/>
    <w:pPr>
      <w:pBdr>
        <w:top w:val="single" w:sz="8" w:space="0" w:color="auto"/>
        <w:left w:val="single" w:sz="8" w:space="0" w:color="auto"/>
      </w:pBdr>
      <w:spacing w:before="100" w:beforeAutospacing="1" w:after="100" w:afterAutospacing="1" w:line="240" w:lineRule="auto"/>
      <w:jc w:val="center"/>
    </w:pPr>
    <w:rPr>
      <w:rFonts w:ascii="Times New Roman" w:eastAsiaTheme="minorEastAsia" w:hAnsi="Times New Roman"/>
      <w:sz w:val="24"/>
      <w:szCs w:val="24"/>
    </w:rPr>
  </w:style>
  <w:style w:type="character" w:customStyle="1" w:styleId="TtulofiguracuadroCarCar">
    <w:name w:val="Título figura.cuadro Car Car"/>
    <w:rsid w:val="004E5076"/>
    <w:rPr>
      <w:rFonts w:ascii="Arial Negrita" w:hAnsi="Arial Negrita"/>
      <w:b/>
      <w:sz w:val="25"/>
      <w:lang w:val="es-ES_tradnl"/>
    </w:rPr>
  </w:style>
  <w:style w:type="character" w:customStyle="1" w:styleId="Mencinsinresolver11">
    <w:name w:val="Mención sin resolver11"/>
    <w:uiPriority w:val="99"/>
    <w:rsid w:val="004E5076"/>
    <w:rPr>
      <w:color w:val="808080"/>
      <w:shd w:val="clear" w:color="auto" w:fill="E6E6E6"/>
    </w:rPr>
  </w:style>
  <w:style w:type="character" w:customStyle="1" w:styleId="Mencinsinresolver2">
    <w:name w:val="Mención sin resolver2"/>
    <w:uiPriority w:val="99"/>
    <w:rsid w:val="004E5076"/>
    <w:rPr>
      <w:color w:val="808080"/>
      <w:shd w:val="clear" w:color="auto" w:fill="E6E6E6"/>
    </w:rPr>
  </w:style>
  <w:style w:type="character" w:customStyle="1" w:styleId="Mencinsinresolver3">
    <w:name w:val="Mención sin resolver3"/>
    <w:uiPriority w:val="99"/>
    <w:rsid w:val="004E5076"/>
    <w:rPr>
      <w:color w:val="808080"/>
      <w:shd w:val="clear" w:color="auto" w:fill="E6E6E6"/>
    </w:rPr>
  </w:style>
  <w:style w:type="character" w:customStyle="1" w:styleId="Mencinsinresolver4">
    <w:name w:val="Mención sin resolver4"/>
    <w:uiPriority w:val="99"/>
    <w:rsid w:val="004E5076"/>
    <w:rPr>
      <w:color w:val="808080"/>
      <w:shd w:val="clear" w:color="auto" w:fill="E6E6E6"/>
    </w:rPr>
  </w:style>
  <w:style w:type="character" w:customStyle="1" w:styleId="Mencinsinresolver5">
    <w:name w:val="Mención sin resolver5"/>
    <w:uiPriority w:val="99"/>
    <w:rsid w:val="004E5076"/>
    <w:rPr>
      <w:color w:val="808080"/>
      <w:shd w:val="clear" w:color="auto" w:fill="E6E6E6"/>
    </w:rPr>
  </w:style>
  <w:style w:type="character" w:customStyle="1" w:styleId="Mencinsinresolver6">
    <w:name w:val="Mención sin resolver6"/>
    <w:uiPriority w:val="99"/>
    <w:rsid w:val="004E5076"/>
    <w:rPr>
      <w:color w:val="808080"/>
      <w:shd w:val="clear" w:color="auto" w:fill="E6E6E6"/>
    </w:rPr>
  </w:style>
  <w:style w:type="character" w:customStyle="1" w:styleId="ColorfulList-Accent1Char">
    <w:name w:val="Colorful List - Accent 1 Char"/>
    <w:aliases w:val="Bulleted List Char,Cuadro 2-1 Char,Fundamentacion Char,Ha Char,Lista 123 Char,Number List 1 Char,Párrafo de lista2 Char,Párrafo de lista21 Char,SCap1 Char,TITULO A Char,Tabla Char,Titulos Char,Viñeta Char,Viñeta normal Cha"/>
    <w:uiPriority w:val="34"/>
    <w:rsid w:val="004E5076"/>
    <w:rPr>
      <w:rFonts w:ascii="Arial" w:hAnsi="Arial"/>
    </w:rPr>
  </w:style>
  <w:style w:type="paragraph" w:customStyle="1" w:styleId="Literales">
    <w:name w:val="Literales"/>
    <w:basedOn w:val="Normal0"/>
    <w:next w:val="Title0"/>
    <w:qFormat/>
    <w:rsid w:val="004E5076"/>
    <w:pPr>
      <w:spacing w:after="0" w:line="240" w:lineRule="auto"/>
      <w:jc w:val="both"/>
    </w:pPr>
    <w:rPr>
      <w:rFonts w:eastAsiaTheme="minorEastAsia"/>
      <w:szCs w:val="20"/>
      <w:lang w:val="es-ES_tradnl"/>
    </w:rPr>
  </w:style>
  <w:style w:type="character" w:customStyle="1" w:styleId="LiteralesCar">
    <w:name w:val="Literales Car"/>
    <w:rsid w:val="004E5076"/>
    <w:rPr>
      <w:rFonts w:ascii="Calibri" w:hAnsi="Calibri"/>
      <w:sz w:val="20"/>
      <w:lang w:val="es-ES_tradnl"/>
    </w:rPr>
  </w:style>
  <w:style w:type="paragraph" w:customStyle="1" w:styleId="Numerar">
    <w:name w:val="Numerar"/>
    <w:basedOn w:val="Normal0"/>
    <w:qFormat/>
    <w:rsid w:val="004E5076"/>
    <w:pPr>
      <w:numPr>
        <w:numId w:val="19"/>
      </w:numPr>
      <w:spacing w:after="0" w:line="240" w:lineRule="auto"/>
      <w:jc w:val="both"/>
    </w:pPr>
    <w:rPr>
      <w:rFonts w:eastAsiaTheme="minorEastAsia" w:cs="Arial"/>
      <w:szCs w:val="21"/>
    </w:rPr>
  </w:style>
  <w:style w:type="character" w:customStyle="1" w:styleId="NumerarCar">
    <w:name w:val="Numerar Car"/>
    <w:rsid w:val="004E5076"/>
    <w:rPr>
      <w:rFonts w:eastAsia="Times New Roman"/>
      <w:sz w:val="21"/>
      <w:lang w:val="x-none"/>
    </w:rPr>
  </w:style>
  <w:style w:type="character" w:customStyle="1" w:styleId="Mencinsinresolver7">
    <w:name w:val="Mención sin resolver7"/>
    <w:uiPriority w:val="99"/>
    <w:rsid w:val="004E5076"/>
    <w:rPr>
      <w:color w:val="808080"/>
      <w:shd w:val="clear" w:color="auto" w:fill="E6E6E6"/>
    </w:rPr>
  </w:style>
  <w:style w:type="character" w:customStyle="1" w:styleId="Mencinsinresolver8">
    <w:name w:val="Mención sin resolver8"/>
    <w:uiPriority w:val="99"/>
    <w:rsid w:val="004E5076"/>
    <w:rPr>
      <w:color w:val="808080"/>
      <w:shd w:val="clear" w:color="auto" w:fill="E6E6E6"/>
    </w:rPr>
  </w:style>
  <w:style w:type="paragraph" w:customStyle="1" w:styleId="Literal2">
    <w:name w:val="Literal2"/>
    <w:basedOn w:val="Numerar"/>
    <w:qFormat/>
    <w:rsid w:val="004E5076"/>
    <w:pPr>
      <w:widowControl/>
      <w:numPr>
        <w:numId w:val="0"/>
      </w:numPr>
      <w:spacing w:before="120" w:after="120"/>
      <w:ind w:left="3240" w:hanging="360"/>
    </w:pPr>
    <w:rPr>
      <w:rFonts w:ascii="Arial" w:eastAsia="Times New Roman" w:hAnsi="Arial" w:cs="Times New Roman"/>
      <w:sz w:val="21"/>
      <w:szCs w:val="22"/>
    </w:rPr>
  </w:style>
  <w:style w:type="character" w:customStyle="1" w:styleId="Mencinsinresolver9">
    <w:name w:val="Mención sin resolver9"/>
    <w:uiPriority w:val="99"/>
    <w:rsid w:val="004E5076"/>
    <w:rPr>
      <w:color w:val="808080"/>
      <w:shd w:val="clear" w:color="auto" w:fill="E6E6E6"/>
    </w:rPr>
  </w:style>
  <w:style w:type="paragraph" w:styleId="ndice3">
    <w:name w:val="index 3"/>
    <w:basedOn w:val="Normal0"/>
    <w:next w:val="Normal0"/>
    <w:autoRedefine/>
    <w:uiPriority w:val="99"/>
    <w:rsid w:val="004E5076"/>
    <w:pPr>
      <w:spacing w:after="0" w:line="240" w:lineRule="auto"/>
      <w:ind w:left="720" w:hanging="240"/>
    </w:pPr>
    <w:rPr>
      <w:rFonts w:ascii="Times New Roman" w:eastAsiaTheme="minorEastAsia" w:hAnsi="Times New Roman"/>
      <w:sz w:val="24"/>
      <w:szCs w:val="24"/>
    </w:rPr>
  </w:style>
  <w:style w:type="paragraph" w:styleId="Lista5">
    <w:name w:val="List 5"/>
    <w:basedOn w:val="Normal0"/>
    <w:rsid w:val="004E5076"/>
    <w:pPr>
      <w:ind w:left="1415" w:hanging="283"/>
      <w:contextualSpacing/>
    </w:pPr>
  </w:style>
  <w:style w:type="paragraph" w:styleId="Cierre">
    <w:name w:val="Closing"/>
    <w:basedOn w:val="Normal0"/>
    <w:link w:val="CierreCar"/>
    <w:rsid w:val="004E5076"/>
    <w:pPr>
      <w:spacing w:after="0" w:line="240" w:lineRule="auto"/>
      <w:ind w:left="4252"/>
    </w:pPr>
  </w:style>
  <w:style w:type="character" w:customStyle="1" w:styleId="CierreCar">
    <w:name w:val="Cierre Car"/>
    <w:basedOn w:val="Fuentedeprrafopredeter"/>
    <w:link w:val="Cierre"/>
    <w:rsid w:val="004E5076"/>
    <w:rPr>
      <w:rFonts w:ascii="Calibri" w:eastAsia="Times New Roman" w:hAnsi="Calibri" w:cs="Calibri"/>
      <w:kern w:val="0"/>
      <w:lang w:eastAsia="es-PE"/>
    </w:rPr>
  </w:style>
  <w:style w:type="paragraph" w:styleId="Firma">
    <w:name w:val="Signature"/>
    <w:basedOn w:val="Normal0"/>
    <w:link w:val="FirmaCar"/>
    <w:rsid w:val="004E5076"/>
    <w:pPr>
      <w:spacing w:after="0" w:line="240" w:lineRule="auto"/>
      <w:ind w:left="4252"/>
    </w:pPr>
  </w:style>
  <w:style w:type="character" w:customStyle="1" w:styleId="FirmaCar">
    <w:name w:val="Firma Car"/>
    <w:basedOn w:val="Fuentedeprrafopredeter"/>
    <w:link w:val="Firma"/>
    <w:rsid w:val="004E5076"/>
    <w:rPr>
      <w:rFonts w:ascii="Calibri" w:eastAsia="Times New Roman" w:hAnsi="Calibri" w:cs="Calibri"/>
      <w:kern w:val="0"/>
      <w:lang w:eastAsia="es-PE"/>
    </w:rPr>
  </w:style>
  <w:style w:type="paragraph" w:styleId="Continuarlista4">
    <w:name w:val="List Continue 4"/>
    <w:basedOn w:val="Normal0"/>
    <w:uiPriority w:val="99"/>
    <w:rsid w:val="004E5076"/>
    <w:pPr>
      <w:spacing w:after="120"/>
      <w:ind w:left="1132"/>
      <w:contextualSpacing/>
    </w:pPr>
  </w:style>
  <w:style w:type="paragraph" w:styleId="Encabezadodemensaje">
    <w:name w:val="Message Header"/>
    <w:basedOn w:val="Normal0"/>
    <w:link w:val="EncabezadodemensajeCar"/>
    <w:rsid w:val="004E507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heme="minorEastAsia" w:hAnsi="Cambria"/>
      <w:sz w:val="24"/>
      <w:szCs w:val="24"/>
    </w:rPr>
  </w:style>
  <w:style w:type="character" w:customStyle="1" w:styleId="EncabezadodemensajeCar">
    <w:name w:val="Encabezado de mensaje Car"/>
    <w:basedOn w:val="Fuentedeprrafopredeter"/>
    <w:link w:val="Encabezadodemensaje"/>
    <w:rsid w:val="004E5076"/>
    <w:rPr>
      <w:rFonts w:ascii="Cambria" w:eastAsiaTheme="minorEastAsia" w:hAnsi="Cambria" w:cs="Calibri"/>
      <w:kern w:val="0"/>
      <w:sz w:val="24"/>
      <w:szCs w:val="24"/>
      <w:shd w:val="pct20" w:color="auto" w:fill="auto"/>
      <w:lang w:eastAsia="es-PE"/>
    </w:rPr>
  </w:style>
  <w:style w:type="paragraph" w:customStyle="1" w:styleId="p47">
    <w:name w:val="p47"/>
    <w:basedOn w:val="Normal0"/>
    <w:rsid w:val="004E5076"/>
    <w:pPr>
      <w:spacing w:after="0" w:line="240" w:lineRule="auto"/>
      <w:ind w:left="760"/>
      <w:jc w:val="both"/>
    </w:pPr>
    <w:rPr>
      <w:rFonts w:ascii="Times" w:eastAsiaTheme="minorEastAsia" w:hAnsi="Times"/>
      <w:sz w:val="24"/>
      <w:szCs w:val="20"/>
      <w:lang w:val="es-ES_tradnl"/>
    </w:rPr>
  </w:style>
  <w:style w:type="paragraph" w:customStyle="1" w:styleId="TtuloNivel1">
    <w:name w:val="Título Nivel1"/>
    <w:basedOn w:val="Listaconvietas"/>
    <w:rsid w:val="004E5076"/>
    <w:pPr>
      <w:widowControl/>
      <w:numPr>
        <w:ilvl w:val="1"/>
        <w:numId w:val="20"/>
      </w:numPr>
      <w:shd w:val="solid" w:color="FFFFFF" w:fill="auto"/>
      <w:tabs>
        <w:tab w:val="clear" w:pos="1068"/>
        <w:tab w:val="num" w:pos="360"/>
        <w:tab w:val="num" w:pos="705"/>
      </w:tabs>
      <w:ind w:left="705" w:hanging="705"/>
      <w:jc w:val="both"/>
    </w:pPr>
    <w:rPr>
      <w:rFonts w:ascii="Calisto MT" w:eastAsiaTheme="minorEastAsia" w:hAnsi="Calisto MT"/>
      <w:b/>
      <w:i/>
      <w:sz w:val="28"/>
      <w:lang w:val="es-ES"/>
    </w:rPr>
  </w:style>
  <w:style w:type="paragraph" w:customStyle="1" w:styleId="ind">
    <w:name w:val="ind"/>
    <w:basedOn w:val="Normal0"/>
    <w:rsid w:val="004E5076"/>
    <w:pPr>
      <w:tabs>
        <w:tab w:val="left" w:pos="786"/>
      </w:tabs>
      <w:spacing w:after="0" w:line="240" w:lineRule="auto"/>
      <w:ind w:left="426"/>
    </w:pPr>
    <w:rPr>
      <w:rFonts w:ascii="Times New Roman" w:eastAsiaTheme="minorEastAsia" w:hAnsi="Times New Roman"/>
      <w:sz w:val="24"/>
      <w:szCs w:val="24"/>
      <w:lang w:val="es-AR"/>
    </w:rPr>
  </w:style>
  <w:style w:type="paragraph" w:customStyle="1" w:styleId="Vietasa">
    <w:name w:val="Viñetas a"/>
    <w:basedOn w:val="Normal0"/>
    <w:rsid w:val="004E5076"/>
    <w:pPr>
      <w:numPr>
        <w:numId w:val="21"/>
      </w:numPr>
      <w:spacing w:after="120" w:line="240" w:lineRule="auto"/>
      <w:jc w:val="both"/>
    </w:pPr>
    <w:rPr>
      <w:rFonts w:ascii="Arial" w:eastAsiaTheme="minorEastAsia" w:hAnsi="Arial"/>
      <w:szCs w:val="20"/>
    </w:rPr>
  </w:style>
  <w:style w:type="paragraph" w:customStyle="1" w:styleId="Titulo2">
    <w:name w:val="Titulo 2"/>
    <w:basedOn w:val="Normal0"/>
    <w:rsid w:val="004E5076"/>
    <w:pPr>
      <w:numPr>
        <w:ilvl w:val="1"/>
        <w:numId w:val="22"/>
      </w:numPr>
      <w:spacing w:after="0" w:line="240" w:lineRule="auto"/>
      <w:ind w:left="1440"/>
    </w:pPr>
    <w:rPr>
      <w:rFonts w:ascii="Times New Roman" w:eastAsiaTheme="minorEastAsia" w:hAnsi="Times New Roman"/>
      <w:sz w:val="24"/>
      <w:szCs w:val="24"/>
    </w:rPr>
  </w:style>
  <w:style w:type="paragraph" w:customStyle="1" w:styleId="Tabela">
    <w:name w:val="Tabela"/>
    <w:basedOn w:val="Normal0"/>
    <w:rsid w:val="004E5076"/>
    <w:pPr>
      <w:spacing w:before="60" w:after="60" w:line="240" w:lineRule="auto"/>
      <w:jc w:val="center"/>
    </w:pPr>
    <w:rPr>
      <w:rFonts w:ascii="Arial" w:eastAsiaTheme="minorEastAsia" w:hAnsi="Arial"/>
      <w:szCs w:val="20"/>
    </w:rPr>
  </w:style>
  <w:style w:type="paragraph" w:customStyle="1" w:styleId="Quick1">
    <w:name w:val="Quick 1."/>
    <w:basedOn w:val="Normal0"/>
    <w:rsid w:val="004E5076"/>
    <w:pPr>
      <w:spacing w:after="0" w:line="360" w:lineRule="auto"/>
      <w:ind w:left="720" w:hanging="720"/>
    </w:pPr>
    <w:rPr>
      <w:rFonts w:ascii="Arial" w:eastAsiaTheme="minorEastAsia" w:hAnsi="Arial" w:cs="Arial"/>
      <w:sz w:val="20"/>
      <w:szCs w:val="20"/>
    </w:rPr>
  </w:style>
  <w:style w:type="paragraph" w:customStyle="1" w:styleId="Sangra2detindependiente2">
    <w:name w:val="Sangría 2 de t. independiente2"/>
    <w:basedOn w:val="Normal0"/>
    <w:rsid w:val="004E5076"/>
    <w:pPr>
      <w:spacing w:after="0" w:line="240" w:lineRule="auto"/>
      <w:ind w:left="426"/>
      <w:jc w:val="both"/>
    </w:pPr>
    <w:rPr>
      <w:rFonts w:ascii="Arial" w:eastAsiaTheme="minorEastAsia" w:hAnsi="Arial"/>
      <w:sz w:val="24"/>
      <w:szCs w:val="20"/>
      <w:lang w:val="es-ES_tradnl"/>
    </w:rPr>
  </w:style>
  <w:style w:type="character" w:customStyle="1" w:styleId="ALDNormalCarCar">
    <w:name w:val="ALD Normal Car Car"/>
    <w:rsid w:val="004E5076"/>
    <w:rPr>
      <w:rFonts w:ascii="Century Gothic" w:hAnsi="Century Gothic"/>
      <w:sz w:val="24"/>
      <w:lang w:val="x-none"/>
    </w:rPr>
  </w:style>
  <w:style w:type="paragraph" w:customStyle="1" w:styleId="ALDNormal">
    <w:name w:val="ALD Normal"/>
    <w:basedOn w:val="Normal0"/>
    <w:rsid w:val="004E5076"/>
    <w:pPr>
      <w:spacing w:before="240" w:after="240" w:line="240" w:lineRule="auto"/>
      <w:jc w:val="both"/>
    </w:pPr>
    <w:rPr>
      <w:rFonts w:ascii="Century Gothic" w:eastAsiaTheme="minorEastAsia" w:hAnsi="Century Gothic"/>
      <w:szCs w:val="24"/>
    </w:rPr>
  </w:style>
  <w:style w:type="paragraph" w:customStyle="1" w:styleId="Sangra2detindependiente3">
    <w:name w:val="Sangría 2 de t. independiente3"/>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Sangra2detindependiente4">
    <w:name w:val="Sangría 2 de t. independiente4"/>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Sangra2detindependiente5">
    <w:name w:val="Sangría 2 de t. independiente5"/>
    <w:basedOn w:val="Normal0"/>
    <w:rsid w:val="004E5076"/>
    <w:pPr>
      <w:spacing w:after="0" w:line="240" w:lineRule="auto"/>
      <w:ind w:left="426"/>
      <w:jc w:val="both"/>
    </w:pPr>
    <w:rPr>
      <w:rFonts w:ascii="Arial" w:eastAsiaTheme="minorEastAsia" w:hAnsi="Arial"/>
      <w:sz w:val="24"/>
      <w:szCs w:val="20"/>
      <w:lang w:val="es-ES_tradnl"/>
    </w:rPr>
  </w:style>
  <w:style w:type="paragraph" w:customStyle="1" w:styleId="Firmapuesto">
    <w:name w:val="Firma puesto"/>
    <w:basedOn w:val="Firma"/>
    <w:rsid w:val="004E5076"/>
  </w:style>
  <w:style w:type="paragraph" w:customStyle="1" w:styleId="Firmaorganizacin">
    <w:name w:val="Firma organización"/>
    <w:basedOn w:val="Firma"/>
    <w:rsid w:val="004E5076"/>
  </w:style>
  <w:style w:type="paragraph" w:customStyle="1" w:styleId="TtuloNivel2">
    <w:name w:val="Título Nivel2"/>
    <w:basedOn w:val="TtuloNivel1"/>
    <w:rsid w:val="004E5076"/>
    <w:pPr>
      <w:numPr>
        <w:ilvl w:val="2"/>
      </w:numPr>
      <w:tabs>
        <w:tab w:val="num" w:pos="0"/>
        <w:tab w:val="num" w:pos="576"/>
        <w:tab w:val="num" w:pos="720"/>
      </w:tabs>
    </w:pPr>
    <w:rPr>
      <w:i w:val="0"/>
      <w:sz w:val="24"/>
    </w:rPr>
  </w:style>
  <w:style w:type="paragraph" w:customStyle="1" w:styleId="TtuloNivel3">
    <w:name w:val="Título Nivel3"/>
    <w:basedOn w:val="TtuloNivel2"/>
    <w:rsid w:val="004E5076"/>
    <w:pPr>
      <w:numPr>
        <w:ilvl w:val="3"/>
      </w:numPr>
      <w:tabs>
        <w:tab w:val="num" w:pos="0"/>
        <w:tab w:val="num" w:pos="576"/>
      </w:tabs>
      <w:ind w:left="3228"/>
    </w:pPr>
    <w:rPr>
      <w:rFonts w:ascii="Arial" w:hAnsi="Arial"/>
    </w:rPr>
  </w:style>
  <w:style w:type="paragraph" w:customStyle="1" w:styleId="Cuadrculamediana21">
    <w:name w:val="Cuadrícula mediana 21"/>
    <w:uiPriority w:val="1"/>
    <w:qFormat/>
    <w:rsid w:val="004E5076"/>
    <w:pPr>
      <w:autoSpaceDE w:val="0"/>
      <w:autoSpaceDN w:val="0"/>
      <w:adjustRightInd w:val="0"/>
      <w:spacing w:after="200" w:line="276" w:lineRule="auto"/>
    </w:pPr>
    <w:rPr>
      <w:rFonts w:ascii="Calibri" w:eastAsia="Calibri" w:hAnsi="Calibri" w:cs="Calibri"/>
    </w:rPr>
  </w:style>
  <w:style w:type="character" w:customStyle="1" w:styleId="MediumGrid2Char">
    <w:name w:val="Medium Grid 2 Char"/>
    <w:uiPriority w:val="1"/>
    <w:rsid w:val="004E5076"/>
    <w:rPr>
      <w:rFonts w:eastAsia="Times New Roman"/>
      <w:lang w:val="es-ES"/>
    </w:rPr>
  </w:style>
  <w:style w:type="paragraph" w:customStyle="1" w:styleId="Literal1">
    <w:name w:val="Literal1"/>
    <w:basedOn w:val="Normal0"/>
    <w:qFormat/>
    <w:rsid w:val="004E5076"/>
    <w:pPr>
      <w:numPr>
        <w:numId w:val="23"/>
      </w:numPr>
      <w:tabs>
        <w:tab w:val="num" w:pos="1800"/>
      </w:tabs>
      <w:spacing w:before="120" w:after="120" w:line="240" w:lineRule="auto"/>
      <w:ind w:left="1800"/>
      <w:jc w:val="both"/>
    </w:pPr>
    <w:rPr>
      <w:rFonts w:eastAsiaTheme="minorEastAsia" w:cs="Arial"/>
      <w:sz w:val="21"/>
      <w:szCs w:val="21"/>
    </w:rPr>
  </w:style>
  <w:style w:type="character" w:customStyle="1" w:styleId="Literal1Car">
    <w:name w:val="Literal1 Car"/>
    <w:rsid w:val="004E5076"/>
    <w:rPr>
      <w:rFonts w:eastAsia="Times New Roman"/>
      <w:sz w:val="21"/>
      <w:lang w:val="x-none"/>
    </w:rPr>
  </w:style>
  <w:style w:type="paragraph" w:customStyle="1" w:styleId="Prrafo1">
    <w:name w:val="Párrafo 1"/>
    <w:basedOn w:val="Normal0"/>
    <w:qFormat/>
    <w:rsid w:val="004E5076"/>
    <w:pPr>
      <w:spacing w:before="120" w:after="120" w:line="240" w:lineRule="auto"/>
      <w:ind w:left="567"/>
      <w:jc w:val="both"/>
    </w:pPr>
    <w:rPr>
      <w:rFonts w:eastAsiaTheme="minorEastAsia" w:cs="Arial"/>
      <w:sz w:val="21"/>
      <w:szCs w:val="21"/>
    </w:rPr>
  </w:style>
  <w:style w:type="character" w:customStyle="1" w:styleId="Prrafo1Car">
    <w:name w:val="Párrafo 1 Car"/>
    <w:rsid w:val="004E5076"/>
    <w:rPr>
      <w:rFonts w:ascii="Calibri" w:hAnsi="Calibri"/>
      <w:sz w:val="21"/>
      <w:lang w:val="es-PE"/>
    </w:rPr>
  </w:style>
  <w:style w:type="paragraph" w:customStyle="1" w:styleId="PrrafoTtulo1">
    <w:name w:val="Párrafo Título1"/>
    <w:basedOn w:val="Normal0"/>
    <w:rsid w:val="004E5076"/>
    <w:pPr>
      <w:spacing w:before="60" w:after="60" w:line="240" w:lineRule="auto"/>
      <w:ind w:left="1134"/>
      <w:jc w:val="both"/>
    </w:pPr>
    <w:rPr>
      <w:rFonts w:ascii="Times New Roman" w:eastAsiaTheme="minorEastAsia" w:hAnsi="Times New Roman"/>
    </w:rPr>
  </w:style>
  <w:style w:type="table" w:styleId="Listavistosa-nfasis1">
    <w:name w:val="Colorful List Accent 1"/>
    <w:aliases w:val="Body,Bullet Styles para,First Level Outline,List Paragraph 1,List Paragraph_0,Number Bullets,Primus H 3,YC Bulet,lp1"/>
    <w:basedOn w:val="Tablanormal"/>
    <w:uiPriority w:val="99"/>
    <w:unhideWhenUsed/>
    <w:rsid w:val="004E5076"/>
    <w:rPr>
      <w:rFonts w:ascii="Calibri" w:eastAsia="Calibri" w:hAnsi="Calibri" w:cs="Calibri"/>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paragraph" w:customStyle="1" w:styleId="listamulticolor-nfasis11">
    <w:name w:val="listamulticolor-nfasis11"/>
    <w:basedOn w:val="Normal0"/>
    <w:rsid w:val="004E5076"/>
    <w:pPr>
      <w:spacing w:after="0" w:line="240" w:lineRule="auto"/>
      <w:ind w:left="720"/>
      <w:jc w:val="both"/>
    </w:pPr>
    <w:rPr>
      <w:rFonts w:eastAsiaTheme="minorEastAsia" w:cs="Arial"/>
      <w:lang w:val="en-US"/>
    </w:rPr>
  </w:style>
  <w:style w:type="table" w:styleId="Tablaprofesional">
    <w:name w:val="Table Professional"/>
    <w:basedOn w:val="Tablanormal"/>
    <w:unhideWhenUsed/>
    <w:rsid w:val="004E5076"/>
    <w:pPr>
      <w:autoSpaceDE w:val="0"/>
      <w:autoSpaceDN w:val="0"/>
      <w:adjustRightInd w:val="0"/>
      <w:spacing w:after="200" w:line="276" w:lineRule="auto"/>
    </w:pPr>
    <w:rPr>
      <w:rFonts w:ascii="Calibri" w:eastAsia="Calibri" w:hAnsi="Calibri"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xgmail-msolistparagraph">
    <w:name w:val="x_gmail-msolistparagraph"/>
    <w:basedOn w:val="Normal0"/>
    <w:rsid w:val="004E5076"/>
    <w:pPr>
      <w:spacing w:before="100" w:beforeAutospacing="1" w:after="100" w:afterAutospacing="1" w:line="240" w:lineRule="auto"/>
    </w:pPr>
    <w:rPr>
      <w:rFonts w:ascii="Times New Roman" w:eastAsiaTheme="minorEastAsia" w:hAnsi="Times New Roman"/>
      <w:sz w:val="24"/>
      <w:szCs w:val="24"/>
    </w:rPr>
  </w:style>
  <w:style w:type="paragraph" w:customStyle="1" w:styleId="xmsonormal">
    <w:name w:val="x_msonormal"/>
    <w:basedOn w:val="Normal0"/>
    <w:rsid w:val="004E5076"/>
    <w:pPr>
      <w:spacing w:before="100" w:beforeAutospacing="1" w:after="100" w:afterAutospacing="1" w:line="240" w:lineRule="auto"/>
    </w:pPr>
    <w:rPr>
      <w:rFonts w:ascii="Times New Roman" w:eastAsiaTheme="minorEastAsia" w:hAnsi="Times New Roman"/>
      <w:sz w:val="24"/>
      <w:szCs w:val="24"/>
    </w:rPr>
  </w:style>
  <w:style w:type="character" w:customStyle="1" w:styleId="Mencinsinresolver10">
    <w:name w:val="Mención sin resolver10"/>
    <w:basedOn w:val="Fuentedeprrafopredeter"/>
    <w:uiPriority w:val="99"/>
    <w:rsid w:val="004E5076"/>
    <w:rPr>
      <w:rFonts w:cs="Times New Roman"/>
      <w:color w:val="605E5C"/>
      <w:shd w:val="clear" w:color="auto" w:fill="E1DFDD"/>
    </w:rPr>
  </w:style>
  <w:style w:type="paragraph" w:customStyle="1" w:styleId="Subtitle0">
    <w:name w:val="Subtitle0"/>
    <w:basedOn w:val="Normal0"/>
    <w:next w:val="Normal0"/>
    <w:rsid w:val="004E5076"/>
    <w:pPr>
      <w:spacing w:after="0" w:line="240" w:lineRule="auto"/>
      <w:jc w:val="both"/>
    </w:pPr>
    <w:rPr>
      <w:rFonts w:ascii="Arial" w:hAnsi="Arial" w:cs="Arial"/>
      <w:b/>
    </w:rPr>
  </w:style>
  <w:style w:type="character" w:customStyle="1" w:styleId="PuestoCar">
    <w:name w:val="Puesto Car"/>
    <w:aliases w:val="Puesto1 Car,SubTítulo Car"/>
    <w:uiPriority w:val="10"/>
    <w:rsid w:val="004E5076"/>
    <w:rPr>
      <w:rFonts w:ascii="Arial" w:hAnsi="Arial"/>
      <w:b/>
      <w:lang w:val="es-ES_tradnl"/>
    </w:rPr>
  </w:style>
  <w:style w:type="paragraph" w:customStyle="1" w:styleId="Ttulo20">
    <w:name w:val="Título2"/>
    <w:aliases w:val="Title,Puesto1,SubTítulo,Title_0"/>
    <w:basedOn w:val="Normal"/>
    <w:uiPriority w:val="10"/>
    <w:qFormat/>
    <w:rsid w:val="004E5076"/>
    <w:pPr>
      <w:widowControl/>
      <w:autoSpaceDE w:val="0"/>
      <w:autoSpaceDN w:val="0"/>
      <w:adjustRightInd w:val="0"/>
      <w:jc w:val="center"/>
    </w:pPr>
    <w:rPr>
      <w:rFonts w:eastAsiaTheme="minorEastAsia"/>
      <w:b/>
      <w:lang w:val="es-ES_tradnl"/>
    </w:rPr>
  </w:style>
  <w:style w:type="character" w:customStyle="1" w:styleId="il">
    <w:name w:val="il"/>
    <w:rsid w:val="004E5076"/>
  </w:style>
  <w:style w:type="character" w:customStyle="1" w:styleId="style-scope">
    <w:name w:val="style-scope"/>
    <w:rsid w:val="004E5076"/>
  </w:style>
  <w:style w:type="paragraph" w:customStyle="1" w:styleId="TextoNormal">
    <w:name w:val="Texto Normal"/>
    <w:basedOn w:val="Ttulo4"/>
    <w:autoRedefine/>
    <w:uiPriority w:val="99"/>
    <w:rsid w:val="004E5076"/>
    <w:pPr>
      <w:keepNext w:val="0"/>
      <w:keepLines w:val="0"/>
      <w:autoSpaceDE w:val="0"/>
      <w:autoSpaceDN w:val="0"/>
      <w:adjustRightInd w:val="0"/>
      <w:spacing w:before="0" w:after="0" w:line="276" w:lineRule="auto"/>
      <w:ind w:left="426"/>
      <w:jc w:val="both"/>
      <w:outlineLvl w:val="9"/>
    </w:pPr>
    <w:rPr>
      <w:rFonts w:eastAsiaTheme="minorEastAsia" w:cs="Times New Roman"/>
      <w:i w:val="0"/>
      <w:iCs w:val="0"/>
      <w:noProof/>
      <w:color w:val="auto"/>
      <w:szCs w:val="24"/>
    </w:rPr>
  </w:style>
  <w:style w:type="character" w:customStyle="1" w:styleId="TextoNormalCar">
    <w:name w:val="Texto Normal Car"/>
    <w:uiPriority w:val="99"/>
    <w:rsid w:val="004E5076"/>
    <w:rPr>
      <w:rFonts w:ascii="Arial" w:hAnsi="Arial"/>
      <w:noProof/>
      <w:sz w:val="24"/>
    </w:rPr>
  </w:style>
  <w:style w:type="character" w:customStyle="1" w:styleId="a0">
    <w:name w:val="a"/>
    <w:rsid w:val="004E5076"/>
  </w:style>
  <w:style w:type="character" w:customStyle="1" w:styleId="Mencinsinresolver12">
    <w:name w:val="Mención sin resolver12"/>
    <w:basedOn w:val="Fuentedeprrafopredeter"/>
    <w:uiPriority w:val="99"/>
    <w:rsid w:val="004E5076"/>
    <w:rPr>
      <w:rFonts w:cs="Times New Roman"/>
      <w:color w:val="605E5C"/>
      <w:shd w:val="clear" w:color="auto" w:fill="E1DFDD"/>
    </w:rPr>
  </w:style>
  <w:style w:type="paragraph" w:customStyle="1" w:styleId="Anexo1">
    <w:name w:val="Anexo 1"/>
    <w:basedOn w:val="Normal"/>
    <w:next w:val="Pargrafo"/>
    <w:rsid w:val="004E5076"/>
    <w:pPr>
      <w:widowControl/>
      <w:numPr>
        <w:numId w:val="24"/>
      </w:numPr>
      <w:tabs>
        <w:tab w:val="num" w:pos="360"/>
      </w:tabs>
      <w:autoSpaceDE w:val="0"/>
      <w:autoSpaceDN w:val="0"/>
      <w:adjustRightInd w:val="0"/>
      <w:spacing w:before="9600" w:line="360" w:lineRule="exact"/>
      <w:jc w:val="right"/>
    </w:pPr>
    <w:rPr>
      <w:rFonts w:ascii="Trebuchet MS" w:eastAsiaTheme="minorEastAsia" w:hAnsi="Trebuchet MS" w:cs="Times New Roman"/>
      <w:b/>
      <w:caps/>
      <w:sz w:val="21"/>
      <w:szCs w:val="24"/>
    </w:rPr>
  </w:style>
  <w:style w:type="paragraph" w:customStyle="1" w:styleId="Pargrafo">
    <w:name w:val="Parágrafo"/>
    <w:basedOn w:val="Normal"/>
    <w:rsid w:val="004E5076"/>
    <w:pPr>
      <w:widowControl/>
      <w:autoSpaceDE w:val="0"/>
      <w:autoSpaceDN w:val="0"/>
      <w:adjustRightInd w:val="0"/>
      <w:spacing w:before="40" w:after="240" w:line="360" w:lineRule="exact"/>
      <w:jc w:val="both"/>
    </w:pPr>
    <w:rPr>
      <w:rFonts w:ascii="Humanst521 BT" w:eastAsiaTheme="minorEastAsia" w:hAnsi="Humanst521 BT" w:cs="Times New Roman"/>
      <w:sz w:val="21"/>
      <w:szCs w:val="21"/>
    </w:rPr>
  </w:style>
  <w:style w:type="paragraph" w:customStyle="1" w:styleId="ANEXOS">
    <w:name w:val="ANEXOS"/>
    <w:basedOn w:val="Normal"/>
    <w:next w:val="Normal"/>
    <w:rsid w:val="004E5076"/>
    <w:pPr>
      <w:widowControl/>
      <w:tabs>
        <w:tab w:val="num" w:pos="720"/>
      </w:tabs>
      <w:autoSpaceDE w:val="0"/>
      <w:autoSpaceDN w:val="0"/>
      <w:adjustRightInd w:val="0"/>
      <w:spacing w:before="10800" w:after="240" w:line="360" w:lineRule="exact"/>
      <w:ind w:left="720" w:hanging="720"/>
      <w:jc w:val="right"/>
    </w:pPr>
    <w:rPr>
      <w:rFonts w:ascii="Trebuchet MS" w:eastAsiaTheme="minorEastAsia" w:hAnsi="Trebuchet MS" w:cs="Times New Roman"/>
      <w:b/>
      <w:caps/>
      <w:sz w:val="21"/>
      <w:szCs w:val="24"/>
    </w:rPr>
  </w:style>
  <w:style w:type="paragraph" w:customStyle="1" w:styleId="ANNEX">
    <w:name w:val="ANNEX"/>
    <w:basedOn w:val="ANEXOS"/>
    <w:next w:val="Normal"/>
    <w:rsid w:val="004E5076"/>
    <w:rPr>
      <w:lang w:val="en-US"/>
    </w:rPr>
  </w:style>
  <w:style w:type="paragraph" w:customStyle="1" w:styleId="Annex1">
    <w:name w:val="Annex 1"/>
    <w:basedOn w:val="Anexo1"/>
    <w:rsid w:val="004E5076"/>
    <w:pPr>
      <w:numPr>
        <w:numId w:val="0"/>
      </w:numPr>
      <w:tabs>
        <w:tab w:val="num" w:pos="720"/>
      </w:tabs>
      <w:ind w:left="720" w:hanging="720"/>
    </w:pPr>
    <w:rPr>
      <w:lang w:val="en-US"/>
    </w:rPr>
  </w:style>
  <w:style w:type="paragraph" w:customStyle="1" w:styleId="APNDICE">
    <w:name w:val="APÊNDICE"/>
    <w:basedOn w:val="ANEXOS"/>
    <w:rsid w:val="004E5076"/>
  </w:style>
  <w:style w:type="paragraph" w:customStyle="1" w:styleId="Apndice1">
    <w:name w:val="Apêndice 1"/>
    <w:basedOn w:val="Anexo1"/>
    <w:rsid w:val="004E5076"/>
    <w:pPr>
      <w:numPr>
        <w:numId w:val="0"/>
      </w:numPr>
      <w:tabs>
        <w:tab w:val="num" w:pos="720"/>
      </w:tabs>
      <w:ind w:left="340" w:hanging="340"/>
    </w:pPr>
  </w:style>
  <w:style w:type="paragraph" w:customStyle="1" w:styleId="APNDICES">
    <w:name w:val="APÊNDICES"/>
    <w:basedOn w:val="Normal"/>
    <w:rsid w:val="004E5076"/>
    <w:pPr>
      <w:widowControl/>
      <w:tabs>
        <w:tab w:val="num" w:pos="720"/>
      </w:tabs>
      <w:autoSpaceDE w:val="0"/>
      <w:autoSpaceDN w:val="0"/>
      <w:adjustRightInd w:val="0"/>
      <w:spacing w:before="10800" w:after="240"/>
      <w:ind w:left="720" w:hanging="720"/>
      <w:jc w:val="right"/>
    </w:pPr>
    <w:rPr>
      <w:rFonts w:ascii="Trebuchet MS" w:eastAsiaTheme="minorEastAsia" w:hAnsi="Trebuchet MS" w:cs="Times New Roman"/>
      <w:caps/>
      <w:sz w:val="21"/>
      <w:szCs w:val="21"/>
    </w:rPr>
  </w:style>
  <w:style w:type="paragraph" w:customStyle="1" w:styleId="bibliografia">
    <w:name w:val="bibliografia"/>
    <w:basedOn w:val="Normal"/>
    <w:rsid w:val="004E5076"/>
    <w:pPr>
      <w:widowControl/>
      <w:autoSpaceDE w:val="0"/>
      <w:autoSpaceDN w:val="0"/>
      <w:adjustRightInd w:val="0"/>
      <w:spacing w:before="240" w:after="240"/>
      <w:ind w:left="709"/>
      <w:jc w:val="both"/>
    </w:pPr>
    <w:rPr>
      <w:rFonts w:ascii="Times New Roman" w:eastAsiaTheme="minorEastAsia" w:hAnsi="Times New Roman" w:cs="Times New Roman"/>
      <w:sz w:val="21"/>
      <w:szCs w:val="24"/>
    </w:rPr>
  </w:style>
  <w:style w:type="paragraph" w:customStyle="1" w:styleId="CAPTULO">
    <w:name w:val="CAPÍTULO"/>
    <w:basedOn w:val="Normal"/>
    <w:next w:val="Normal"/>
    <w:rsid w:val="004E5076"/>
    <w:pPr>
      <w:widowControl/>
      <w:tabs>
        <w:tab w:val="num" w:pos="720"/>
      </w:tabs>
      <w:autoSpaceDE w:val="0"/>
      <w:autoSpaceDN w:val="0"/>
      <w:adjustRightInd w:val="0"/>
      <w:spacing w:before="240" w:after="240" w:line="360" w:lineRule="exact"/>
      <w:ind w:left="720" w:hanging="720"/>
      <w:jc w:val="both"/>
    </w:pPr>
    <w:rPr>
      <w:rFonts w:ascii="Trebuchet MS" w:eastAsiaTheme="minorEastAsia" w:hAnsi="Trebuchet MS" w:cs="Times New Roman"/>
      <w:b/>
      <w:caps/>
      <w:sz w:val="32"/>
      <w:szCs w:val="21"/>
    </w:rPr>
  </w:style>
  <w:style w:type="paragraph" w:customStyle="1" w:styleId="Empreendimento">
    <w:name w:val="Empreendimento"/>
    <w:basedOn w:val="Normal"/>
    <w:rsid w:val="004E5076"/>
    <w:pPr>
      <w:widowControl/>
      <w:autoSpaceDE w:val="0"/>
      <w:autoSpaceDN w:val="0"/>
      <w:adjustRightInd w:val="0"/>
      <w:spacing w:before="40" w:line="360" w:lineRule="exact"/>
      <w:jc w:val="center"/>
    </w:pPr>
    <w:rPr>
      <w:rFonts w:ascii="Trebuchet MS" w:eastAsiaTheme="minorEastAsia" w:hAnsi="Trebuchet MS" w:cs="Times New Roman"/>
      <w:b/>
      <w:sz w:val="18"/>
      <w:szCs w:val="21"/>
    </w:rPr>
  </w:style>
  <w:style w:type="paragraph" w:customStyle="1" w:styleId="Estiloesquerda05cm">
    <w:name w:val="Estilo À esquerda:  05 cm"/>
    <w:basedOn w:val="Normal"/>
    <w:rsid w:val="004E5076"/>
    <w:pPr>
      <w:widowControl/>
      <w:autoSpaceDE w:val="0"/>
      <w:autoSpaceDN w:val="0"/>
      <w:adjustRightInd w:val="0"/>
      <w:spacing w:before="40" w:after="240" w:line="360" w:lineRule="exact"/>
      <w:ind w:left="284"/>
      <w:jc w:val="both"/>
    </w:pPr>
    <w:rPr>
      <w:rFonts w:ascii="Trebuchet MS" w:eastAsiaTheme="minorEastAsia" w:hAnsi="Trebuchet MS" w:cs="Times New Roman"/>
      <w:sz w:val="21"/>
      <w:szCs w:val="20"/>
    </w:rPr>
  </w:style>
  <w:style w:type="character" w:customStyle="1" w:styleId="Estiloesquerda05cmChar">
    <w:name w:val="Estilo À esquerda:  05 cm Char"/>
    <w:rsid w:val="004E5076"/>
    <w:rPr>
      <w:rFonts w:ascii="Trebuchet MS" w:hAnsi="Trebuchet MS"/>
      <w:sz w:val="20"/>
      <w:lang w:val="es-ES"/>
    </w:rPr>
  </w:style>
  <w:style w:type="paragraph" w:customStyle="1" w:styleId="EstiloAnaltico4esquerda05cmDeslocamento15cm">
    <w:name w:val="Estilo Analítico 4 + À esquerda:  05 cm Deslocamento:  15 cm"/>
    <w:basedOn w:val="TDC4"/>
    <w:rsid w:val="004E5076"/>
    <w:pPr>
      <w:tabs>
        <w:tab w:val="left" w:pos="2552"/>
        <w:tab w:val="left" w:pos="8494"/>
        <w:tab w:val="left" w:leader="dot" w:pos="8789"/>
      </w:tabs>
      <w:spacing w:before="80" w:after="80" w:line="360" w:lineRule="exact"/>
      <w:ind w:left="1135" w:right="1418" w:hanging="851"/>
    </w:pPr>
    <w:rPr>
      <w:rFonts w:ascii="Trebuchet MS" w:eastAsiaTheme="minorEastAsia" w:hAnsi="Trebuchet MS" w:cs="Times New Roman"/>
      <w:noProof/>
      <w:sz w:val="18"/>
    </w:rPr>
  </w:style>
  <w:style w:type="paragraph" w:customStyle="1" w:styleId="EstiloAnaltico5esquerda2cmDeslocamento1cm">
    <w:name w:val="Estilo Analítico 5 + À esquerda:  2 cm Deslocamento:  1 cm"/>
    <w:basedOn w:val="TDC5"/>
    <w:autoRedefine/>
    <w:rsid w:val="004E5076"/>
    <w:pPr>
      <w:tabs>
        <w:tab w:val="left" w:pos="3119"/>
        <w:tab w:val="left" w:leader="dot" w:pos="8222"/>
        <w:tab w:val="left" w:pos="8494"/>
      </w:tabs>
      <w:spacing w:before="80" w:after="80" w:line="360" w:lineRule="exact"/>
      <w:ind w:left="3119" w:right="1304" w:hanging="851"/>
    </w:pPr>
    <w:rPr>
      <w:rFonts w:ascii="Trebuchet MS" w:eastAsiaTheme="minorEastAsia" w:hAnsi="Trebuchet MS" w:cs="Times New Roman"/>
      <w:noProof/>
      <w:sz w:val="18"/>
      <w:szCs w:val="18"/>
    </w:rPr>
  </w:style>
  <w:style w:type="paragraph" w:customStyle="1" w:styleId="EstiloMarcador-Ttulo7NoNegrito">
    <w:name w:val="Estilo Marcador-Título 7 + Não Negrito"/>
    <w:basedOn w:val="Normal"/>
    <w:rsid w:val="004E5076"/>
    <w:pPr>
      <w:keepNext/>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1"/>
    </w:rPr>
  </w:style>
  <w:style w:type="paragraph" w:customStyle="1" w:styleId="EstiloEstiloMarcador-Ttulo7NoNegrito">
    <w:name w:val="Estilo Estilo Marcador-Título 7 + Não Negrito +"/>
    <w:basedOn w:val="EstiloMarcador-Ttulo7NoNegrito"/>
    <w:rsid w:val="004E5076"/>
  </w:style>
  <w:style w:type="paragraph" w:customStyle="1" w:styleId="EstiloEstiloEstiloMarcador-Ttulo7NoNegrito">
    <w:name w:val="Estilo Estilo Estilo Marcador-Título 7 + Não Negrito + +"/>
    <w:basedOn w:val="EstiloEstiloMarcador-Ttulo7NoNegrito"/>
    <w:rsid w:val="004E5076"/>
  </w:style>
  <w:style w:type="paragraph" w:customStyle="1" w:styleId="EstiloEstiloEstiloEstiloMarcador-Ttulo7NoNegrito">
    <w:name w:val="Estilo Estilo Estilo Estilo Marcador-Título 7 + Não Negrito + + +"/>
    <w:basedOn w:val="EstiloEstiloEstiloMarcador-Ttulo7NoNegrito"/>
    <w:rsid w:val="004E5076"/>
  </w:style>
  <w:style w:type="paragraph" w:customStyle="1" w:styleId="Marcador2">
    <w:name w:val="Marcador 2"/>
    <w:basedOn w:val="Normal"/>
    <w:next w:val="Normal"/>
    <w:rsid w:val="004E5076"/>
    <w:pPr>
      <w:widowControl/>
      <w:tabs>
        <w:tab w:val="num" w:pos="720"/>
        <w:tab w:val="right" w:leader="dot" w:pos="9214"/>
      </w:tabs>
      <w:autoSpaceDE w:val="0"/>
      <w:autoSpaceDN w:val="0"/>
      <w:adjustRightInd w:val="0"/>
      <w:spacing w:before="40" w:after="240" w:line="360" w:lineRule="exact"/>
      <w:ind w:left="720" w:hanging="720"/>
      <w:jc w:val="both"/>
    </w:pPr>
    <w:rPr>
      <w:rFonts w:ascii="Trebuchet MS" w:eastAsiaTheme="minorEastAsia" w:hAnsi="Trebuchet MS" w:cs="Times New Roman"/>
      <w:sz w:val="21"/>
      <w:szCs w:val="21"/>
    </w:rPr>
  </w:style>
  <w:style w:type="character" w:customStyle="1" w:styleId="Marcador2Char">
    <w:name w:val="Marcador 2 Char"/>
    <w:rsid w:val="004E5076"/>
    <w:rPr>
      <w:rFonts w:ascii="Trebuchet MS" w:hAnsi="Trebuchet MS"/>
      <w:sz w:val="21"/>
      <w:lang w:val="es-ES"/>
    </w:rPr>
  </w:style>
  <w:style w:type="paragraph" w:customStyle="1" w:styleId="EstiloMarcador2Negrito">
    <w:name w:val="Estilo Marcador 2 + Negrito"/>
    <w:basedOn w:val="Marcador2"/>
    <w:rsid w:val="004E5076"/>
    <w:pPr>
      <w:tabs>
        <w:tab w:val="clear" w:pos="720"/>
      </w:tabs>
      <w:ind w:left="0" w:firstLine="0"/>
    </w:pPr>
    <w:rPr>
      <w:b/>
    </w:rPr>
  </w:style>
  <w:style w:type="character" w:customStyle="1" w:styleId="EstiloMarcador2NegritoChar">
    <w:name w:val="Estilo Marcador 2 + Negrito Char"/>
    <w:rsid w:val="004E5076"/>
    <w:rPr>
      <w:rFonts w:ascii="Trebuchet MS" w:hAnsi="Trebuchet MS"/>
      <w:b/>
      <w:sz w:val="21"/>
      <w:lang w:val="es-ES"/>
    </w:rPr>
  </w:style>
  <w:style w:type="paragraph" w:customStyle="1" w:styleId="EstiloEstiloMarcador2NegritoNoNegrito">
    <w:name w:val="Estilo Estilo Marcador 2 + Negrito + Não Negrito"/>
    <w:basedOn w:val="EstiloMarcador2Negrito"/>
    <w:rsid w:val="004E5076"/>
    <w:rPr>
      <w:b w:val="0"/>
    </w:rPr>
  </w:style>
  <w:style w:type="character" w:customStyle="1" w:styleId="EstiloEstiloMarcador2NegritoNoNegritoChar">
    <w:name w:val="Estilo Estilo Marcador 2 + Negrito + Não Negrito Char"/>
    <w:rsid w:val="004E5076"/>
    <w:rPr>
      <w:rFonts w:ascii="Trebuchet MS" w:hAnsi="Trebuchet MS"/>
      <w:sz w:val="21"/>
      <w:lang w:val="es-ES"/>
    </w:rPr>
  </w:style>
  <w:style w:type="paragraph" w:customStyle="1" w:styleId="EstiloItlicoesquerdaDepoisde6pt">
    <w:name w:val="Estilo Itálico À esquerda Depois de:  6 pt"/>
    <w:basedOn w:val="Normal"/>
    <w:autoRedefine/>
    <w:rsid w:val="004E5076"/>
    <w:pPr>
      <w:widowControl/>
      <w:autoSpaceDE w:val="0"/>
      <w:autoSpaceDN w:val="0"/>
      <w:adjustRightInd w:val="0"/>
      <w:spacing w:before="40" w:after="120" w:line="360" w:lineRule="exact"/>
    </w:pPr>
    <w:rPr>
      <w:rFonts w:ascii="Trebuchet MS" w:eastAsiaTheme="minorEastAsia" w:hAnsi="Trebuchet MS" w:cs="Times New Roman"/>
      <w:i/>
      <w:sz w:val="21"/>
      <w:szCs w:val="20"/>
    </w:rPr>
  </w:style>
  <w:style w:type="paragraph" w:customStyle="1" w:styleId="EstiloItlicoesquerdaDepoisde6pt1">
    <w:name w:val="Estilo Itálico À esquerda Depois de:  6 pt1"/>
    <w:basedOn w:val="Normal"/>
    <w:rsid w:val="004E5076"/>
    <w:pPr>
      <w:widowControl/>
      <w:autoSpaceDE w:val="0"/>
      <w:autoSpaceDN w:val="0"/>
      <w:adjustRightInd w:val="0"/>
      <w:spacing w:before="40" w:after="120" w:line="360" w:lineRule="exact"/>
    </w:pPr>
    <w:rPr>
      <w:rFonts w:ascii="Trebuchet MS" w:eastAsiaTheme="minorEastAsia" w:hAnsi="Trebuchet MS" w:cs="Times New Roman"/>
      <w:i/>
      <w:sz w:val="21"/>
      <w:szCs w:val="20"/>
    </w:rPr>
  </w:style>
  <w:style w:type="paragraph" w:customStyle="1" w:styleId="Marcador1">
    <w:name w:val="Marcador 1"/>
    <w:basedOn w:val="Normal"/>
    <w:next w:val="Normal"/>
    <w:rsid w:val="004E5076"/>
    <w:pPr>
      <w:widowControl/>
      <w:tabs>
        <w:tab w:val="num" w:pos="720"/>
        <w:tab w:val="right" w:leader="dot" w:pos="9214"/>
      </w:tabs>
      <w:autoSpaceDE w:val="0"/>
      <w:autoSpaceDN w:val="0"/>
      <w:adjustRightInd w:val="0"/>
      <w:spacing w:after="120" w:line="360" w:lineRule="exact"/>
      <w:ind w:left="720" w:hanging="720"/>
      <w:jc w:val="both"/>
    </w:pPr>
    <w:rPr>
      <w:rFonts w:ascii="Trebuchet MS" w:eastAsiaTheme="minorEastAsia" w:hAnsi="Trebuchet MS" w:cs="Times New Roman"/>
      <w:sz w:val="21"/>
      <w:szCs w:val="21"/>
    </w:rPr>
  </w:style>
  <w:style w:type="paragraph" w:customStyle="1" w:styleId="EstiloMarcador1Negrito">
    <w:name w:val="Estilo Marcador 1 + Negrito"/>
    <w:basedOn w:val="Marcador1"/>
    <w:rsid w:val="004E5076"/>
    <w:pPr>
      <w:tabs>
        <w:tab w:val="clear" w:pos="720"/>
      </w:tabs>
      <w:ind w:left="0" w:firstLine="0"/>
    </w:pPr>
    <w:rPr>
      <w:b/>
    </w:rPr>
  </w:style>
  <w:style w:type="paragraph" w:customStyle="1" w:styleId="EstiloMarcador1Negrito1">
    <w:name w:val="Estilo Marcador 1 + Negrito1"/>
    <w:basedOn w:val="Marcador1"/>
    <w:rsid w:val="004E5076"/>
    <w:pPr>
      <w:tabs>
        <w:tab w:val="clear" w:pos="720"/>
      </w:tabs>
      <w:ind w:left="0" w:firstLine="0"/>
    </w:pPr>
    <w:rPr>
      <w:b/>
    </w:rPr>
  </w:style>
  <w:style w:type="paragraph" w:customStyle="1" w:styleId="Marcador1P">
    <w:name w:val="Marcador 1P"/>
    <w:basedOn w:val="Estiloesquerda05cm"/>
    <w:next w:val="Normal"/>
    <w:rsid w:val="004E5076"/>
    <w:pPr>
      <w:tabs>
        <w:tab w:val="right" w:leader="dot" w:pos="9214"/>
      </w:tabs>
    </w:pPr>
    <w:rPr>
      <w:szCs w:val="21"/>
    </w:rPr>
  </w:style>
  <w:style w:type="character" w:customStyle="1" w:styleId="Marcador1PChar">
    <w:name w:val="Marcador 1P Char"/>
    <w:rsid w:val="004E5076"/>
    <w:rPr>
      <w:rFonts w:ascii="Trebuchet MS" w:hAnsi="Trebuchet MS"/>
      <w:sz w:val="21"/>
      <w:lang w:val="es-ES"/>
    </w:rPr>
  </w:style>
  <w:style w:type="paragraph" w:customStyle="1" w:styleId="EstiloMarcador1PNegrito">
    <w:name w:val="Estilo Marcador 1P + Negrito"/>
    <w:basedOn w:val="Marcador1P"/>
    <w:rsid w:val="004E5076"/>
  </w:style>
  <w:style w:type="character" w:customStyle="1" w:styleId="EstiloMarcador1PNegritoChar">
    <w:name w:val="Estilo Marcador 1P + Negrito Char"/>
    <w:rsid w:val="004E5076"/>
    <w:rPr>
      <w:rFonts w:ascii="Trebuchet MS" w:hAnsi="Trebuchet MS"/>
      <w:sz w:val="21"/>
      <w:lang w:val="es-ES"/>
    </w:rPr>
  </w:style>
  <w:style w:type="paragraph" w:customStyle="1" w:styleId="Marcador2P">
    <w:name w:val="Marcador 2P"/>
    <w:basedOn w:val="Normal"/>
    <w:next w:val="Normal"/>
    <w:rsid w:val="004E5076"/>
    <w:pPr>
      <w:widowControl/>
      <w:autoSpaceDE w:val="0"/>
      <w:autoSpaceDN w:val="0"/>
      <w:adjustRightInd w:val="0"/>
      <w:spacing w:before="40" w:after="240" w:line="360" w:lineRule="exact"/>
      <w:ind w:left="567"/>
      <w:jc w:val="both"/>
    </w:pPr>
    <w:rPr>
      <w:rFonts w:ascii="Trebuchet MS" w:eastAsiaTheme="minorEastAsia" w:hAnsi="Trebuchet MS" w:cs="Times New Roman"/>
      <w:sz w:val="21"/>
      <w:szCs w:val="21"/>
    </w:rPr>
  </w:style>
  <w:style w:type="character" w:customStyle="1" w:styleId="Marcador2PChar">
    <w:name w:val="Marcador 2P Char"/>
    <w:rsid w:val="004E5076"/>
    <w:rPr>
      <w:rFonts w:ascii="Trebuchet MS" w:hAnsi="Trebuchet MS"/>
      <w:sz w:val="21"/>
      <w:lang w:val="es-ES"/>
    </w:rPr>
  </w:style>
  <w:style w:type="paragraph" w:customStyle="1" w:styleId="EstiloMarcador2PNegrito">
    <w:name w:val="Estilo Marcador 2P + Negrito"/>
    <w:basedOn w:val="Marcador2P"/>
    <w:autoRedefine/>
    <w:rsid w:val="004E5076"/>
  </w:style>
  <w:style w:type="character" w:customStyle="1" w:styleId="EstiloMarcador2PNegritoChar">
    <w:name w:val="Estilo Marcador 2P + Negrito Char"/>
    <w:rsid w:val="004E5076"/>
    <w:rPr>
      <w:rFonts w:ascii="Trebuchet MS" w:hAnsi="Trebuchet MS"/>
      <w:sz w:val="21"/>
      <w:lang w:val="es-ES"/>
    </w:rPr>
  </w:style>
  <w:style w:type="paragraph" w:customStyle="1" w:styleId="EstiloMarcador-Ttulo7Negrito">
    <w:name w:val="Estilo Marcador-Título 7 + Negrito"/>
    <w:basedOn w:val="Normal"/>
    <w:autoRedefine/>
    <w:rsid w:val="004E5076"/>
    <w:pPr>
      <w:keepNext/>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1"/>
    </w:rPr>
  </w:style>
  <w:style w:type="paragraph" w:customStyle="1" w:styleId="EstiloMarcador-Ttulo7NegritoNoNegrito">
    <w:name w:val="Estilo Marcador-Título 7 + Negrito + Não Negrito"/>
    <w:basedOn w:val="Normal"/>
    <w:autoRedefine/>
    <w:rsid w:val="004E5076"/>
    <w:pPr>
      <w:widowControl/>
      <w:tabs>
        <w:tab w:val="left" w:pos="284"/>
      </w:tabs>
      <w:autoSpaceDE w:val="0"/>
      <w:autoSpaceDN w:val="0"/>
      <w:adjustRightInd w:val="0"/>
      <w:spacing w:before="40" w:after="240" w:line="360" w:lineRule="exact"/>
      <w:jc w:val="both"/>
    </w:pPr>
    <w:rPr>
      <w:rFonts w:ascii="Trebuchet MS" w:eastAsiaTheme="minorEastAsia" w:hAnsi="Trebuchet MS" w:cs="Times New Roman"/>
      <w:b/>
      <w:sz w:val="21"/>
      <w:szCs w:val="20"/>
    </w:rPr>
  </w:style>
  <w:style w:type="paragraph" w:customStyle="1" w:styleId="PargrafodeLetraNumero">
    <w:name w:val="Parágrafo de Letra+Numero"/>
    <w:basedOn w:val="Normal"/>
    <w:next w:val="Pargrafo"/>
    <w:rsid w:val="004E5076"/>
    <w:pPr>
      <w:widowControl/>
      <w:autoSpaceDE w:val="0"/>
      <w:autoSpaceDN w:val="0"/>
      <w:adjustRightInd w:val="0"/>
      <w:spacing w:before="40" w:after="240" w:line="360" w:lineRule="exact"/>
      <w:ind w:left="1134"/>
      <w:jc w:val="both"/>
    </w:pPr>
    <w:rPr>
      <w:rFonts w:ascii="Trebuchet MS" w:eastAsiaTheme="minorEastAsia" w:hAnsi="Trebuchet MS" w:cs="Times New Roman"/>
      <w:sz w:val="21"/>
      <w:szCs w:val="21"/>
    </w:rPr>
  </w:style>
  <w:style w:type="character" w:customStyle="1" w:styleId="PargrafodeLetraNumeroChar">
    <w:name w:val="Parágrafo de Letra+Numero Char"/>
    <w:rsid w:val="004E5076"/>
    <w:rPr>
      <w:rFonts w:ascii="Trebuchet MS" w:hAnsi="Trebuchet MS"/>
      <w:sz w:val="21"/>
      <w:lang w:val="es-ES"/>
    </w:rPr>
  </w:style>
  <w:style w:type="paragraph" w:customStyle="1" w:styleId="EstiloPargrafodeLetraNumeroNegrito">
    <w:name w:val="Estilo Parágrafo de Letra+Numero + Negrito"/>
    <w:basedOn w:val="PargrafodeLetraNumero"/>
    <w:rsid w:val="004E5076"/>
    <w:rPr>
      <w:b/>
    </w:rPr>
  </w:style>
  <w:style w:type="character" w:customStyle="1" w:styleId="EstiloPargrafodeLetraNumeroNegritoChar">
    <w:name w:val="Estilo Parágrafo de Letra+Numero + Negrito Char"/>
    <w:rsid w:val="004E5076"/>
    <w:rPr>
      <w:rFonts w:ascii="Trebuchet MS" w:hAnsi="Trebuchet MS"/>
      <w:b/>
      <w:sz w:val="21"/>
      <w:lang w:val="es-ES"/>
    </w:rPr>
  </w:style>
  <w:style w:type="paragraph" w:customStyle="1" w:styleId="EstiloPARTETrebuchetMS">
    <w:name w:val="Estilo PARTE + Trebuchet MS"/>
    <w:basedOn w:val="Normal"/>
    <w:rsid w:val="004E5076"/>
    <w:pPr>
      <w:widowControl/>
      <w:tabs>
        <w:tab w:val="num" w:pos="720"/>
      </w:tabs>
      <w:autoSpaceDE w:val="0"/>
      <w:autoSpaceDN w:val="0"/>
      <w:adjustRightInd w:val="0"/>
      <w:spacing w:before="240" w:after="240" w:line="360" w:lineRule="exact"/>
      <w:ind w:left="720" w:hanging="720"/>
      <w:jc w:val="both"/>
    </w:pPr>
    <w:rPr>
      <w:rFonts w:ascii="Trebuchet MS" w:eastAsiaTheme="minorEastAsia" w:hAnsi="Trebuchet MS" w:cs="Times New Roman"/>
      <w:b/>
      <w:caps/>
      <w:sz w:val="30"/>
      <w:szCs w:val="30"/>
    </w:rPr>
  </w:style>
  <w:style w:type="paragraph" w:customStyle="1" w:styleId="EstiloSumrio89ptesquerda5cmdireita23cm">
    <w:name w:val="Estilo Sumário 8 + 9 pt À esquerda:  5 cm À direita:  23 cm"/>
    <w:basedOn w:val="TDC8"/>
    <w:autoRedefine/>
    <w:rsid w:val="004E5076"/>
    <w:pPr>
      <w:tabs>
        <w:tab w:val="left" w:pos="3402"/>
        <w:tab w:val="left" w:leader="dot" w:pos="8222"/>
        <w:tab w:val="left" w:pos="8494"/>
      </w:tabs>
      <w:spacing w:before="80" w:after="80" w:line="360" w:lineRule="exact"/>
      <w:ind w:left="2835" w:right="1304" w:hanging="1701"/>
    </w:pPr>
    <w:rPr>
      <w:rFonts w:ascii="Trebuchet MS" w:eastAsiaTheme="minorEastAsia" w:hAnsi="Trebuchet MS" w:cs="Times New Roman"/>
      <w:noProof/>
      <w:sz w:val="18"/>
    </w:rPr>
  </w:style>
  <w:style w:type="paragraph" w:customStyle="1" w:styleId="Fonte">
    <w:name w:val="Fonte"/>
    <w:basedOn w:val="Normal"/>
    <w:next w:val="Normal"/>
    <w:rsid w:val="004E5076"/>
    <w:pPr>
      <w:widowControl/>
      <w:autoSpaceDE w:val="0"/>
      <w:autoSpaceDN w:val="0"/>
      <w:adjustRightInd w:val="0"/>
      <w:spacing w:before="40" w:after="240"/>
      <w:jc w:val="both"/>
    </w:pPr>
    <w:rPr>
      <w:rFonts w:ascii="Trebuchet MS" w:eastAsiaTheme="minorEastAsia" w:hAnsi="Trebuchet MS" w:cs="Times New Roman"/>
      <w:sz w:val="14"/>
      <w:szCs w:val="14"/>
    </w:rPr>
  </w:style>
  <w:style w:type="paragraph" w:styleId="Tabladeilustraciones">
    <w:name w:val="table of figures"/>
    <w:basedOn w:val="Normal"/>
    <w:next w:val="Normal"/>
    <w:uiPriority w:val="99"/>
    <w:rsid w:val="004E5076"/>
    <w:pPr>
      <w:widowControl/>
      <w:tabs>
        <w:tab w:val="left" w:leader="dot" w:pos="8080"/>
        <w:tab w:val="left" w:pos="8494"/>
      </w:tabs>
      <w:autoSpaceDE w:val="0"/>
      <w:autoSpaceDN w:val="0"/>
      <w:adjustRightInd w:val="0"/>
      <w:spacing w:before="40" w:after="240" w:line="360" w:lineRule="exact"/>
      <w:ind w:left="482" w:right="1276" w:hanging="482"/>
      <w:jc w:val="both"/>
    </w:pPr>
    <w:rPr>
      <w:rFonts w:ascii="Humanst521 BT" w:eastAsiaTheme="minorEastAsia" w:hAnsi="Humanst521 BT" w:cs="Times New Roman"/>
      <w:sz w:val="20"/>
      <w:szCs w:val="20"/>
    </w:rPr>
  </w:style>
  <w:style w:type="paragraph" w:customStyle="1" w:styleId="Marcador3">
    <w:name w:val="Marcador 3"/>
    <w:basedOn w:val="Marcador2P"/>
    <w:next w:val="Normal"/>
    <w:rsid w:val="004E5076"/>
    <w:pPr>
      <w:tabs>
        <w:tab w:val="num" w:pos="720"/>
      </w:tabs>
      <w:spacing w:before="0" w:after="120"/>
      <w:ind w:left="360" w:hanging="720"/>
    </w:pPr>
  </w:style>
  <w:style w:type="paragraph" w:customStyle="1" w:styleId="Marcador3P">
    <w:name w:val="Marcador 3P"/>
    <w:basedOn w:val="Normal"/>
    <w:next w:val="Normal"/>
    <w:rsid w:val="004E5076"/>
    <w:pPr>
      <w:widowControl/>
      <w:tabs>
        <w:tab w:val="right" w:leader="dot" w:pos="8505"/>
      </w:tabs>
      <w:autoSpaceDE w:val="0"/>
      <w:autoSpaceDN w:val="0"/>
      <w:adjustRightInd w:val="0"/>
      <w:spacing w:before="40" w:after="240" w:line="360" w:lineRule="exact"/>
      <w:ind w:left="851"/>
      <w:jc w:val="both"/>
    </w:pPr>
    <w:rPr>
      <w:rFonts w:ascii="Trebuchet MS" w:eastAsiaTheme="minorEastAsia" w:hAnsi="Trebuchet MS" w:cs="Times New Roman"/>
      <w:sz w:val="21"/>
      <w:szCs w:val="21"/>
    </w:rPr>
  </w:style>
  <w:style w:type="paragraph" w:customStyle="1" w:styleId="MarcadorLetraP">
    <w:name w:val="Marcador Letra_P"/>
    <w:basedOn w:val="Normal"/>
    <w:autoRedefine/>
    <w:rsid w:val="004E5076"/>
    <w:pPr>
      <w:widowControl/>
      <w:tabs>
        <w:tab w:val="left" w:pos="284"/>
        <w:tab w:val="num" w:pos="720"/>
      </w:tabs>
      <w:autoSpaceDE w:val="0"/>
      <w:autoSpaceDN w:val="0"/>
      <w:adjustRightInd w:val="0"/>
      <w:spacing w:before="40" w:after="240" w:line="360" w:lineRule="exact"/>
      <w:ind w:left="720" w:hanging="720"/>
      <w:jc w:val="both"/>
    </w:pPr>
    <w:rPr>
      <w:rFonts w:ascii="Trebuchet MS" w:eastAsiaTheme="minorEastAsia" w:hAnsi="Trebuchet MS" w:cs="Times New Roman"/>
      <w:sz w:val="21"/>
      <w:szCs w:val="21"/>
    </w:rPr>
  </w:style>
  <w:style w:type="paragraph" w:customStyle="1" w:styleId="NormalText">
    <w:name w:val="Normal Text"/>
    <w:basedOn w:val="Normal"/>
    <w:rsid w:val="004E5076"/>
    <w:pPr>
      <w:autoSpaceDE w:val="0"/>
      <w:autoSpaceDN w:val="0"/>
      <w:adjustRightInd w:val="0"/>
      <w:spacing w:before="40"/>
      <w:jc w:val="both"/>
    </w:pPr>
    <w:rPr>
      <w:rFonts w:ascii="Times" w:eastAsiaTheme="minorEastAsia" w:hAnsi="Times" w:cs="Times New Roman"/>
      <w:sz w:val="21"/>
      <w:szCs w:val="20"/>
      <w:lang w:val="en-US"/>
    </w:rPr>
  </w:style>
  <w:style w:type="character" w:customStyle="1" w:styleId="PargrafoChar">
    <w:name w:val="Parágrafo Char"/>
    <w:rsid w:val="004E5076"/>
    <w:rPr>
      <w:rFonts w:ascii="Humanst521 BT" w:hAnsi="Humanst521 BT"/>
      <w:sz w:val="21"/>
      <w:lang w:val="es-ES"/>
    </w:rPr>
  </w:style>
  <w:style w:type="paragraph" w:customStyle="1" w:styleId="Revisao">
    <w:name w:val="Revisao"/>
    <w:basedOn w:val="Normal"/>
    <w:rsid w:val="004E5076"/>
    <w:pPr>
      <w:widowControl/>
      <w:autoSpaceDE w:val="0"/>
      <w:autoSpaceDN w:val="0"/>
      <w:adjustRightInd w:val="0"/>
      <w:spacing w:before="40" w:line="360" w:lineRule="exact"/>
      <w:jc w:val="center"/>
    </w:pPr>
    <w:rPr>
      <w:rFonts w:ascii="Trebuchet MS" w:eastAsiaTheme="minorEastAsia" w:hAnsi="Trebuchet MS" w:cs="Times New Roman"/>
      <w:b/>
      <w:sz w:val="18"/>
      <w:szCs w:val="21"/>
    </w:rPr>
  </w:style>
  <w:style w:type="paragraph" w:customStyle="1" w:styleId="TipoDoc">
    <w:name w:val="TipoDoc"/>
    <w:basedOn w:val="Normal"/>
    <w:rsid w:val="004E5076"/>
    <w:pPr>
      <w:widowControl/>
      <w:autoSpaceDE w:val="0"/>
      <w:autoSpaceDN w:val="0"/>
      <w:adjustRightInd w:val="0"/>
      <w:spacing w:before="60" w:after="60"/>
    </w:pPr>
    <w:rPr>
      <w:rFonts w:ascii="Trebuchet MS" w:eastAsiaTheme="minorEastAsia" w:hAnsi="Trebuchet MS" w:cs="Times New Roman"/>
      <w:b/>
      <w:sz w:val="14"/>
      <w:szCs w:val="14"/>
    </w:rPr>
  </w:style>
  <w:style w:type="paragraph" w:customStyle="1" w:styleId="TipoRel">
    <w:name w:val="TipoRel"/>
    <w:basedOn w:val="Normal"/>
    <w:rsid w:val="004E5076"/>
    <w:pPr>
      <w:widowControl/>
      <w:autoSpaceDE w:val="0"/>
      <w:autoSpaceDN w:val="0"/>
      <w:adjustRightInd w:val="0"/>
      <w:spacing w:before="60" w:after="60"/>
    </w:pPr>
    <w:rPr>
      <w:rFonts w:ascii="Trebuchet MS" w:eastAsiaTheme="minorEastAsia" w:hAnsi="Trebuchet MS" w:cs="Times New Roman"/>
      <w:i/>
      <w:sz w:val="14"/>
      <w:szCs w:val="14"/>
    </w:rPr>
  </w:style>
  <w:style w:type="paragraph" w:customStyle="1" w:styleId="Ttulo-Seo">
    <w:name w:val="Título-Seção"/>
    <w:basedOn w:val="Normal"/>
    <w:rsid w:val="004E5076"/>
    <w:pPr>
      <w:widowControl/>
      <w:tabs>
        <w:tab w:val="right" w:pos="6521"/>
      </w:tabs>
      <w:autoSpaceDE w:val="0"/>
      <w:autoSpaceDN w:val="0"/>
      <w:adjustRightInd w:val="0"/>
      <w:spacing w:before="40" w:after="240" w:line="360" w:lineRule="exact"/>
      <w:ind w:left="425"/>
      <w:jc w:val="both"/>
    </w:pPr>
    <w:rPr>
      <w:rFonts w:ascii="Humanst521 BT" w:eastAsiaTheme="minorEastAsia" w:hAnsi="Humanst521 BT" w:cs="Times New Roman"/>
      <w:b/>
      <w:caps/>
      <w:sz w:val="21"/>
      <w:szCs w:val="21"/>
    </w:rPr>
  </w:style>
  <w:style w:type="paragraph" w:customStyle="1" w:styleId="JGP">
    <w:name w:val="JGP"/>
    <w:basedOn w:val="Normal"/>
    <w:rsid w:val="004E5076"/>
    <w:pPr>
      <w:tabs>
        <w:tab w:val="left" w:pos="567"/>
        <w:tab w:val="left" w:pos="1701"/>
        <w:tab w:val="left" w:pos="1985"/>
      </w:tabs>
      <w:autoSpaceDE w:val="0"/>
      <w:autoSpaceDN w:val="0"/>
      <w:adjustRightInd w:val="0"/>
      <w:jc w:val="both"/>
    </w:pPr>
    <w:rPr>
      <w:rFonts w:ascii="Times New Roman" w:eastAsiaTheme="minorEastAsia" w:hAnsi="Times New Roman" w:cs="Times New Roman"/>
      <w:sz w:val="20"/>
      <w:szCs w:val="24"/>
      <w:lang w:val="en-US"/>
    </w:rPr>
  </w:style>
  <w:style w:type="paragraph" w:customStyle="1" w:styleId="EstiloJGPAutomtica">
    <w:name w:val="Estilo JGP + Automática"/>
    <w:basedOn w:val="Normal"/>
    <w:rsid w:val="004E5076"/>
    <w:pPr>
      <w:keepLines/>
      <w:widowControl/>
      <w:autoSpaceDE w:val="0"/>
      <w:autoSpaceDN w:val="0"/>
      <w:adjustRightInd w:val="0"/>
      <w:jc w:val="both"/>
    </w:pPr>
    <w:rPr>
      <w:rFonts w:ascii="Times New Roman" w:eastAsiaTheme="minorEastAsia" w:hAnsi="Times New Roman" w:cs="Times New Roman"/>
      <w:sz w:val="24"/>
      <w:szCs w:val="24"/>
      <w:lang w:val="en-US"/>
    </w:rPr>
  </w:style>
  <w:style w:type="character" w:customStyle="1" w:styleId="JGPChar">
    <w:name w:val="JGP Char"/>
    <w:rsid w:val="004E5076"/>
    <w:rPr>
      <w:rFonts w:ascii="Times New Roman" w:hAnsi="Times New Roman"/>
      <w:sz w:val="24"/>
      <w:lang w:val="en-US"/>
    </w:rPr>
  </w:style>
  <w:style w:type="paragraph" w:customStyle="1" w:styleId="Textocomentario1">
    <w:name w:val="Texto comentario1"/>
    <w:basedOn w:val="Default"/>
    <w:next w:val="Default"/>
    <w:uiPriority w:val="99"/>
    <w:rsid w:val="004E5076"/>
    <w:rPr>
      <w:rFonts w:ascii="Times New Roman" w:eastAsia="Calibri" w:hAnsi="Times New Roman" w:cs="Times New Roman"/>
      <w:color w:val="auto"/>
      <w:lang w:val="pt-BR"/>
    </w:rPr>
  </w:style>
  <w:style w:type="character" w:customStyle="1" w:styleId="tocnumber">
    <w:name w:val="tocnumber"/>
    <w:rsid w:val="004E5076"/>
  </w:style>
  <w:style w:type="character" w:customStyle="1" w:styleId="toctext">
    <w:name w:val="toctext"/>
    <w:rsid w:val="004E5076"/>
  </w:style>
  <w:style w:type="paragraph" w:customStyle="1" w:styleId="yiv7860383380msonormal">
    <w:name w:val="yiv7860383380msonormal"/>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rPr>
  </w:style>
  <w:style w:type="paragraph" w:customStyle="1" w:styleId="ListaColorida-nfase11">
    <w:name w:val="Lista Colorida - Ênfase 11"/>
    <w:basedOn w:val="Normal"/>
    <w:uiPriority w:val="34"/>
    <w:qFormat/>
    <w:rsid w:val="004E5076"/>
    <w:pPr>
      <w:widowControl/>
      <w:autoSpaceDE w:val="0"/>
      <w:autoSpaceDN w:val="0"/>
      <w:adjustRightInd w:val="0"/>
      <w:ind w:left="708"/>
    </w:pPr>
    <w:rPr>
      <w:rFonts w:ascii="Trebuchet MS" w:eastAsiaTheme="minorEastAsia" w:hAnsi="Trebuchet MS" w:cs="Times New Roman"/>
      <w:sz w:val="21"/>
      <w:szCs w:val="21"/>
    </w:rPr>
  </w:style>
  <w:style w:type="character" w:customStyle="1" w:styleId="ListaColorida-nfase1Char">
    <w:name w:val="Lista Colorida - Ênfase 1 Char"/>
    <w:uiPriority w:val="34"/>
    <w:rsid w:val="004E5076"/>
    <w:rPr>
      <w:rFonts w:ascii="Trebuchet MS" w:hAnsi="Trebuchet MS"/>
      <w:sz w:val="21"/>
      <w:lang w:val="es-ES"/>
    </w:rPr>
  </w:style>
  <w:style w:type="character" w:customStyle="1" w:styleId="sciname">
    <w:name w:val="sciname"/>
    <w:basedOn w:val="Fuentedeprrafopredeter"/>
    <w:rsid w:val="004E5076"/>
    <w:rPr>
      <w:rFonts w:cs="Times New Roman"/>
    </w:rPr>
  </w:style>
  <w:style w:type="paragraph" w:customStyle="1" w:styleId="gmail-msolistparagraph">
    <w:name w:val="gmail-msolistparagraph"/>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PE"/>
    </w:rPr>
  </w:style>
  <w:style w:type="character" w:customStyle="1" w:styleId="A8">
    <w:name w:val="A8"/>
    <w:uiPriority w:val="99"/>
    <w:rsid w:val="004E5076"/>
    <w:rPr>
      <w:color w:val="221E1F"/>
      <w:sz w:val="21"/>
    </w:rPr>
  </w:style>
  <w:style w:type="table" w:styleId="Listaclara-nfasis1">
    <w:name w:val="Light List Accent 1"/>
    <w:basedOn w:val="Tablanormal"/>
    <w:uiPriority w:val="61"/>
    <w:unhideWhenUsed/>
    <w:rsid w:val="004E5076"/>
    <w:rPr>
      <w:rFonts w:ascii="Calibri" w:eastAsia="Calibri" w:hAnsi="Calibri" w:cs="Calibri"/>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gmail-m4002053865430891511gmail-m5427706927593979454ley-1">
    <w:name w:val="gmail-m_4002053865430891511gmail-m_5427706927593979454ley-1"/>
    <w:basedOn w:val="Normal"/>
    <w:rsid w:val="004E5076"/>
    <w:pPr>
      <w:widowControl/>
      <w:autoSpaceDE w:val="0"/>
      <w:autoSpaceDN w:val="0"/>
      <w:adjustRightInd w:val="0"/>
      <w:spacing w:before="100" w:beforeAutospacing="1" w:after="100" w:afterAutospacing="1" w:line="276" w:lineRule="auto"/>
      <w:jc w:val="both"/>
    </w:pPr>
    <w:rPr>
      <w:rFonts w:ascii="Calibri" w:eastAsia="Times New Roman" w:hAnsi="Calibri" w:cs="Calibri"/>
      <w:lang w:val="es-CL"/>
    </w:rPr>
  </w:style>
  <w:style w:type="paragraph" w:customStyle="1" w:styleId="gmail-m4002053865430891511gmail-m5427706927593979454ley-2">
    <w:name w:val="gmail-m_4002053865430891511gmail-m_5427706927593979454ley-2"/>
    <w:basedOn w:val="Normal"/>
    <w:rsid w:val="004E5076"/>
    <w:pPr>
      <w:widowControl/>
      <w:autoSpaceDE w:val="0"/>
      <w:autoSpaceDN w:val="0"/>
      <w:adjustRightInd w:val="0"/>
      <w:spacing w:before="100" w:beforeAutospacing="1" w:after="100" w:afterAutospacing="1" w:line="276" w:lineRule="auto"/>
      <w:jc w:val="both"/>
    </w:pPr>
    <w:rPr>
      <w:rFonts w:ascii="Calibri" w:eastAsia="Times New Roman" w:hAnsi="Calibri" w:cs="Calibri"/>
      <w:lang w:val="es-CL"/>
    </w:rPr>
  </w:style>
  <w:style w:type="character" w:customStyle="1" w:styleId="gmail-m4002053865430891511gmail-m5427706927593979454no-style-override">
    <w:name w:val="gmail-m_4002053865430891511gmail-m_5427706927593979454no-style-override"/>
    <w:basedOn w:val="Fuentedeprrafopredeter"/>
    <w:rsid w:val="004E5076"/>
    <w:rPr>
      <w:rFonts w:cs="Times New Roman"/>
    </w:rPr>
  </w:style>
  <w:style w:type="character" w:customStyle="1" w:styleId="gmail-m4002053865430891511gmail-m5427706927593979454no-style-override-1">
    <w:name w:val="gmail-m_4002053865430891511gmail-m_5427706927593979454no-style-override-1"/>
    <w:basedOn w:val="Fuentedeprrafopredeter"/>
    <w:rsid w:val="004E5076"/>
    <w:rPr>
      <w:rFonts w:cs="Times New Roman"/>
    </w:rPr>
  </w:style>
  <w:style w:type="paragraph" w:customStyle="1" w:styleId="ReportText">
    <w:name w:val="Report Text"/>
    <w:rsid w:val="004E5076"/>
    <w:pPr>
      <w:autoSpaceDE w:val="0"/>
      <w:autoSpaceDN w:val="0"/>
      <w:adjustRightInd w:val="0"/>
      <w:spacing w:before="170" w:after="170" w:line="260" w:lineRule="exact"/>
    </w:pPr>
    <w:rPr>
      <w:rFonts w:ascii="Times New Roman" w:eastAsia="Calibri" w:hAnsi="Times New Roman" w:cs="Times New Roman"/>
      <w:sz w:val="24"/>
      <w:szCs w:val="20"/>
      <w:lang w:val="en-GB"/>
    </w:rPr>
  </w:style>
  <w:style w:type="character" w:customStyle="1" w:styleId="ReportTextCar">
    <w:name w:val="Report Text Car"/>
    <w:basedOn w:val="Fuentedeprrafopredeter"/>
    <w:rsid w:val="004E5076"/>
    <w:rPr>
      <w:rFonts w:ascii="Times New Roman" w:hAnsi="Times New Roman" w:cs="Times New Roman"/>
      <w:sz w:val="20"/>
      <w:szCs w:val="20"/>
      <w:lang w:val="en-GB"/>
    </w:rPr>
  </w:style>
  <w:style w:type="character" w:customStyle="1" w:styleId="ReportTextChar">
    <w:name w:val="Report Text Char"/>
    <w:basedOn w:val="Fuentedeprrafopredeter"/>
    <w:rsid w:val="004E5076"/>
    <w:rPr>
      <w:rFonts w:cs="Times New Roman"/>
      <w:sz w:val="20"/>
      <w:szCs w:val="20"/>
      <w:lang w:val="x-none"/>
    </w:rPr>
  </w:style>
  <w:style w:type="table" w:styleId="Listaclara-nfasis2">
    <w:name w:val="Light List Accent 2"/>
    <w:basedOn w:val="Tablanormal"/>
    <w:uiPriority w:val="61"/>
    <w:unhideWhenUsed/>
    <w:rsid w:val="004E5076"/>
    <w:rPr>
      <w:rFonts w:ascii="Calibri" w:eastAsia="Calibri" w:hAnsi="Calibri" w:cs="Calibri"/>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character" w:customStyle="1" w:styleId="Estilo1Car">
    <w:name w:val="Estilo1 Car"/>
    <w:rsid w:val="004E5076"/>
    <w:rPr>
      <w:rFonts w:ascii="Arial" w:eastAsia="MS Mincho" w:hAnsi="Arial"/>
      <w:lang w:val="es-ES"/>
    </w:rPr>
  </w:style>
  <w:style w:type="paragraph" w:customStyle="1" w:styleId="TEXTO0">
    <w:name w:val="TEXTO"/>
    <w:basedOn w:val="Normal"/>
    <w:qFormat/>
    <w:rsid w:val="004E5076"/>
    <w:pPr>
      <w:widowControl/>
      <w:autoSpaceDE w:val="0"/>
      <w:autoSpaceDN w:val="0"/>
      <w:adjustRightInd w:val="0"/>
      <w:spacing w:line="280" w:lineRule="exact"/>
      <w:ind w:right="2268"/>
      <w:jc w:val="both"/>
    </w:pPr>
    <w:rPr>
      <w:rFonts w:ascii="Calibri" w:eastAsiaTheme="minorEastAsia" w:hAnsi="Calibri" w:cs="Times New Roman"/>
      <w:sz w:val="20"/>
      <w:szCs w:val="20"/>
    </w:rPr>
  </w:style>
  <w:style w:type="character" w:customStyle="1" w:styleId="TEXTOCar1">
    <w:name w:val="TEXTO Car1"/>
    <w:rsid w:val="004E5076"/>
    <w:rPr>
      <w:rFonts w:ascii="Calibri" w:hAnsi="Calibri"/>
      <w:sz w:val="20"/>
      <w:lang w:val="es-ES"/>
    </w:rPr>
  </w:style>
  <w:style w:type="paragraph" w:customStyle="1" w:styleId="EstiloTtulo4">
    <w:name w:val="Estilo Título 4"/>
    <w:basedOn w:val="Ttulo4"/>
    <w:next w:val="TEXTO0"/>
    <w:qFormat/>
    <w:rsid w:val="004E5076"/>
    <w:pPr>
      <w:keepLines w:val="0"/>
      <w:numPr>
        <w:ilvl w:val="3"/>
        <w:numId w:val="25"/>
      </w:numPr>
      <w:tabs>
        <w:tab w:val="num" w:pos="360"/>
        <w:tab w:val="num" w:pos="709"/>
      </w:tabs>
      <w:autoSpaceDE w:val="0"/>
      <w:autoSpaceDN w:val="0"/>
      <w:adjustRightInd w:val="0"/>
      <w:spacing w:before="0" w:after="0" w:line="280" w:lineRule="exact"/>
      <w:ind w:right="2268"/>
    </w:pPr>
    <w:rPr>
      <w:rFonts w:eastAsiaTheme="minorEastAsia" w:cs="Times New Roman"/>
      <w:iCs w:val="0"/>
      <w:color w:val="2E74B5"/>
      <w:sz w:val="20"/>
      <w:szCs w:val="20"/>
    </w:rPr>
  </w:style>
  <w:style w:type="paragraph" w:customStyle="1" w:styleId="EstiloTtulo3">
    <w:name w:val="Estilo Título 3"/>
    <w:basedOn w:val="Ttulo3"/>
    <w:qFormat/>
    <w:rsid w:val="004E5076"/>
    <w:pPr>
      <w:keepLines w:val="0"/>
      <w:autoSpaceDE w:val="0"/>
      <w:autoSpaceDN w:val="0"/>
      <w:adjustRightInd w:val="0"/>
      <w:spacing w:before="0" w:beforeAutospacing="1" w:after="240" w:line="260" w:lineRule="exact"/>
      <w:ind w:left="709" w:right="2268" w:hanging="425"/>
    </w:pPr>
    <w:rPr>
      <w:rFonts w:eastAsiaTheme="minorEastAsia" w:cs="Times New Roman"/>
      <w:color w:val="5B9BD5"/>
      <w:sz w:val="22"/>
      <w:szCs w:val="20"/>
    </w:rPr>
  </w:style>
  <w:style w:type="paragraph" w:customStyle="1" w:styleId="EstiloTtulo2">
    <w:name w:val="Estilo Título 2"/>
    <w:basedOn w:val="Ttulo2"/>
    <w:next w:val="Normal"/>
    <w:qFormat/>
    <w:rsid w:val="004E5076"/>
    <w:pPr>
      <w:keepLines w:val="0"/>
      <w:numPr>
        <w:ilvl w:val="1"/>
        <w:numId w:val="26"/>
      </w:numPr>
      <w:autoSpaceDE w:val="0"/>
      <w:autoSpaceDN w:val="0"/>
      <w:adjustRightInd w:val="0"/>
      <w:spacing w:before="0" w:after="240" w:line="276" w:lineRule="auto"/>
    </w:pPr>
    <w:rPr>
      <w:rFonts w:ascii="Arial" w:eastAsiaTheme="minorEastAsia" w:hAnsi="Arial" w:cs="Arial"/>
      <w:color w:val="008ECB"/>
      <w:sz w:val="22"/>
      <w:szCs w:val="22"/>
    </w:rPr>
  </w:style>
  <w:style w:type="paragraph" w:customStyle="1" w:styleId="VIETA10">
    <w:name w:val="VIÑETA 1"/>
    <w:rsid w:val="004E5076"/>
    <w:pPr>
      <w:tabs>
        <w:tab w:val="num" w:pos="1843"/>
      </w:tabs>
      <w:autoSpaceDE w:val="0"/>
      <w:autoSpaceDN w:val="0"/>
      <w:adjustRightInd w:val="0"/>
      <w:spacing w:before="120" w:line="260" w:lineRule="exact"/>
      <w:ind w:left="1843" w:right="2268" w:hanging="425"/>
    </w:pPr>
    <w:rPr>
      <w:rFonts w:ascii="Georgia" w:eastAsia="Calibri" w:hAnsi="Georgia" w:cs="Times New Roman"/>
      <w:lang w:val="es-ES_tradnl"/>
    </w:rPr>
  </w:style>
  <w:style w:type="paragraph" w:customStyle="1" w:styleId="TEXTOTABULADOOK">
    <w:name w:val="TEXTO TABULADO OK"/>
    <w:rsid w:val="004E5076"/>
    <w:pPr>
      <w:autoSpaceDE w:val="0"/>
      <w:autoSpaceDN w:val="0"/>
      <w:adjustRightInd w:val="0"/>
      <w:spacing w:line="260" w:lineRule="exact"/>
      <w:ind w:left="709" w:right="2268"/>
    </w:pPr>
    <w:rPr>
      <w:rFonts w:ascii="Georgia" w:eastAsia="Calibri" w:hAnsi="Georgia" w:cs="Times New Roman"/>
      <w:szCs w:val="20"/>
      <w:lang w:val="es-ES_tradnl"/>
    </w:rPr>
  </w:style>
  <w:style w:type="character" w:customStyle="1" w:styleId="Estilo">
    <w:name w:val="Estilo"/>
    <w:rsid w:val="004E5076"/>
    <w:rPr>
      <w:rFonts w:ascii="Times New Roman" w:hAnsi="Times New Roman"/>
      <w:color w:val="008FCB"/>
      <w:sz w:val="48"/>
    </w:rPr>
  </w:style>
  <w:style w:type="paragraph" w:customStyle="1" w:styleId="CuerpoA">
    <w:name w:val="Cuerpo A"/>
    <w:rsid w:val="004E5076"/>
    <w:pPr>
      <w:autoSpaceDE w:val="0"/>
      <w:autoSpaceDN w:val="0"/>
      <w:adjustRightInd w:val="0"/>
    </w:pPr>
    <w:rPr>
      <w:rFonts w:ascii="Helvetica" w:eastAsia="Times New Roman" w:hAnsi="Helvetica" w:cs="Helvetica"/>
      <w:color w:val="000000"/>
      <w:lang w:val="es-ES_tradnl"/>
    </w:rPr>
  </w:style>
  <w:style w:type="paragraph" w:styleId="HTMLconformatoprevio">
    <w:name w:val="HTML Preformatted"/>
    <w:basedOn w:val="Normal"/>
    <w:link w:val="HTMLconformatoprevioCar"/>
    <w:uiPriority w:val="99"/>
    <w:rsid w:val="004E5076"/>
    <w:pPr>
      <w:widowControl/>
      <w:tabs>
        <w:tab w:val="left" w:pos="916"/>
        <w:tab w:val="left" w:pos="1832"/>
        <w:tab w:val="left" w:pos="2748"/>
        <w:tab w:val="left" w:pos="3664"/>
        <w:tab w:val="left" w:pos="4580"/>
        <w:tab w:val="left" w:pos="5496"/>
        <w:tab w:val="left" w:pos="6412"/>
        <w:tab w:val="left" w:pos="7328"/>
        <w:tab w:val="left" w:pos="8244"/>
        <w:tab w:val="left" w:pos="8494"/>
      </w:tabs>
      <w:autoSpaceDE w:val="0"/>
      <w:autoSpaceDN w:val="0"/>
      <w:adjustRightInd w:val="0"/>
      <w:spacing w:line="276" w:lineRule="auto"/>
      <w:jc w:val="both"/>
    </w:pPr>
    <w:rPr>
      <w:rFonts w:ascii="Courier New" w:eastAsiaTheme="minorEastAsia" w:hAnsi="Courier New" w:cs="Courier New"/>
      <w:sz w:val="20"/>
      <w:szCs w:val="20"/>
      <w:lang w:val="en-US"/>
    </w:rPr>
  </w:style>
  <w:style w:type="character" w:customStyle="1" w:styleId="HTMLconformatoprevioCar">
    <w:name w:val="HTML con formato previo Car"/>
    <w:basedOn w:val="Fuentedeprrafopredeter"/>
    <w:link w:val="HTMLconformatoprevio"/>
    <w:uiPriority w:val="99"/>
    <w:rsid w:val="004E5076"/>
    <w:rPr>
      <w:rFonts w:ascii="Courier New" w:eastAsiaTheme="minorEastAsia" w:hAnsi="Courier New" w:cs="Courier New"/>
      <w:kern w:val="0"/>
      <w:sz w:val="20"/>
      <w:szCs w:val="20"/>
      <w:lang w:val="en-US" w:eastAsia="es-PE"/>
    </w:rPr>
  </w:style>
  <w:style w:type="character" w:customStyle="1" w:styleId="postbox-detected-content">
    <w:name w:val="__postbox-detected-content"/>
    <w:basedOn w:val="Fuentedeprrafopredeter"/>
    <w:rsid w:val="004E5076"/>
    <w:rPr>
      <w:rFonts w:cs="Times New Roman"/>
    </w:rPr>
  </w:style>
  <w:style w:type="character" w:customStyle="1" w:styleId="caps">
    <w:name w:val="caps"/>
    <w:rsid w:val="004E5076"/>
  </w:style>
  <w:style w:type="paragraph" w:customStyle="1" w:styleId="EstiloTtulo21">
    <w:name w:val="Estilo Título 21"/>
    <w:basedOn w:val="Ttulo2"/>
    <w:next w:val="Normal"/>
    <w:uiPriority w:val="99"/>
    <w:qFormat/>
    <w:rsid w:val="004E5076"/>
    <w:pPr>
      <w:keepLines w:val="0"/>
      <w:autoSpaceDE w:val="0"/>
      <w:autoSpaceDN w:val="0"/>
      <w:adjustRightInd w:val="0"/>
      <w:spacing w:before="240" w:after="120" w:line="276" w:lineRule="auto"/>
      <w:ind w:left="716" w:right="107" w:hanging="432"/>
    </w:pPr>
    <w:rPr>
      <w:rFonts w:ascii="Arial" w:eastAsiaTheme="minorEastAsia" w:hAnsi="Arial" w:cs="Arial"/>
      <w:b/>
      <w:color w:val="008FCB"/>
      <w:sz w:val="22"/>
      <w:szCs w:val="22"/>
    </w:rPr>
  </w:style>
  <w:style w:type="paragraph" w:customStyle="1" w:styleId="TEXTO1">
    <w:name w:val="TEXTO1"/>
    <w:basedOn w:val="Normal"/>
    <w:qFormat/>
    <w:rsid w:val="004E5076"/>
    <w:pPr>
      <w:widowControl/>
      <w:autoSpaceDE w:val="0"/>
      <w:autoSpaceDN w:val="0"/>
      <w:adjustRightInd w:val="0"/>
      <w:spacing w:line="280" w:lineRule="exact"/>
      <w:ind w:right="2268"/>
      <w:jc w:val="both"/>
    </w:pPr>
    <w:rPr>
      <w:rFonts w:ascii="Calibri" w:eastAsiaTheme="minorEastAsia" w:hAnsi="Calibri" w:cs="Times New Roman"/>
      <w:sz w:val="20"/>
      <w:szCs w:val="20"/>
    </w:rPr>
  </w:style>
  <w:style w:type="paragraph" w:customStyle="1" w:styleId="EstiloTtulo211">
    <w:name w:val="Estilo Título 211"/>
    <w:basedOn w:val="Ttulo2"/>
    <w:next w:val="Normal"/>
    <w:uiPriority w:val="99"/>
    <w:qFormat/>
    <w:rsid w:val="004E5076"/>
    <w:pPr>
      <w:keepLines w:val="0"/>
      <w:autoSpaceDE w:val="0"/>
      <w:autoSpaceDN w:val="0"/>
      <w:adjustRightInd w:val="0"/>
      <w:spacing w:before="240" w:after="120" w:line="276" w:lineRule="auto"/>
      <w:ind w:left="716" w:right="107" w:hanging="432"/>
    </w:pPr>
    <w:rPr>
      <w:rFonts w:ascii="Arial" w:eastAsiaTheme="minorEastAsia" w:hAnsi="Arial" w:cs="Arial"/>
      <w:b/>
      <w:color w:val="008FCB"/>
      <w:sz w:val="22"/>
      <w:szCs w:val="22"/>
    </w:rPr>
  </w:style>
  <w:style w:type="paragraph" w:customStyle="1" w:styleId="NormalArial">
    <w:name w:val="Normal + Arial"/>
    <w:basedOn w:val="Normal"/>
    <w:uiPriority w:val="99"/>
    <w:rsid w:val="004E5076"/>
    <w:pPr>
      <w:widowControl/>
      <w:autoSpaceDE w:val="0"/>
      <w:autoSpaceDN w:val="0"/>
      <w:adjustRightInd w:val="0"/>
      <w:spacing w:line="276" w:lineRule="auto"/>
      <w:jc w:val="both"/>
    </w:pPr>
    <w:rPr>
      <w:rFonts w:eastAsiaTheme="minorEastAsia" w:cs="Times New Roman"/>
      <w:szCs w:val="24"/>
      <w:lang w:val="es-MX"/>
    </w:rPr>
  </w:style>
  <w:style w:type="character" w:customStyle="1" w:styleId="NormalArialCar">
    <w:name w:val="Normal + Arial Car"/>
    <w:uiPriority w:val="99"/>
    <w:rsid w:val="004E5076"/>
    <w:rPr>
      <w:rFonts w:ascii="Arial" w:hAnsi="Arial"/>
      <w:sz w:val="24"/>
      <w:lang w:val="es-MX"/>
    </w:rPr>
  </w:style>
  <w:style w:type="paragraph" w:customStyle="1" w:styleId="EstiloTtulo23">
    <w:name w:val="Estilo Título 23"/>
    <w:basedOn w:val="Ttulo2"/>
    <w:uiPriority w:val="99"/>
    <w:qFormat/>
    <w:rsid w:val="004E5076"/>
    <w:pPr>
      <w:keepLines w:val="0"/>
      <w:autoSpaceDE w:val="0"/>
      <w:autoSpaceDN w:val="0"/>
      <w:adjustRightInd w:val="0"/>
      <w:spacing w:before="0" w:after="0" w:line="260" w:lineRule="exact"/>
      <w:ind w:right="2268"/>
    </w:pPr>
    <w:rPr>
      <w:rFonts w:ascii="Times New Roman" w:eastAsiaTheme="minorEastAsia" w:hAnsi="Times New Roman" w:cs="Times New Roman"/>
      <w:b/>
      <w:color w:val="008FCB"/>
      <w:sz w:val="20"/>
      <w:szCs w:val="20"/>
    </w:rPr>
  </w:style>
  <w:style w:type="paragraph" w:customStyle="1" w:styleId="Pie">
    <w:name w:val="Pie"/>
    <w:rsid w:val="004E5076"/>
    <w:pPr>
      <w:autoSpaceDE w:val="0"/>
      <w:autoSpaceDN w:val="0"/>
      <w:adjustRightInd w:val="0"/>
    </w:pPr>
    <w:rPr>
      <w:rFonts w:ascii="Times New Roman" w:eastAsia="Calibri" w:hAnsi="Times New Roman" w:cs="Times New Roman"/>
      <w:color w:val="000000"/>
      <w:sz w:val="24"/>
      <w:szCs w:val="20"/>
      <w:lang w:val="es-ES_tradnl"/>
    </w:rPr>
  </w:style>
  <w:style w:type="paragraph" w:customStyle="1" w:styleId="ESTILOEsSALUD1">
    <w:name w:val="ESTILO EsSALUD 1"/>
    <w:basedOn w:val="Ttulo1"/>
    <w:next w:val="Normal"/>
    <w:autoRedefine/>
    <w:qFormat/>
    <w:rsid w:val="004E5076"/>
    <w:pPr>
      <w:keepLines w:val="0"/>
      <w:autoSpaceDE w:val="0"/>
      <w:autoSpaceDN w:val="0"/>
      <w:adjustRightInd w:val="0"/>
      <w:spacing w:before="0" w:after="240" w:line="276" w:lineRule="auto"/>
    </w:pPr>
    <w:rPr>
      <w:rFonts w:ascii="Arial Negrita" w:eastAsiaTheme="minorEastAsia" w:hAnsi="Arial Negrita" w:cs="Arial"/>
      <w:b/>
      <w:caps/>
      <w:color w:val="008ECB"/>
      <w:sz w:val="22"/>
      <w:szCs w:val="22"/>
    </w:rPr>
  </w:style>
  <w:style w:type="character" w:customStyle="1" w:styleId="ESTILOEsSALUD1Car">
    <w:name w:val="ESTILO EsSALUD 1 Car"/>
    <w:basedOn w:val="Fuentedeprrafopredeter"/>
    <w:rsid w:val="004E5076"/>
    <w:rPr>
      <w:rFonts w:ascii="Arial Negrita" w:hAnsi="Arial Negrita" w:cs="Arial"/>
      <w:b/>
      <w:caps/>
      <w:color w:val="008ECB"/>
      <w:lang w:val="x-none"/>
    </w:rPr>
  </w:style>
  <w:style w:type="paragraph" w:customStyle="1" w:styleId="ESTILOEsALUD2">
    <w:name w:val="ESTILO EsALUD 2"/>
    <w:basedOn w:val="Ttulo2"/>
    <w:next w:val="Normal"/>
    <w:qFormat/>
    <w:rsid w:val="004E5076"/>
    <w:pPr>
      <w:autoSpaceDE w:val="0"/>
      <w:autoSpaceDN w:val="0"/>
      <w:adjustRightInd w:val="0"/>
      <w:spacing w:before="0" w:after="240" w:line="276" w:lineRule="auto"/>
    </w:pPr>
    <w:rPr>
      <w:rFonts w:ascii="Arial" w:eastAsiaTheme="minorEastAsia" w:hAnsi="Arial" w:cs="Arial"/>
      <w:b/>
      <w:color w:val="008ECB"/>
      <w:sz w:val="22"/>
      <w:szCs w:val="26"/>
    </w:rPr>
  </w:style>
  <w:style w:type="character" w:customStyle="1" w:styleId="ESTILOEsALUD2Car">
    <w:name w:val="ESTILO EsALUD 2 Car"/>
    <w:basedOn w:val="Fuentedeprrafopredeter"/>
    <w:rsid w:val="004E5076"/>
    <w:rPr>
      <w:rFonts w:ascii="Arial" w:hAnsi="Arial" w:cs="Arial"/>
      <w:b/>
      <w:color w:val="008ECB"/>
      <w:sz w:val="26"/>
      <w:szCs w:val="26"/>
      <w:lang w:val="x-none"/>
    </w:rPr>
  </w:style>
  <w:style w:type="paragraph" w:customStyle="1" w:styleId="EstiloEsALUD3">
    <w:name w:val="Estilo EsALUD 3"/>
    <w:basedOn w:val="Ttulo3"/>
    <w:next w:val="Normal"/>
    <w:autoRedefine/>
    <w:qFormat/>
    <w:rsid w:val="004E5076"/>
    <w:pPr>
      <w:autoSpaceDE w:val="0"/>
      <w:autoSpaceDN w:val="0"/>
      <w:adjustRightInd w:val="0"/>
      <w:spacing w:before="100" w:beforeAutospacing="1" w:after="240" w:line="276" w:lineRule="auto"/>
      <w:ind w:left="925" w:hanging="641"/>
    </w:pPr>
    <w:rPr>
      <w:rFonts w:eastAsiaTheme="minorEastAsia" w:cs="Arial"/>
      <w:color w:val="008ECB"/>
      <w:sz w:val="22"/>
      <w:szCs w:val="24"/>
      <w:lang w:val="fr-FR"/>
    </w:rPr>
  </w:style>
  <w:style w:type="character" w:customStyle="1" w:styleId="EstiloEsALUD3Car">
    <w:name w:val="Estilo EsALUD 3 Car"/>
    <w:basedOn w:val="Fuentedeprrafopredeter"/>
    <w:rsid w:val="004E5076"/>
    <w:rPr>
      <w:rFonts w:ascii="Arial" w:hAnsi="Arial" w:cs="Arial"/>
      <w:color w:val="008ECB"/>
      <w:sz w:val="24"/>
      <w:szCs w:val="24"/>
      <w:lang w:val="fr-FR"/>
    </w:rPr>
  </w:style>
  <w:style w:type="paragraph" w:customStyle="1" w:styleId="Titulo4-ESALUD">
    <w:name w:val="Titulo 4-ESALUD"/>
    <w:basedOn w:val="Normal"/>
    <w:next w:val="Normal"/>
    <w:qFormat/>
    <w:rsid w:val="004E5076"/>
    <w:pPr>
      <w:keepNext/>
      <w:widowControl/>
      <w:autoSpaceDE w:val="0"/>
      <w:autoSpaceDN w:val="0"/>
      <w:adjustRightInd w:val="0"/>
      <w:spacing w:after="240" w:line="276" w:lineRule="auto"/>
      <w:ind w:left="1202" w:hanging="777"/>
      <w:jc w:val="both"/>
      <w:outlineLvl w:val="3"/>
    </w:pPr>
    <w:rPr>
      <w:rFonts w:eastAsiaTheme="minorEastAsia" w:cs="Times New Roman"/>
      <w:color w:val="008ECB"/>
      <w:szCs w:val="20"/>
      <w:lang w:val="fr-FR"/>
    </w:rPr>
  </w:style>
  <w:style w:type="paragraph" w:customStyle="1" w:styleId="Titulo5ESSALUD">
    <w:name w:val="Titulo 5 ESSALUD"/>
    <w:basedOn w:val="Ttulo5"/>
    <w:next w:val="Normal"/>
    <w:qFormat/>
    <w:rsid w:val="004E5076"/>
    <w:pPr>
      <w:autoSpaceDE w:val="0"/>
      <w:autoSpaceDN w:val="0"/>
      <w:adjustRightInd w:val="0"/>
      <w:spacing w:before="0" w:after="240" w:line="276" w:lineRule="auto"/>
      <w:ind w:left="1701" w:hanging="992"/>
    </w:pPr>
    <w:rPr>
      <w:rFonts w:eastAsiaTheme="minorEastAsia" w:cs="Times New Roman"/>
      <w:b/>
      <w:color w:val="008ECB"/>
      <w:lang w:val="fr-FR"/>
    </w:rPr>
  </w:style>
  <w:style w:type="paragraph" w:customStyle="1" w:styleId="xl212">
    <w:name w:val="xl212"/>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213">
    <w:name w:val="xl213"/>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214">
    <w:name w:val="xl214"/>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center"/>
    </w:pPr>
    <w:rPr>
      <w:rFonts w:eastAsiaTheme="minorEastAsia"/>
      <w:b/>
      <w:color w:val="FFFFFF"/>
      <w:szCs w:val="24"/>
    </w:rPr>
  </w:style>
  <w:style w:type="paragraph" w:customStyle="1" w:styleId="xl215">
    <w:name w:val="xl215"/>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216">
    <w:name w:val="xl216"/>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217">
    <w:name w:val="xl21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b/>
      <w:szCs w:val="24"/>
    </w:rPr>
  </w:style>
  <w:style w:type="paragraph" w:customStyle="1" w:styleId="xl218">
    <w:name w:val="xl218"/>
    <w:basedOn w:val="Normal"/>
    <w:rsid w:val="004E5076"/>
    <w:pPr>
      <w:widowControl/>
      <w:pBdr>
        <w:top w:val="single" w:sz="4" w:space="0" w:color="auto"/>
        <w:left w:val="single" w:sz="4" w:space="18"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200"/>
      <w:jc w:val="both"/>
    </w:pPr>
    <w:rPr>
      <w:rFonts w:eastAsiaTheme="minorEastAsia"/>
      <w:szCs w:val="24"/>
    </w:rPr>
  </w:style>
  <w:style w:type="paragraph" w:customStyle="1" w:styleId="xl219">
    <w:name w:val="xl219"/>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220">
    <w:name w:val="xl220"/>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221">
    <w:name w:val="xl221"/>
    <w:basedOn w:val="Normal"/>
    <w:rsid w:val="004E5076"/>
    <w:pPr>
      <w:widowControl/>
      <w:shd w:val="clear" w:color="000000" w:fill="0070C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03">
    <w:name w:val="xl303"/>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304">
    <w:name w:val="xl304"/>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05">
    <w:name w:val="xl305"/>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06">
    <w:name w:val="xl306"/>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07">
    <w:name w:val="xl30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308">
    <w:name w:val="xl308"/>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b/>
      <w:szCs w:val="24"/>
    </w:rPr>
  </w:style>
  <w:style w:type="paragraph" w:customStyle="1" w:styleId="xl309">
    <w:name w:val="xl309"/>
    <w:basedOn w:val="Normal"/>
    <w:rsid w:val="004E5076"/>
    <w:pPr>
      <w:widowControl/>
      <w:pBdr>
        <w:top w:val="single" w:sz="4" w:space="0" w:color="auto"/>
        <w:left w:val="single" w:sz="4" w:space="9"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100"/>
      <w:jc w:val="both"/>
    </w:pPr>
    <w:rPr>
      <w:rFonts w:eastAsiaTheme="minorEastAsia"/>
      <w:szCs w:val="24"/>
    </w:rPr>
  </w:style>
  <w:style w:type="paragraph" w:customStyle="1" w:styleId="xl310">
    <w:name w:val="xl310"/>
    <w:basedOn w:val="Normal"/>
    <w:rsid w:val="004E5076"/>
    <w:pPr>
      <w:widowControl/>
      <w:pBdr>
        <w:top w:val="single" w:sz="4" w:space="0" w:color="auto"/>
        <w:left w:val="single" w:sz="4" w:space="0" w:color="auto"/>
        <w:bottom w:val="single" w:sz="4" w:space="0" w:color="auto"/>
        <w:right w:val="single" w:sz="4" w:space="0" w:color="auto"/>
      </w:pBdr>
      <w:shd w:val="clear" w:color="000000" w:fill="808080"/>
      <w:autoSpaceDE w:val="0"/>
      <w:autoSpaceDN w:val="0"/>
      <w:adjustRightInd w:val="0"/>
      <w:spacing w:before="100" w:beforeAutospacing="1" w:after="100" w:afterAutospacing="1" w:line="276" w:lineRule="auto"/>
      <w:jc w:val="center"/>
    </w:pPr>
    <w:rPr>
      <w:rFonts w:eastAsiaTheme="minorEastAsia"/>
      <w:b/>
      <w:color w:val="FFFFFF"/>
      <w:szCs w:val="24"/>
    </w:rPr>
  </w:style>
  <w:style w:type="paragraph" w:customStyle="1" w:styleId="xl311">
    <w:name w:val="xl311"/>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2">
    <w:name w:val="xl312"/>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3">
    <w:name w:val="xl313"/>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4">
    <w:name w:val="xl314"/>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rPr>
  </w:style>
  <w:style w:type="paragraph" w:customStyle="1" w:styleId="xl315">
    <w:name w:val="xl315"/>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6">
    <w:name w:val="xl316"/>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7">
    <w:name w:val="xl317"/>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18">
    <w:name w:val="xl318"/>
    <w:basedOn w:val="Normal"/>
    <w:rsid w:val="004E5076"/>
    <w:pPr>
      <w:widowControl/>
      <w:pBdr>
        <w:top w:val="single" w:sz="4"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rPr>
  </w:style>
  <w:style w:type="paragraph" w:customStyle="1" w:styleId="xl319">
    <w:name w:val="xl319"/>
    <w:basedOn w:val="Normal"/>
    <w:rsid w:val="004E5076"/>
    <w:pPr>
      <w:widowControl/>
      <w:pBdr>
        <w:top w:val="single" w:sz="4" w:space="0" w:color="auto"/>
        <w:left w:val="single" w:sz="4" w:space="18"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ind w:firstLine="200"/>
      <w:jc w:val="both"/>
    </w:pPr>
    <w:rPr>
      <w:rFonts w:eastAsiaTheme="minorEastAsia"/>
      <w:szCs w:val="24"/>
    </w:rPr>
  </w:style>
  <w:style w:type="paragraph" w:customStyle="1" w:styleId="xl320">
    <w:name w:val="xl320"/>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21">
    <w:name w:val="xl321"/>
    <w:basedOn w:val="Normal"/>
    <w:rsid w:val="004E5076"/>
    <w:pPr>
      <w:widowControl/>
      <w:pBdr>
        <w:top w:val="single" w:sz="4" w:space="0" w:color="auto"/>
        <w:left w:val="single" w:sz="4" w:space="0" w:color="auto"/>
        <w:bottom w:val="single" w:sz="4" w:space="0" w:color="auto"/>
        <w:right w:val="single" w:sz="4" w:space="0" w:color="auto"/>
      </w:pBdr>
      <w:shd w:val="clear" w:color="000000" w:fill="0070C0"/>
      <w:autoSpaceDE w:val="0"/>
      <w:autoSpaceDN w:val="0"/>
      <w:adjustRightInd w:val="0"/>
      <w:spacing w:before="100" w:beforeAutospacing="1" w:after="100" w:afterAutospacing="1" w:line="276" w:lineRule="auto"/>
      <w:jc w:val="both"/>
    </w:pPr>
    <w:rPr>
      <w:rFonts w:eastAsiaTheme="minorEastAsia"/>
      <w:b/>
      <w:color w:val="FFFFFF"/>
      <w:szCs w:val="24"/>
    </w:rPr>
  </w:style>
  <w:style w:type="paragraph" w:customStyle="1" w:styleId="xl322">
    <w:name w:val="xl322"/>
    <w:basedOn w:val="Normal"/>
    <w:rsid w:val="004E5076"/>
    <w:pPr>
      <w:widowControl/>
      <w:pBdr>
        <w:top w:val="single" w:sz="4" w:space="0" w:color="auto"/>
      </w:pBdr>
      <w:autoSpaceDE w:val="0"/>
      <w:autoSpaceDN w:val="0"/>
      <w:adjustRightInd w:val="0"/>
      <w:spacing w:before="100" w:beforeAutospacing="1" w:after="100" w:afterAutospacing="1" w:line="276" w:lineRule="auto"/>
      <w:jc w:val="both"/>
    </w:pPr>
    <w:rPr>
      <w:rFonts w:eastAsiaTheme="minorEastAsia"/>
      <w:szCs w:val="24"/>
    </w:rPr>
  </w:style>
  <w:style w:type="paragraph" w:customStyle="1" w:styleId="xl323">
    <w:name w:val="xl323"/>
    <w:basedOn w:val="Normal"/>
    <w:rsid w:val="004E5076"/>
    <w:pPr>
      <w:widowControl/>
      <w:pBdr>
        <w:top w:val="single" w:sz="8" w:space="0" w:color="auto"/>
        <w:left w:val="single" w:sz="4"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4">
    <w:name w:val="xl324"/>
    <w:basedOn w:val="Normal"/>
    <w:rsid w:val="004E5076"/>
    <w:pPr>
      <w:widowControl/>
      <w:pBdr>
        <w:top w:val="single" w:sz="4" w:space="0" w:color="auto"/>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5">
    <w:name w:val="xl325"/>
    <w:basedOn w:val="Normal"/>
    <w:rsid w:val="004E5076"/>
    <w:pPr>
      <w:widowControl/>
      <w:pBdr>
        <w:top w:val="single" w:sz="4" w:space="0" w:color="auto"/>
        <w:left w:val="single" w:sz="4"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6">
    <w:name w:val="xl326"/>
    <w:basedOn w:val="Normal"/>
    <w:rsid w:val="004E5076"/>
    <w:pPr>
      <w:widowControl/>
      <w:pBdr>
        <w:top w:val="single" w:sz="4" w:space="0" w:color="auto"/>
        <w:left w:val="single" w:sz="4" w:space="0" w:color="auto"/>
        <w:bottom w:val="single" w:sz="8"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27">
    <w:name w:val="xl327"/>
    <w:basedOn w:val="Normal"/>
    <w:rsid w:val="004E5076"/>
    <w:pPr>
      <w:widowControl/>
      <w:pBdr>
        <w:top w:val="single" w:sz="8" w:space="0" w:color="auto"/>
        <w:left w:val="single" w:sz="8"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28">
    <w:name w:val="xl328"/>
    <w:basedOn w:val="Normal"/>
    <w:rsid w:val="004E5076"/>
    <w:pPr>
      <w:widowControl/>
      <w:pBdr>
        <w:top w:val="single" w:sz="8" w:space="0" w:color="auto"/>
        <w:left w:val="single" w:sz="4" w:space="0" w:color="auto"/>
        <w:bottom w:val="single" w:sz="8"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29">
    <w:name w:val="xl329"/>
    <w:basedOn w:val="Normal"/>
    <w:rsid w:val="004E5076"/>
    <w:pPr>
      <w:widowControl/>
      <w:pBdr>
        <w:top w:val="single" w:sz="8" w:space="0" w:color="auto"/>
        <w:left w:val="single" w:sz="4" w:space="0" w:color="auto"/>
        <w:bottom w:val="single" w:sz="8"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0">
    <w:name w:val="xl330"/>
    <w:basedOn w:val="Normal"/>
    <w:rsid w:val="004E5076"/>
    <w:pPr>
      <w:widowControl/>
      <w:pBdr>
        <w:top w:val="single" w:sz="8" w:space="0" w:color="auto"/>
        <w:left w:val="single" w:sz="8"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1">
    <w:name w:val="xl331"/>
    <w:basedOn w:val="Normal"/>
    <w:rsid w:val="004E5076"/>
    <w:pPr>
      <w:widowControl/>
      <w:pBdr>
        <w:top w:val="single" w:sz="8" w:space="0" w:color="auto"/>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2">
    <w:name w:val="xl332"/>
    <w:basedOn w:val="Normal"/>
    <w:rsid w:val="004E5076"/>
    <w:pPr>
      <w:widowControl/>
      <w:pBdr>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3">
    <w:name w:val="xl333"/>
    <w:basedOn w:val="Normal"/>
    <w:rsid w:val="004E5076"/>
    <w:pPr>
      <w:widowControl/>
      <w:pBdr>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4">
    <w:name w:val="xl334"/>
    <w:basedOn w:val="Normal"/>
    <w:rsid w:val="004E5076"/>
    <w:pPr>
      <w:widowControl/>
      <w:pBdr>
        <w:left w:val="single" w:sz="4" w:space="0" w:color="auto"/>
        <w:bottom w:val="single" w:sz="4" w:space="0" w:color="auto"/>
        <w:right w:val="single" w:sz="8"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5">
    <w:name w:val="xl335"/>
    <w:basedOn w:val="Normal"/>
    <w:rsid w:val="004E5076"/>
    <w:pPr>
      <w:widowControl/>
      <w:pBdr>
        <w:left w:val="single" w:sz="8" w:space="0" w:color="auto"/>
        <w:bottom w:val="single" w:sz="4" w:space="0" w:color="auto"/>
        <w:right w:val="single" w:sz="4" w:space="0" w:color="auto"/>
      </w:pBdr>
      <w:shd w:val="clear" w:color="000000" w:fill="D9D9D9"/>
      <w:autoSpaceDE w:val="0"/>
      <w:autoSpaceDN w:val="0"/>
      <w:adjustRightInd w:val="0"/>
      <w:spacing w:before="100" w:beforeAutospacing="1" w:after="100" w:afterAutospacing="1" w:line="276" w:lineRule="auto"/>
      <w:jc w:val="center"/>
    </w:pPr>
    <w:rPr>
      <w:rFonts w:eastAsiaTheme="minorEastAsia"/>
      <w:szCs w:val="24"/>
      <w:lang w:val="en-US"/>
    </w:rPr>
  </w:style>
  <w:style w:type="paragraph" w:customStyle="1" w:styleId="xl336">
    <w:name w:val="xl336"/>
    <w:basedOn w:val="Normal"/>
    <w:rsid w:val="004E5076"/>
    <w:pPr>
      <w:widowControl/>
      <w:pBdr>
        <w:top w:val="single" w:sz="8" w:space="0" w:color="auto"/>
        <w:left w:val="single" w:sz="8" w:space="0" w:color="auto"/>
        <w:bottom w:val="single" w:sz="8"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7">
    <w:name w:val="xl337"/>
    <w:basedOn w:val="Normal"/>
    <w:rsid w:val="004E5076"/>
    <w:pPr>
      <w:widowControl/>
      <w:pBdr>
        <w:top w:val="single" w:sz="8" w:space="0" w:color="auto"/>
        <w:lef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8">
    <w:name w:val="xl338"/>
    <w:basedOn w:val="Normal"/>
    <w:rsid w:val="004E5076"/>
    <w:pPr>
      <w:widowControl/>
      <w:pBdr>
        <w:top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39">
    <w:name w:val="xl339"/>
    <w:basedOn w:val="Normal"/>
    <w:rsid w:val="004E5076"/>
    <w:pPr>
      <w:widowControl/>
      <w:pBdr>
        <w:top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0">
    <w:name w:val="xl340"/>
    <w:basedOn w:val="Normal"/>
    <w:rsid w:val="004E5076"/>
    <w:pPr>
      <w:widowControl/>
      <w:pBdr>
        <w:left w:val="single" w:sz="8" w:space="0" w:color="auto"/>
        <w:bottom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1">
    <w:name w:val="xl341"/>
    <w:basedOn w:val="Normal"/>
    <w:rsid w:val="004E5076"/>
    <w:pPr>
      <w:widowControl/>
      <w:pBdr>
        <w:bottom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2">
    <w:name w:val="xl342"/>
    <w:basedOn w:val="Normal"/>
    <w:rsid w:val="004E5076"/>
    <w:pPr>
      <w:widowControl/>
      <w:pBdr>
        <w:bottom w:val="single" w:sz="4"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3">
    <w:name w:val="xl343"/>
    <w:basedOn w:val="Normal"/>
    <w:rsid w:val="004E5076"/>
    <w:pPr>
      <w:widowControl/>
      <w:pBdr>
        <w:lef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4">
    <w:name w:val="xl344"/>
    <w:basedOn w:val="Normal"/>
    <w:rsid w:val="004E5076"/>
    <w:pPr>
      <w:widowControl/>
      <w:pBdr>
        <w:left w:val="single" w:sz="8" w:space="0" w:color="auto"/>
        <w:bottom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5">
    <w:name w:val="xl345"/>
    <w:basedOn w:val="Normal"/>
    <w:rsid w:val="004E5076"/>
    <w:pPr>
      <w:widowControl/>
      <w:pBdr>
        <w:top w:val="single" w:sz="8" w:space="0" w:color="auto"/>
        <w:left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6">
    <w:name w:val="xl346"/>
    <w:basedOn w:val="Normal"/>
    <w:rsid w:val="004E5076"/>
    <w:pPr>
      <w:widowControl/>
      <w:pBdr>
        <w:left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7">
    <w:name w:val="xl347"/>
    <w:basedOn w:val="Normal"/>
    <w:rsid w:val="004E5076"/>
    <w:pPr>
      <w:widowControl/>
      <w:pBdr>
        <w:left w:val="single" w:sz="8" w:space="0" w:color="auto"/>
        <w:bottom w:val="single" w:sz="8" w:space="0" w:color="auto"/>
        <w:right w:val="single" w:sz="8"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8">
    <w:name w:val="xl34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n-US"/>
    </w:rPr>
  </w:style>
  <w:style w:type="paragraph" w:customStyle="1" w:styleId="xl349">
    <w:name w:val="xl34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n-US"/>
    </w:rPr>
  </w:style>
  <w:style w:type="character" w:customStyle="1" w:styleId="Mencinsinresolver15">
    <w:name w:val="Mención sin resolver15"/>
    <w:basedOn w:val="Fuentedeprrafopredeter"/>
    <w:uiPriority w:val="99"/>
    <w:rsid w:val="004E5076"/>
    <w:rPr>
      <w:rFonts w:cs="Times New Roman"/>
      <w:color w:val="605E5C"/>
      <w:shd w:val="clear" w:color="auto" w:fill="E1DFDD"/>
    </w:rPr>
  </w:style>
  <w:style w:type="table" w:styleId="Sombreadoclaro-nfasis1">
    <w:name w:val="Light Shading Accent 1"/>
    <w:basedOn w:val="Tablanormal"/>
    <w:uiPriority w:val="60"/>
    <w:unhideWhenUsed/>
    <w:rsid w:val="004E5076"/>
    <w:rPr>
      <w:rFonts w:ascii="Calibri" w:eastAsia="Calibri" w:hAnsi="Calibri" w:cs="Calibri"/>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xl83">
    <w:name w:val="xl83"/>
    <w:basedOn w:val="Normal"/>
    <w:rsid w:val="004E5076"/>
    <w:pPr>
      <w:widowControl/>
      <w:pBdr>
        <w:left w:val="single" w:sz="8"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4">
    <w:name w:val="xl84"/>
    <w:basedOn w:val="Normal"/>
    <w:rsid w:val="004E5076"/>
    <w:pPr>
      <w:widowControl/>
      <w:pBdr>
        <w:left w:val="single" w:sz="8" w:space="0" w:color="D9D9D9"/>
        <w:bottom w:val="single" w:sz="12"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5">
    <w:name w:val="xl85"/>
    <w:basedOn w:val="Normal"/>
    <w:rsid w:val="004E5076"/>
    <w:pPr>
      <w:widowControl/>
      <w:autoSpaceDE w:val="0"/>
      <w:autoSpaceDN w:val="0"/>
      <w:adjustRightInd w:val="0"/>
      <w:spacing w:before="100" w:beforeAutospacing="1" w:after="100" w:afterAutospacing="1" w:line="276" w:lineRule="auto"/>
      <w:jc w:val="both"/>
    </w:pPr>
    <w:rPr>
      <w:rFonts w:eastAsia="Times New Roman"/>
      <w:sz w:val="20"/>
      <w:szCs w:val="20"/>
      <w:lang w:val="es-ES_tradnl"/>
    </w:rPr>
  </w:style>
  <w:style w:type="paragraph" w:customStyle="1" w:styleId="xl86">
    <w:name w:val="xl86"/>
    <w:basedOn w:val="Normal"/>
    <w:rsid w:val="004E5076"/>
    <w:pPr>
      <w:widowControl/>
      <w:pBdr>
        <w:top w:val="single" w:sz="8" w:space="0" w:color="FFFFFF"/>
        <w:left w:val="single" w:sz="8" w:space="0" w:color="FFFFFF"/>
      </w:pBdr>
      <w:shd w:val="clear" w:color="000000" w:fill="008FCB"/>
      <w:autoSpaceDE w:val="0"/>
      <w:autoSpaceDN w:val="0"/>
      <w:adjustRightInd w:val="0"/>
      <w:spacing w:before="100" w:beforeAutospacing="1" w:after="100" w:afterAutospacing="1" w:line="276" w:lineRule="auto"/>
      <w:jc w:val="both"/>
    </w:pPr>
    <w:rPr>
      <w:rFonts w:eastAsia="Times New Roman"/>
      <w:b/>
      <w:color w:val="FFFFFF"/>
      <w:sz w:val="20"/>
      <w:szCs w:val="20"/>
      <w:lang w:val="es-ES_tradnl"/>
    </w:rPr>
  </w:style>
  <w:style w:type="paragraph" w:customStyle="1" w:styleId="xl87">
    <w:name w:val="xl87"/>
    <w:basedOn w:val="Normal"/>
    <w:rsid w:val="004E5076"/>
    <w:pPr>
      <w:widowControl/>
      <w:pBdr>
        <w:top w:val="single" w:sz="12" w:space="0" w:color="D9D9D9"/>
        <w:left w:val="single" w:sz="8" w:space="0" w:color="FFFFFF"/>
        <w:bottom w:val="single" w:sz="8" w:space="0" w:color="FFFFFF"/>
        <w:right w:val="single" w:sz="8" w:space="0" w:color="FFFFFF"/>
      </w:pBdr>
      <w:shd w:val="clear" w:color="000000" w:fill="808080"/>
      <w:autoSpaceDE w:val="0"/>
      <w:autoSpaceDN w:val="0"/>
      <w:adjustRightInd w:val="0"/>
      <w:spacing w:before="100" w:beforeAutospacing="1" w:after="100" w:afterAutospacing="1" w:line="276" w:lineRule="auto"/>
      <w:jc w:val="center"/>
    </w:pPr>
    <w:rPr>
      <w:rFonts w:eastAsia="Times New Roman"/>
      <w:b/>
      <w:color w:val="FFFFFF"/>
      <w:sz w:val="18"/>
      <w:szCs w:val="18"/>
      <w:lang w:val="es-ES_tradnl"/>
    </w:rPr>
  </w:style>
  <w:style w:type="paragraph" w:customStyle="1" w:styleId="xl88">
    <w:name w:val="xl88"/>
    <w:basedOn w:val="Normal"/>
    <w:rsid w:val="004E5076"/>
    <w:pPr>
      <w:widowControl/>
      <w:pBdr>
        <w:left w:val="single" w:sz="8"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89">
    <w:name w:val="xl89"/>
    <w:basedOn w:val="Normal"/>
    <w:rsid w:val="004E5076"/>
    <w:pPr>
      <w:widowControl/>
      <w:pBdr>
        <w:left w:val="single" w:sz="8" w:space="0" w:color="D9D9D9"/>
        <w:bottom w:val="single" w:sz="12" w:space="0" w:color="D9D9D9"/>
        <w:right w:val="single" w:sz="8" w:space="0" w:color="D9D9D9"/>
      </w:pBdr>
      <w:autoSpaceDE w:val="0"/>
      <w:autoSpaceDN w:val="0"/>
      <w:adjustRightInd w:val="0"/>
      <w:spacing w:before="100" w:beforeAutospacing="1" w:after="100" w:afterAutospacing="1" w:line="276" w:lineRule="auto"/>
      <w:jc w:val="center"/>
    </w:pPr>
    <w:rPr>
      <w:rFonts w:eastAsia="Times New Roman"/>
      <w:sz w:val="18"/>
      <w:szCs w:val="18"/>
      <w:lang w:val="es-ES_tradnl"/>
    </w:rPr>
  </w:style>
  <w:style w:type="paragraph" w:customStyle="1" w:styleId="xl90">
    <w:name w:val="xl90"/>
    <w:basedOn w:val="Normal"/>
    <w:rsid w:val="004E5076"/>
    <w:pPr>
      <w:widowControl/>
      <w:autoSpaceDE w:val="0"/>
      <w:autoSpaceDN w:val="0"/>
      <w:adjustRightInd w:val="0"/>
      <w:spacing w:before="100" w:beforeAutospacing="1" w:after="100" w:afterAutospacing="1" w:line="276" w:lineRule="auto"/>
      <w:jc w:val="both"/>
    </w:pPr>
    <w:rPr>
      <w:rFonts w:eastAsia="Times New Roman"/>
      <w:sz w:val="20"/>
      <w:szCs w:val="20"/>
      <w:lang w:val="es-ES_tradnl"/>
    </w:rPr>
  </w:style>
  <w:style w:type="paragraph" w:customStyle="1" w:styleId="xl122">
    <w:name w:val="xl122"/>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3">
    <w:name w:val="xl123"/>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24">
    <w:name w:val="xl124"/>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5">
    <w:name w:val="xl125"/>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6">
    <w:name w:val="xl126"/>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7">
    <w:name w:val="xl127"/>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28">
    <w:name w:val="xl128"/>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29">
    <w:name w:val="xl129"/>
    <w:basedOn w:val="Normal"/>
    <w:rsid w:val="004E5076"/>
    <w:pPr>
      <w:widowControl/>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0">
    <w:name w:val="xl130"/>
    <w:basedOn w:val="Normal"/>
    <w:rsid w:val="004E5076"/>
    <w:pPr>
      <w:widowControl/>
      <w:autoSpaceDE w:val="0"/>
      <w:autoSpaceDN w:val="0"/>
      <w:adjustRightInd w:val="0"/>
      <w:spacing w:before="100" w:beforeAutospacing="1" w:after="100" w:afterAutospacing="1" w:line="276" w:lineRule="auto"/>
      <w:jc w:val="right"/>
    </w:pPr>
    <w:rPr>
      <w:rFonts w:eastAsiaTheme="minorEastAsia"/>
      <w:b/>
      <w:sz w:val="16"/>
      <w:szCs w:val="16"/>
    </w:rPr>
  </w:style>
  <w:style w:type="paragraph" w:customStyle="1" w:styleId="xl131">
    <w:name w:val="xl131"/>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32">
    <w:name w:val="xl132"/>
    <w:basedOn w:val="Normal"/>
    <w:rsid w:val="004E5076"/>
    <w:pPr>
      <w:widowControl/>
      <w:autoSpaceDE w:val="0"/>
      <w:autoSpaceDN w:val="0"/>
      <w:adjustRightInd w:val="0"/>
      <w:spacing w:before="100" w:beforeAutospacing="1" w:after="100" w:afterAutospacing="1" w:line="276" w:lineRule="auto"/>
      <w:jc w:val="both"/>
    </w:pPr>
    <w:rPr>
      <w:rFonts w:eastAsiaTheme="minorEastAsia"/>
      <w:sz w:val="16"/>
      <w:szCs w:val="16"/>
      <w:u w:val="single"/>
    </w:rPr>
  </w:style>
  <w:style w:type="paragraph" w:customStyle="1" w:styleId="xl133">
    <w:name w:val="xl133"/>
    <w:basedOn w:val="Normal"/>
    <w:rsid w:val="004E5076"/>
    <w:pPr>
      <w:widowControl/>
      <w:pBdr>
        <w:top w:val="single" w:sz="8" w:space="0" w:color="auto"/>
        <w:left w:val="single" w:sz="8" w:space="0" w:color="auto"/>
        <w:bottom w:val="single" w:sz="8"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4">
    <w:name w:val="xl134"/>
    <w:basedOn w:val="Normal"/>
    <w:rsid w:val="004E5076"/>
    <w:pPr>
      <w:widowControl/>
      <w:pBdr>
        <w:top w:val="single" w:sz="8" w:space="0" w:color="auto"/>
        <w:left w:val="single" w:sz="4" w:space="0" w:color="auto"/>
        <w:bottom w:val="single" w:sz="8"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5">
    <w:name w:val="xl135"/>
    <w:basedOn w:val="Normal"/>
    <w:rsid w:val="004E5076"/>
    <w:pPr>
      <w:widowControl/>
      <w:pBdr>
        <w:top w:val="single" w:sz="8" w:space="0" w:color="auto"/>
        <w:left w:val="single" w:sz="4" w:space="0" w:color="auto"/>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6">
    <w:name w:val="xl136"/>
    <w:basedOn w:val="Normal"/>
    <w:rsid w:val="004E5076"/>
    <w:pPr>
      <w:widowControl/>
      <w:pBdr>
        <w:top w:val="single" w:sz="8" w:space="0" w:color="auto"/>
        <w:left w:val="single" w:sz="8"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37">
    <w:name w:val="xl137"/>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38">
    <w:name w:val="xl138"/>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39">
    <w:name w:val="xl139"/>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0">
    <w:name w:val="xl140"/>
    <w:basedOn w:val="Normal"/>
    <w:rsid w:val="004E5076"/>
    <w:pPr>
      <w:widowControl/>
      <w:pBdr>
        <w:top w:val="single" w:sz="8" w:space="0" w:color="auto"/>
        <w:left w:val="single" w:sz="4" w:space="0" w:color="auto"/>
        <w:bottom w:val="single" w:sz="4"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1">
    <w:name w:val="xl141"/>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42">
    <w:name w:val="xl14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3">
    <w:name w:val="xl14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4">
    <w:name w:val="xl14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5">
    <w:name w:val="xl145"/>
    <w:basedOn w:val="Normal"/>
    <w:rsid w:val="004E5076"/>
    <w:pPr>
      <w:widowControl/>
      <w:pBdr>
        <w:top w:val="single" w:sz="4" w:space="0" w:color="auto"/>
        <w:left w:val="single" w:sz="4" w:space="0" w:color="auto"/>
        <w:bottom w:val="single" w:sz="4"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46">
    <w:name w:val="xl14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7">
    <w:name w:val="xl14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48">
    <w:name w:val="xl14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49">
    <w:name w:val="xl149"/>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0">
    <w:name w:val="xl150"/>
    <w:basedOn w:val="Normal"/>
    <w:rsid w:val="004E5076"/>
    <w:pPr>
      <w:widowControl/>
      <w:pBdr>
        <w:top w:val="single" w:sz="4" w:space="0" w:color="auto"/>
        <w:left w:val="single" w:sz="8"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1">
    <w:name w:val="xl151"/>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52">
    <w:name w:val="xl152"/>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3">
    <w:name w:val="xl153"/>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4">
    <w:name w:val="xl154"/>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5">
    <w:name w:val="xl155"/>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56">
    <w:name w:val="xl156"/>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57">
    <w:name w:val="xl157"/>
    <w:basedOn w:val="Normal"/>
    <w:rsid w:val="004E5076"/>
    <w:pPr>
      <w:widowControl/>
      <w:pBdr>
        <w:top w:val="single" w:sz="4" w:space="0" w:color="auto"/>
        <w:left w:val="single" w:sz="4" w:space="0" w:color="auto"/>
        <w:bottom w:val="double" w:sz="6"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58">
    <w:name w:val="xl158"/>
    <w:basedOn w:val="Normal"/>
    <w:rsid w:val="004E5076"/>
    <w:pPr>
      <w:widowControl/>
      <w:pBdr>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59">
    <w:name w:val="xl159"/>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60">
    <w:name w:val="xl160"/>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1">
    <w:name w:val="xl161"/>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2">
    <w:name w:val="xl162"/>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3">
    <w:name w:val="xl163"/>
    <w:basedOn w:val="Normal"/>
    <w:rsid w:val="004E5076"/>
    <w:pPr>
      <w:widowControl/>
      <w:pBdr>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64">
    <w:name w:val="xl164"/>
    <w:basedOn w:val="Normal"/>
    <w:rsid w:val="004E5076"/>
    <w:pPr>
      <w:widowControl/>
      <w:pBdr>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65">
    <w:name w:val="xl165"/>
    <w:basedOn w:val="Normal"/>
    <w:rsid w:val="004E5076"/>
    <w:pPr>
      <w:widowControl/>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66">
    <w:name w:val="xl166"/>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7">
    <w:name w:val="xl167"/>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68">
    <w:name w:val="xl168"/>
    <w:basedOn w:val="Normal"/>
    <w:rsid w:val="004E5076"/>
    <w:pPr>
      <w:widowControl/>
      <w:pBdr>
        <w:top w:val="single" w:sz="8" w:space="0" w:color="auto"/>
        <w:left w:val="single" w:sz="4" w:space="0" w:color="auto"/>
        <w:bottom w:val="single" w:sz="4" w:space="0" w:color="auto"/>
        <w:right w:val="single" w:sz="4"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69">
    <w:name w:val="xl169"/>
    <w:basedOn w:val="Normal"/>
    <w:rsid w:val="004E5076"/>
    <w:pPr>
      <w:widowControl/>
      <w:pBdr>
        <w:top w:val="single" w:sz="8" w:space="0" w:color="auto"/>
        <w:left w:val="single" w:sz="4" w:space="0" w:color="auto"/>
        <w:bottom w:val="single" w:sz="4"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70">
    <w:name w:val="xl170"/>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1">
    <w:name w:val="xl171"/>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2">
    <w:name w:val="xl172"/>
    <w:basedOn w:val="Normal"/>
    <w:rsid w:val="004E5076"/>
    <w:pPr>
      <w:widowControl/>
      <w:pBdr>
        <w:top w:val="single" w:sz="4" w:space="0" w:color="auto"/>
        <w:left w:val="single" w:sz="8"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3">
    <w:name w:val="xl173"/>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74">
    <w:name w:val="xl174"/>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5">
    <w:name w:val="xl175"/>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6">
    <w:name w:val="xl176"/>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77">
    <w:name w:val="xl177"/>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78">
    <w:name w:val="xl178"/>
    <w:basedOn w:val="Normal"/>
    <w:rsid w:val="004E5076"/>
    <w:pPr>
      <w:widowControl/>
      <w:pBdr>
        <w:top w:val="single" w:sz="4" w:space="0" w:color="auto"/>
        <w:left w:val="single" w:sz="4" w:space="0" w:color="auto"/>
        <w:right w:val="single" w:sz="8"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79">
    <w:name w:val="xl179"/>
    <w:basedOn w:val="Normal"/>
    <w:rsid w:val="004E5076"/>
    <w:pPr>
      <w:widowControl/>
      <w:pBdr>
        <w:top w:val="single" w:sz="4" w:space="0" w:color="auto"/>
        <w:left w:val="single" w:sz="4" w:space="0" w:color="auto"/>
        <w:bottom w:val="double" w:sz="6"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0">
    <w:name w:val="xl180"/>
    <w:basedOn w:val="Normal"/>
    <w:rsid w:val="004E5076"/>
    <w:pPr>
      <w:widowControl/>
      <w:pBdr>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1">
    <w:name w:val="xl181"/>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2">
    <w:name w:val="xl182"/>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3">
    <w:name w:val="xl183"/>
    <w:basedOn w:val="Normal"/>
    <w:rsid w:val="004E5076"/>
    <w:pPr>
      <w:widowControl/>
      <w:pBdr>
        <w:top w:val="single" w:sz="8" w:space="0" w:color="auto"/>
        <w:left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4">
    <w:name w:val="xl184"/>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5">
    <w:name w:val="xl185"/>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6">
    <w:name w:val="xl186"/>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87">
    <w:name w:val="xl187"/>
    <w:basedOn w:val="Normal"/>
    <w:rsid w:val="004E5076"/>
    <w:pPr>
      <w:widowControl/>
      <w:pBdr>
        <w:top w:val="single" w:sz="8" w:space="0" w:color="auto"/>
        <w:bottom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88">
    <w:name w:val="xl188"/>
    <w:basedOn w:val="Normal"/>
    <w:rsid w:val="004E5076"/>
    <w:pPr>
      <w:widowControl/>
      <w:pBdr>
        <w:top w:val="single" w:sz="8" w:space="0" w:color="auto"/>
        <w:bottom w:val="single" w:sz="8" w:space="0" w:color="auto"/>
        <w:right w:val="single" w:sz="8" w:space="0" w:color="auto"/>
      </w:pBdr>
      <w:shd w:val="clear" w:color="000000" w:fill="99CCFF"/>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89">
    <w:name w:val="xl189"/>
    <w:basedOn w:val="Normal"/>
    <w:rsid w:val="004E5076"/>
    <w:pPr>
      <w:widowControl/>
      <w:pBdr>
        <w:bottom w:val="double" w:sz="6"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90">
    <w:name w:val="xl190"/>
    <w:basedOn w:val="Normal"/>
    <w:rsid w:val="004E5076"/>
    <w:pPr>
      <w:widowControl/>
      <w:autoSpaceDE w:val="0"/>
      <w:autoSpaceDN w:val="0"/>
      <w:adjustRightInd w:val="0"/>
      <w:spacing w:before="100" w:beforeAutospacing="1" w:after="100" w:afterAutospacing="1" w:line="276" w:lineRule="auto"/>
      <w:jc w:val="center"/>
    </w:pPr>
    <w:rPr>
      <w:rFonts w:eastAsiaTheme="minorEastAsia"/>
      <w:sz w:val="16"/>
      <w:szCs w:val="16"/>
      <w:u w:val="single"/>
    </w:rPr>
  </w:style>
  <w:style w:type="paragraph" w:customStyle="1" w:styleId="xl191">
    <w:name w:val="xl191"/>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192">
    <w:name w:val="xl19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3">
    <w:name w:val="xl19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4">
    <w:name w:val="xl19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 w:val="16"/>
      <w:szCs w:val="16"/>
    </w:rPr>
  </w:style>
  <w:style w:type="paragraph" w:customStyle="1" w:styleId="xl195">
    <w:name w:val="xl19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96">
    <w:name w:val="xl19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97">
    <w:name w:val="xl19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198">
    <w:name w:val="xl198"/>
    <w:basedOn w:val="Normal"/>
    <w:rsid w:val="004E5076"/>
    <w:pPr>
      <w:widowControl/>
      <w:pBdr>
        <w:bottom w:val="double" w:sz="6" w:space="0" w:color="auto"/>
      </w:pBdr>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199">
    <w:name w:val="xl199"/>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0">
    <w:name w:val="xl200"/>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1">
    <w:name w:val="xl201"/>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2">
    <w:name w:val="xl202"/>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3">
    <w:name w:val="xl203"/>
    <w:basedOn w:val="Normal"/>
    <w:rsid w:val="004E5076"/>
    <w:pPr>
      <w:widowControl/>
      <w:pBdr>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 w:val="16"/>
      <w:szCs w:val="16"/>
    </w:rPr>
  </w:style>
  <w:style w:type="paragraph" w:customStyle="1" w:styleId="xl204">
    <w:name w:val="xl204"/>
    <w:basedOn w:val="Normal"/>
    <w:rsid w:val="004E5076"/>
    <w:pPr>
      <w:widowControl/>
      <w:autoSpaceDE w:val="0"/>
      <w:autoSpaceDN w:val="0"/>
      <w:adjustRightInd w:val="0"/>
      <w:spacing w:before="100" w:beforeAutospacing="1" w:after="100" w:afterAutospacing="1" w:line="276" w:lineRule="auto"/>
      <w:jc w:val="both"/>
    </w:pPr>
    <w:rPr>
      <w:rFonts w:eastAsiaTheme="minorEastAsia"/>
      <w:b/>
      <w:sz w:val="16"/>
      <w:szCs w:val="16"/>
    </w:rPr>
  </w:style>
  <w:style w:type="paragraph" w:customStyle="1" w:styleId="xl205">
    <w:name w:val="xl205"/>
    <w:basedOn w:val="Normal"/>
    <w:rsid w:val="004E5076"/>
    <w:pPr>
      <w:widowControl/>
      <w:pBdr>
        <w:top w:val="single" w:sz="4" w:space="0" w:color="auto"/>
        <w:lef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6">
    <w:name w:val="xl206"/>
    <w:basedOn w:val="Normal"/>
    <w:rsid w:val="004E5076"/>
    <w:pPr>
      <w:widowControl/>
      <w:pBdr>
        <w:top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7">
    <w:name w:val="xl207"/>
    <w:basedOn w:val="Normal"/>
    <w:rsid w:val="004E5076"/>
    <w:pPr>
      <w:widowControl/>
      <w:pBdr>
        <w:top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8">
    <w:name w:val="xl208"/>
    <w:basedOn w:val="Normal"/>
    <w:rsid w:val="004E5076"/>
    <w:pPr>
      <w:widowControl/>
      <w:pBdr>
        <w:lef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09">
    <w:name w:val="xl209"/>
    <w:basedOn w:val="Normal"/>
    <w:rsid w:val="004E5076"/>
    <w:pPr>
      <w:widowControl/>
      <w:pBdr>
        <w:right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10">
    <w:name w:val="xl210"/>
    <w:basedOn w:val="Normal"/>
    <w:rsid w:val="004E5076"/>
    <w:pPr>
      <w:widowControl/>
      <w:pBdr>
        <w:left w:val="single" w:sz="4" w:space="0" w:color="auto"/>
        <w:bottom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11">
    <w:name w:val="xl211"/>
    <w:basedOn w:val="Normal"/>
    <w:rsid w:val="004E5076"/>
    <w:pPr>
      <w:widowControl/>
      <w:pBdr>
        <w:bottom w:val="single" w:sz="4" w:space="0" w:color="auto"/>
      </w:pBdr>
      <w:autoSpaceDE w:val="0"/>
      <w:autoSpaceDN w:val="0"/>
      <w:adjustRightInd w:val="0"/>
      <w:spacing w:before="100" w:beforeAutospacing="1" w:after="100" w:afterAutospacing="1" w:line="276" w:lineRule="auto"/>
      <w:jc w:val="center"/>
    </w:pPr>
    <w:rPr>
      <w:rFonts w:eastAsiaTheme="minorEastAsia"/>
      <w:sz w:val="16"/>
      <w:szCs w:val="16"/>
    </w:rPr>
  </w:style>
  <w:style w:type="paragraph" w:customStyle="1" w:styleId="xl222">
    <w:name w:val="xl222"/>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3">
    <w:name w:val="xl22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4">
    <w:name w:val="xl224"/>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5">
    <w:name w:val="xl22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26">
    <w:name w:val="xl22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27">
    <w:name w:val="xl227"/>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28">
    <w:name w:val="xl228"/>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both"/>
    </w:pPr>
    <w:rPr>
      <w:rFonts w:eastAsiaTheme="minorEastAsia"/>
      <w:b/>
      <w:color w:val="FFFFFF"/>
      <w:szCs w:val="24"/>
      <w:lang w:val="es-ES_tradnl"/>
    </w:rPr>
  </w:style>
  <w:style w:type="paragraph" w:customStyle="1" w:styleId="xl229">
    <w:name w:val="xl229"/>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0">
    <w:name w:val="xl230"/>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31">
    <w:name w:val="xl23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32">
    <w:name w:val="xl23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3">
    <w:name w:val="xl233"/>
    <w:basedOn w:val="Normal"/>
    <w:rsid w:val="004E5076"/>
    <w:pPr>
      <w:widowControl/>
      <w:pBdr>
        <w:top w:val="single" w:sz="4" w:space="0" w:color="auto"/>
        <w:left w:val="single" w:sz="4" w:space="9"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ind w:firstLine="100"/>
      <w:jc w:val="both"/>
    </w:pPr>
    <w:rPr>
      <w:rFonts w:eastAsiaTheme="minorEastAsia"/>
      <w:szCs w:val="24"/>
      <w:lang w:val="es-ES_tradnl"/>
    </w:rPr>
  </w:style>
  <w:style w:type="paragraph" w:customStyle="1" w:styleId="xl234">
    <w:name w:val="xl23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5">
    <w:name w:val="xl23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36">
    <w:name w:val="xl23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37">
    <w:name w:val="xl23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38">
    <w:name w:val="xl23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39">
    <w:name w:val="xl23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40">
    <w:name w:val="xl24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41">
    <w:name w:val="xl24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2">
    <w:name w:val="xl24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3">
    <w:name w:val="xl243"/>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4">
    <w:name w:val="xl24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45">
    <w:name w:val="xl24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46">
    <w:name w:val="xl24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7">
    <w:name w:val="xl247"/>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48">
    <w:name w:val="xl248"/>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49">
    <w:name w:val="xl249"/>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0">
    <w:name w:val="xl250"/>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1">
    <w:name w:val="xl251"/>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52">
    <w:name w:val="xl25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3">
    <w:name w:val="xl253"/>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4">
    <w:name w:val="xl25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5">
    <w:name w:val="xl25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6">
    <w:name w:val="xl256"/>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7">
    <w:name w:val="xl25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58">
    <w:name w:val="xl25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59">
    <w:name w:val="xl25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0">
    <w:name w:val="xl26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1">
    <w:name w:val="xl26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2">
    <w:name w:val="xl26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3">
    <w:name w:val="xl26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64">
    <w:name w:val="xl264"/>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5">
    <w:name w:val="xl265"/>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66">
    <w:name w:val="xl266"/>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7">
    <w:name w:val="xl267"/>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68">
    <w:name w:val="xl268"/>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TituloESSALUD6">
    <w:name w:val="Titulo ESSALUD 6"/>
    <w:basedOn w:val="Ttulo6"/>
    <w:next w:val="Normal"/>
    <w:qFormat/>
    <w:rsid w:val="004E5076"/>
    <w:pPr>
      <w:keepLines w:val="0"/>
      <w:tabs>
        <w:tab w:val="num" w:pos="1152"/>
      </w:tabs>
      <w:autoSpaceDE w:val="0"/>
      <w:autoSpaceDN w:val="0"/>
      <w:adjustRightInd w:val="0"/>
      <w:spacing w:before="0" w:after="240"/>
      <w:ind w:left="1985" w:hanging="1134"/>
    </w:pPr>
    <w:rPr>
      <w:rFonts w:eastAsiaTheme="minorEastAsia" w:cs="Times New Roman"/>
      <w:b/>
      <w:i w:val="0"/>
      <w:iCs w:val="0"/>
      <w:color w:val="008ECB"/>
      <w:szCs w:val="20"/>
      <w:lang w:val="es-ES_tradnl"/>
    </w:rPr>
  </w:style>
  <w:style w:type="paragraph" w:customStyle="1" w:styleId="Titulo7ESSALUD">
    <w:name w:val="Titulo 7 ESSALUD"/>
    <w:basedOn w:val="Ttulo7"/>
    <w:next w:val="Normal"/>
    <w:qFormat/>
    <w:rsid w:val="004E5076"/>
    <w:pPr>
      <w:keepLines w:val="0"/>
      <w:tabs>
        <w:tab w:val="num" w:pos="1296"/>
      </w:tabs>
      <w:autoSpaceDE w:val="0"/>
      <w:autoSpaceDN w:val="0"/>
      <w:adjustRightInd w:val="0"/>
      <w:spacing w:before="0" w:after="240"/>
      <w:ind w:left="2551" w:hanging="1457"/>
      <w:jc w:val="both"/>
    </w:pPr>
    <w:rPr>
      <w:rFonts w:eastAsiaTheme="minorEastAsia" w:cs="Times New Roman"/>
      <w:color w:val="008ECB"/>
      <w:szCs w:val="20"/>
    </w:rPr>
  </w:style>
  <w:style w:type="paragraph" w:customStyle="1" w:styleId="TITULO8ESSALUD">
    <w:name w:val="TITULO 8 ESSALUD"/>
    <w:basedOn w:val="Ttulo8"/>
    <w:next w:val="Normal"/>
    <w:qFormat/>
    <w:rsid w:val="004E5076"/>
    <w:pPr>
      <w:keepNext w:val="0"/>
      <w:keepLines w:val="0"/>
      <w:tabs>
        <w:tab w:val="num" w:pos="1440"/>
      </w:tabs>
      <w:autoSpaceDE w:val="0"/>
      <w:autoSpaceDN w:val="0"/>
      <w:adjustRightInd w:val="0"/>
      <w:spacing w:after="240"/>
      <w:ind w:left="3119" w:hanging="1622"/>
      <w:jc w:val="both"/>
    </w:pPr>
    <w:rPr>
      <w:rFonts w:eastAsiaTheme="minorEastAsia" w:cs="Times New Roman"/>
      <w:i w:val="0"/>
      <w:iCs w:val="0"/>
      <w:color w:val="008ECB"/>
      <w:szCs w:val="24"/>
    </w:rPr>
  </w:style>
  <w:style w:type="paragraph" w:customStyle="1" w:styleId="xl280">
    <w:name w:val="xl280"/>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81">
    <w:name w:val="xl281"/>
    <w:basedOn w:val="Normal"/>
    <w:rsid w:val="004E5076"/>
    <w:pPr>
      <w:widowControl/>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2">
    <w:name w:val="xl282"/>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83">
    <w:name w:val="xl28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84">
    <w:name w:val="xl284"/>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5">
    <w:name w:val="xl285"/>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86">
    <w:name w:val="xl286"/>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7">
    <w:name w:val="xl287"/>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8">
    <w:name w:val="xl288"/>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89">
    <w:name w:val="xl289"/>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290">
    <w:name w:val="xl290"/>
    <w:basedOn w:val="Normal"/>
    <w:rsid w:val="004E5076"/>
    <w:pPr>
      <w:widowControl/>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1">
    <w:name w:val="xl291"/>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both"/>
    </w:pPr>
    <w:rPr>
      <w:rFonts w:eastAsiaTheme="minorEastAsia"/>
      <w:b/>
      <w:color w:val="FFFFFF"/>
      <w:szCs w:val="24"/>
      <w:lang w:val="es-ES_tradnl"/>
    </w:rPr>
  </w:style>
  <w:style w:type="paragraph" w:customStyle="1" w:styleId="xl292">
    <w:name w:val="xl292"/>
    <w:basedOn w:val="Normal"/>
    <w:rsid w:val="004E5076"/>
    <w:pPr>
      <w:widowControl/>
      <w:pBdr>
        <w:top w:val="single" w:sz="4" w:space="0" w:color="auto"/>
        <w:left w:val="single" w:sz="4" w:space="0" w:color="auto"/>
        <w:bottom w:val="single" w:sz="4" w:space="0" w:color="auto"/>
        <w:right w:val="single" w:sz="4" w:space="0" w:color="auto"/>
      </w:pBdr>
      <w:shd w:val="clear" w:color="000000" w:fill="FFFF00"/>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3">
    <w:name w:val="xl293"/>
    <w:basedOn w:val="Normal"/>
    <w:rsid w:val="004E5076"/>
    <w:pPr>
      <w:widowControl/>
      <w:pBdr>
        <w:top w:val="single" w:sz="4" w:space="0" w:color="auto"/>
        <w:left w:val="single" w:sz="4" w:space="0" w:color="auto"/>
        <w:bottom w:val="single" w:sz="4" w:space="0" w:color="auto"/>
        <w:right w:val="single" w:sz="4" w:space="0" w:color="auto"/>
      </w:pBdr>
      <w:shd w:val="clear" w:color="000000" w:fill="5B9BD5"/>
      <w:autoSpaceDE w:val="0"/>
      <w:autoSpaceDN w:val="0"/>
      <w:adjustRightInd w:val="0"/>
      <w:spacing w:before="100" w:beforeAutospacing="1" w:after="100" w:afterAutospacing="1" w:line="276" w:lineRule="auto"/>
      <w:jc w:val="center"/>
    </w:pPr>
    <w:rPr>
      <w:rFonts w:eastAsiaTheme="minorEastAsia"/>
      <w:b/>
      <w:color w:val="FFFFFF"/>
      <w:szCs w:val="24"/>
      <w:lang w:val="es-ES_tradnl"/>
    </w:rPr>
  </w:style>
  <w:style w:type="paragraph" w:customStyle="1" w:styleId="xl294">
    <w:name w:val="xl294"/>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szCs w:val="24"/>
      <w:lang w:val="es-ES_tradnl"/>
    </w:rPr>
  </w:style>
  <w:style w:type="paragraph" w:customStyle="1" w:styleId="xl295">
    <w:name w:val="xl295"/>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6">
    <w:name w:val="xl296"/>
    <w:basedOn w:val="Normal"/>
    <w:rsid w:val="004E5076"/>
    <w:pPr>
      <w:widowControl/>
      <w:pBdr>
        <w:top w:val="single" w:sz="4" w:space="0" w:color="auto"/>
        <w:left w:val="single" w:sz="4" w:space="9"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ind w:firstLine="100"/>
      <w:jc w:val="both"/>
    </w:pPr>
    <w:rPr>
      <w:rFonts w:eastAsiaTheme="minorEastAsia"/>
      <w:szCs w:val="24"/>
      <w:lang w:val="es-ES_tradnl"/>
    </w:rPr>
  </w:style>
  <w:style w:type="paragraph" w:customStyle="1" w:styleId="xl297">
    <w:name w:val="xl297"/>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298">
    <w:name w:val="xl298"/>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xl299">
    <w:name w:val="xl299"/>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300">
    <w:name w:val="xl300"/>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szCs w:val="24"/>
      <w:lang w:val="es-ES_tradnl"/>
    </w:rPr>
  </w:style>
  <w:style w:type="paragraph" w:customStyle="1" w:styleId="xl301">
    <w:name w:val="xl301"/>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center"/>
    </w:pPr>
    <w:rPr>
      <w:rFonts w:eastAsiaTheme="minorEastAsia"/>
      <w:b/>
      <w:szCs w:val="24"/>
      <w:lang w:val="es-ES_tradnl"/>
    </w:rPr>
  </w:style>
  <w:style w:type="paragraph" w:customStyle="1" w:styleId="xl302">
    <w:name w:val="xl302"/>
    <w:basedOn w:val="Normal"/>
    <w:rsid w:val="004E5076"/>
    <w:pPr>
      <w:widowControl/>
      <w:pBdr>
        <w:top w:val="single" w:sz="4" w:space="0" w:color="auto"/>
        <w:left w:val="single" w:sz="4" w:space="0" w:color="auto"/>
        <w:bottom w:val="single" w:sz="4" w:space="0" w:color="auto"/>
        <w:right w:val="single" w:sz="4" w:space="0" w:color="auto"/>
      </w:pBdr>
      <w:shd w:val="clear" w:color="000000" w:fill="F2F2F2"/>
      <w:autoSpaceDE w:val="0"/>
      <w:autoSpaceDN w:val="0"/>
      <w:adjustRightInd w:val="0"/>
      <w:spacing w:before="100" w:beforeAutospacing="1" w:after="100" w:afterAutospacing="1" w:line="276" w:lineRule="auto"/>
      <w:jc w:val="both"/>
    </w:pPr>
    <w:rPr>
      <w:rFonts w:eastAsiaTheme="minorEastAsia"/>
      <w:b/>
      <w:szCs w:val="24"/>
      <w:lang w:val="es-ES_tradnl"/>
    </w:rPr>
  </w:style>
  <w:style w:type="paragraph" w:customStyle="1" w:styleId="Estilo3">
    <w:name w:val="Estilo3"/>
    <w:basedOn w:val="Normal"/>
    <w:qFormat/>
    <w:rsid w:val="004E5076"/>
    <w:pPr>
      <w:widowControl/>
      <w:tabs>
        <w:tab w:val="left" w:pos="993"/>
        <w:tab w:val="num" w:pos="2880"/>
      </w:tabs>
      <w:autoSpaceDE w:val="0"/>
      <w:autoSpaceDN w:val="0"/>
      <w:adjustRightInd w:val="0"/>
      <w:spacing w:line="360" w:lineRule="auto"/>
      <w:jc w:val="both"/>
    </w:pPr>
    <w:rPr>
      <w:rFonts w:ascii="Calibri" w:eastAsia="MS Gothic" w:hAnsi="Calibri" w:cs="Times New Roman"/>
      <w:sz w:val="20"/>
      <w:szCs w:val="20"/>
      <w:lang w:val="pt-BR"/>
    </w:rPr>
  </w:style>
  <w:style w:type="character" w:customStyle="1" w:styleId="Estilo3Char">
    <w:name w:val="Estilo3 Char"/>
    <w:rsid w:val="004E5076"/>
    <w:rPr>
      <w:rFonts w:eastAsia="MS Gothic"/>
      <w:sz w:val="20"/>
      <w:lang w:val="pt-BR"/>
    </w:rPr>
  </w:style>
  <w:style w:type="character" w:customStyle="1" w:styleId="Mencinsinresolver21">
    <w:name w:val="Mención sin resolver21"/>
    <w:basedOn w:val="Fuentedeprrafopredeter"/>
    <w:uiPriority w:val="99"/>
    <w:rsid w:val="004E5076"/>
    <w:rPr>
      <w:rFonts w:cs="Times New Roman"/>
      <w:color w:val="605E5C"/>
      <w:shd w:val="clear" w:color="auto" w:fill="E1DFDD"/>
    </w:rPr>
  </w:style>
  <w:style w:type="character" w:customStyle="1" w:styleId="UnresolvedMention1">
    <w:name w:val="Unresolved Mention1"/>
    <w:basedOn w:val="Fuentedeprrafopredeter"/>
    <w:uiPriority w:val="99"/>
    <w:rsid w:val="004E5076"/>
    <w:rPr>
      <w:rFonts w:cs="Times New Roman"/>
      <w:color w:val="605E5C"/>
      <w:shd w:val="clear" w:color="auto" w:fill="E1DFDD"/>
    </w:rPr>
  </w:style>
  <w:style w:type="character" w:customStyle="1" w:styleId="EstiloCar">
    <w:name w:val="Estilo Car"/>
    <w:rsid w:val="004E5076"/>
    <w:rPr>
      <w:rFonts w:ascii="Arial" w:hAnsi="Arial"/>
      <w:b/>
      <w:sz w:val="24"/>
      <w:lang w:val="es-MX"/>
    </w:rPr>
  </w:style>
  <w:style w:type="character" w:customStyle="1" w:styleId="UnresolvedMention2">
    <w:name w:val="Unresolved Mention2"/>
    <w:basedOn w:val="Fuentedeprrafopredeter"/>
    <w:uiPriority w:val="99"/>
    <w:rsid w:val="004E5076"/>
    <w:rPr>
      <w:rFonts w:cs="Times New Roman"/>
      <w:color w:val="605E5C"/>
      <w:shd w:val="clear" w:color="auto" w:fill="E1DFDD"/>
    </w:rPr>
  </w:style>
  <w:style w:type="character" w:customStyle="1" w:styleId="UnresolvedMention3">
    <w:name w:val="Unresolved Mention3"/>
    <w:basedOn w:val="Fuentedeprrafopredeter"/>
    <w:uiPriority w:val="99"/>
    <w:rsid w:val="004E5076"/>
    <w:rPr>
      <w:rFonts w:cs="Times New Roman"/>
      <w:color w:val="605E5C"/>
      <w:shd w:val="clear" w:color="auto" w:fill="E1DFDD"/>
    </w:rPr>
  </w:style>
  <w:style w:type="paragraph" w:customStyle="1" w:styleId="xl16361">
    <w:name w:val="xl16361"/>
    <w:basedOn w:val="Normal"/>
    <w:rsid w:val="004E5076"/>
    <w:pPr>
      <w:widowControl/>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2">
    <w:name w:val="xl16362"/>
    <w:basedOn w:val="Normal"/>
    <w:rsid w:val="004E5076"/>
    <w:pPr>
      <w:widowControl/>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3">
    <w:name w:val="xl16363"/>
    <w:basedOn w:val="Normal"/>
    <w:rsid w:val="004E5076"/>
    <w:pPr>
      <w:widowControl/>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4">
    <w:name w:val="xl16364"/>
    <w:basedOn w:val="Normal"/>
    <w:rsid w:val="004E5076"/>
    <w:pPr>
      <w:widowControl/>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5">
    <w:name w:val="xl16365"/>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pPr>
    <w:rPr>
      <w:rFonts w:ascii="Garamond" w:eastAsiaTheme="minorEastAsia" w:hAnsi="Garamond" w:cs="Times New Roman"/>
      <w:sz w:val="20"/>
      <w:szCs w:val="20"/>
      <w:lang w:val="en-US"/>
    </w:rPr>
  </w:style>
  <w:style w:type="paragraph" w:customStyle="1" w:styleId="xl16366">
    <w:name w:val="xl16366"/>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7">
    <w:name w:val="xl16367"/>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8">
    <w:name w:val="xl16368"/>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69">
    <w:name w:val="xl16369"/>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0">
    <w:name w:val="xl16370"/>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1">
    <w:name w:val="xl16371"/>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color w:val="333333"/>
      <w:sz w:val="20"/>
      <w:szCs w:val="20"/>
      <w:lang w:val="en-US"/>
    </w:rPr>
  </w:style>
  <w:style w:type="paragraph" w:customStyle="1" w:styleId="xl16372">
    <w:name w:val="xl16372"/>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3">
    <w:name w:val="xl16373"/>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customStyle="1" w:styleId="xl16374">
    <w:name w:val="xl16374"/>
    <w:basedOn w:val="Normal"/>
    <w:rsid w:val="004E5076"/>
    <w:pPr>
      <w:widowControl/>
      <w:pBdr>
        <w:top w:val="single" w:sz="4" w:space="0" w:color="5B9BD5"/>
        <w:left w:val="single" w:sz="4" w:space="0" w:color="5B9BD5"/>
        <w:bottom w:val="single" w:sz="4" w:space="0" w:color="5B9BD5"/>
        <w:right w:val="single" w:sz="4" w:space="0" w:color="5B9BD5"/>
      </w:pBdr>
      <w:autoSpaceDE w:val="0"/>
      <w:autoSpaceDN w:val="0"/>
      <w:adjustRightInd w:val="0"/>
      <w:spacing w:before="100" w:beforeAutospacing="1" w:after="100" w:afterAutospacing="1"/>
      <w:jc w:val="center"/>
    </w:pPr>
    <w:rPr>
      <w:rFonts w:ascii="Garamond" w:eastAsiaTheme="minorEastAsia" w:hAnsi="Garamond" w:cs="Times New Roman"/>
      <w:sz w:val="20"/>
      <w:szCs w:val="20"/>
      <w:lang w:val="en-US"/>
    </w:rPr>
  </w:style>
  <w:style w:type="paragraph" w:styleId="Bibliografa">
    <w:name w:val="Bibliography"/>
    <w:basedOn w:val="Normal"/>
    <w:next w:val="Normal"/>
    <w:uiPriority w:val="37"/>
    <w:rsid w:val="004E5076"/>
    <w:pPr>
      <w:widowControl/>
      <w:autoSpaceDE w:val="0"/>
      <w:autoSpaceDN w:val="0"/>
      <w:adjustRightInd w:val="0"/>
      <w:spacing w:line="259" w:lineRule="auto"/>
      <w:jc w:val="both"/>
    </w:pPr>
    <w:rPr>
      <w:rFonts w:ascii="Calibri" w:eastAsia="Times New Roman" w:hAnsi="Calibri"/>
      <w:lang w:val="es-PE"/>
    </w:rPr>
  </w:style>
  <w:style w:type="paragraph" w:customStyle="1" w:styleId="cuerpo3">
    <w:name w:val="cuerpo"/>
    <w:basedOn w:val="Normal"/>
    <w:rsid w:val="004E5076"/>
    <w:pPr>
      <w:widowControl/>
      <w:autoSpaceDE w:val="0"/>
      <w:autoSpaceDN w:val="0"/>
      <w:adjustRightInd w:val="0"/>
      <w:spacing w:after="115"/>
      <w:jc w:val="both"/>
    </w:pPr>
    <w:rPr>
      <w:rFonts w:eastAsiaTheme="minorEastAsia"/>
      <w:sz w:val="24"/>
      <w:szCs w:val="24"/>
      <w:lang w:val="es-CL"/>
    </w:rPr>
  </w:style>
  <w:style w:type="character" w:customStyle="1" w:styleId="no-style-override-1">
    <w:name w:val="no-style-override-1"/>
    <w:basedOn w:val="Fuentedeprrafopredeter"/>
    <w:rsid w:val="004E5076"/>
    <w:rPr>
      <w:rFonts w:cs="Times New Roman"/>
      <w:b/>
    </w:rPr>
  </w:style>
  <w:style w:type="character" w:customStyle="1" w:styleId="no-style-override">
    <w:name w:val="no-style-override"/>
    <w:basedOn w:val="Fuentedeprrafopredeter"/>
    <w:rsid w:val="004E5076"/>
    <w:rPr>
      <w:rFonts w:cs="Times New Roman"/>
    </w:rPr>
  </w:style>
  <w:style w:type="character" w:customStyle="1" w:styleId="meta-prep">
    <w:name w:val="meta-prep"/>
    <w:basedOn w:val="Fuentedeprrafopredeter"/>
    <w:rsid w:val="004E5076"/>
    <w:rPr>
      <w:rFonts w:cs="Times New Roman"/>
    </w:rPr>
  </w:style>
  <w:style w:type="character" w:customStyle="1" w:styleId="entry-date">
    <w:name w:val="entry-date"/>
    <w:basedOn w:val="Fuentedeprrafopredeter"/>
    <w:rsid w:val="004E5076"/>
    <w:rPr>
      <w:rFonts w:cs="Times New Roman"/>
    </w:rPr>
  </w:style>
  <w:style w:type="paragraph" w:customStyle="1" w:styleId="Paragraph">
    <w:name w:val="Paragraph"/>
    <w:aliases w:val="PARAGRAPH,PG,at,at Char,p,pa,paragraph"/>
    <w:basedOn w:val="Normal"/>
    <w:rsid w:val="004E5076"/>
    <w:pPr>
      <w:widowControl/>
      <w:tabs>
        <w:tab w:val="num" w:pos="1440"/>
      </w:tabs>
      <w:autoSpaceDE w:val="0"/>
      <w:autoSpaceDN w:val="0"/>
      <w:adjustRightInd w:val="0"/>
      <w:spacing w:line="276" w:lineRule="auto"/>
      <w:ind w:left="1440" w:hanging="720"/>
      <w:jc w:val="both"/>
    </w:pPr>
    <w:rPr>
      <w:rFonts w:ascii="Calibri" w:eastAsiaTheme="minorEastAsia" w:hAnsi="Calibri" w:cs="Times New Roman"/>
      <w:color w:val="000000"/>
      <w:sz w:val="24"/>
      <w:szCs w:val="20"/>
      <w:lang w:val="es-AR"/>
    </w:rPr>
  </w:style>
  <w:style w:type="paragraph" w:customStyle="1" w:styleId="gmail-msonormal">
    <w:name w:val="gmail-msonormal"/>
    <w:basedOn w:val="Normal"/>
    <w:rsid w:val="004E5076"/>
    <w:pPr>
      <w:widowControl/>
      <w:autoSpaceDE w:val="0"/>
      <w:autoSpaceDN w:val="0"/>
      <w:adjustRightInd w:val="0"/>
      <w:spacing w:before="100" w:beforeAutospacing="1" w:after="100" w:afterAutospacing="1"/>
    </w:pPr>
    <w:rPr>
      <w:rFonts w:ascii="Calibri" w:eastAsia="Times New Roman" w:hAnsi="Calibri" w:cs="Times New Roman"/>
      <w:lang w:val="es-CL"/>
    </w:rPr>
  </w:style>
  <w:style w:type="paragraph" w:customStyle="1" w:styleId="Bullet">
    <w:name w:val="Bullet"/>
    <w:aliases w:val="Alt-B"/>
    <w:next w:val="Normal"/>
    <w:rsid w:val="004E5076"/>
    <w:pPr>
      <w:tabs>
        <w:tab w:val="num" w:pos="720"/>
      </w:tabs>
      <w:autoSpaceDE w:val="0"/>
      <w:autoSpaceDN w:val="0"/>
      <w:adjustRightInd w:val="0"/>
      <w:ind w:left="720" w:hanging="360"/>
    </w:pPr>
    <w:rPr>
      <w:rFonts w:ascii="Times New Roman" w:eastAsia="Calibri" w:hAnsi="Times New Roman" w:cs="Times New Roman"/>
      <w:noProof/>
      <w:sz w:val="24"/>
      <w:szCs w:val="24"/>
    </w:rPr>
  </w:style>
  <w:style w:type="character" w:customStyle="1" w:styleId="BulletChar">
    <w:name w:val="Bullet Char"/>
    <w:rsid w:val="004E5076"/>
    <w:rPr>
      <w:rFonts w:ascii="Times New Roman" w:hAnsi="Times New Roman"/>
      <w:noProof/>
      <w:sz w:val="24"/>
    </w:rPr>
  </w:style>
  <w:style w:type="paragraph" w:customStyle="1" w:styleId="EstiloMicrosoftSansSerif11ptJustificadoDerecha001cm">
    <w:name w:val="Estilo Microsoft Sans Serif 11 pt Justificado Derecha:  0.01 cm ..."/>
    <w:basedOn w:val="Normal"/>
    <w:rsid w:val="004E5076"/>
    <w:pPr>
      <w:widowControl/>
      <w:autoSpaceDE w:val="0"/>
      <w:autoSpaceDN w:val="0"/>
      <w:adjustRightInd w:val="0"/>
      <w:spacing w:line="288" w:lineRule="auto"/>
      <w:ind w:right="6"/>
      <w:jc w:val="both"/>
    </w:pPr>
    <w:rPr>
      <w:rFonts w:ascii="Microsoft Sans Serif" w:eastAsiaTheme="minorEastAsia" w:hAnsi="Microsoft Sans Serif" w:cs="Microsoft Sans Serif"/>
      <w:color w:val="000080"/>
      <w:lang w:bidi="he-IL"/>
    </w:rPr>
  </w:style>
  <w:style w:type="paragraph" w:customStyle="1" w:styleId="CarCarCharCharCarCarCarCharCharCarCarCarCarCharChar">
    <w:name w:val="Car Car Char Char Car Car Car Char Char Car Car Car Car Char Char"/>
    <w:basedOn w:val="Normal"/>
    <w:rsid w:val="004E5076"/>
    <w:pPr>
      <w:widowControl/>
      <w:autoSpaceDE w:val="0"/>
      <w:autoSpaceDN w:val="0"/>
      <w:adjustRightInd w:val="0"/>
      <w:spacing w:after="160" w:line="240" w:lineRule="exact"/>
      <w:jc w:val="both"/>
    </w:pPr>
    <w:rPr>
      <w:rFonts w:ascii="Verdana" w:eastAsiaTheme="minorEastAsia" w:hAnsi="Verdana" w:cs="Times New Roman"/>
      <w:sz w:val="20"/>
      <w:szCs w:val="20"/>
      <w:lang w:val="es-ES_tradnl"/>
    </w:rPr>
  </w:style>
  <w:style w:type="paragraph" w:customStyle="1" w:styleId="Parrafo2">
    <w:name w:val="Parrafo 2"/>
    <w:basedOn w:val="Normal"/>
    <w:qFormat/>
    <w:rsid w:val="004E5076"/>
    <w:pPr>
      <w:widowControl/>
      <w:autoSpaceDE w:val="0"/>
      <w:autoSpaceDN w:val="0"/>
      <w:adjustRightInd w:val="0"/>
      <w:spacing w:after="160" w:line="259" w:lineRule="auto"/>
      <w:jc w:val="both"/>
    </w:pPr>
    <w:rPr>
      <w:rFonts w:ascii="Calibri" w:eastAsia="Times New Roman" w:hAnsi="Calibri"/>
      <w:lang w:val="es-PE"/>
    </w:rPr>
  </w:style>
  <w:style w:type="character" w:customStyle="1" w:styleId="Parrafo2Car">
    <w:name w:val="Parrafo 2 Car"/>
    <w:basedOn w:val="Fuentedeprrafopredeter"/>
    <w:rsid w:val="004E5076"/>
    <w:rPr>
      <w:rFonts w:ascii="Calibri" w:eastAsia="Times New Roman" w:hAnsi="Calibri" w:cs="Arial"/>
      <w:lang w:val="x-none"/>
    </w:rPr>
  </w:style>
  <w:style w:type="paragraph" w:customStyle="1" w:styleId="NormalIkons">
    <w:name w:val="Normal Ikons"/>
    <w:basedOn w:val="Normal"/>
    <w:rsid w:val="004E5076"/>
    <w:pPr>
      <w:widowControl/>
      <w:autoSpaceDE w:val="0"/>
      <w:autoSpaceDN w:val="0"/>
      <w:adjustRightInd w:val="0"/>
      <w:spacing w:line="300" w:lineRule="exact"/>
      <w:jc w:val="both"/>
    </w:pPr>
    <w:rPr>
      <w:rFonts w:ascii="Verdana" w:eastAsiaTheme="minorEastAsia" w:hAnsi="Verdana"/>
      <w:szCs w:val="20"/>
    </w:rPr>
  </w:style>
  <w:style w:type="paragraph" w:customStyle="1" w:styleId="EcuacionIkons">
    <w:name w:val="Ecuacion Ikons"/>
    <w:basedOn w:val="NormalIkons"/>
    <w:rsid w:val="004E5076"/>
    <w:pPr>
      <w:tabs>
        <w:tab w:val="center" w:pos="4320"/>
        <w:tab w:val="left" w:pos="8494"/>
      </w:tabs>
      <w:spacing w:line="240" w:lineRule="auto"/>
    </w:pPr>
  </w:style>
  <w:style w:type="paragraph" w:customStyle="1" w:styleId="Normalesp">
    <w:name w:val="Normal esp"/>
    <w:basedOn w:val="Ttulo1"/>
    <w:rsid w:val="004E5076"/>
    <w:pPr>
      <w:keepLines w:val="0"/>
      <w:autoSpaceDE w:val="0"/>
      <w:autoSpaceDN w:val="0"/>
      <w:adjustRightInd w:val="0"/>
      <w:spacing w:before="0" w:after="0"/>
      <w:jc w:val="center"/>
    </w:pPr>
    <w:rPr>
      <w:rFonts w:ascii="Times New Roman" w:eastAsiaTheme="minorEastAsia" w:hAnsi="Times New Roman" w:cs="Times New Roman"/>
      <w:color w:val="auto"/>
      <w:sz w:val="28"/>
      <w:szCs w:val="20"/>
    </w:rPr>
  </w:style>
  <w:style w:type="table" w:styleId="Tablaconlista5">
    <w:name w:val="Table List 5"/>
    <w:basedOn w:val="Tablanormal"/>
    <w:unhideWhenUsed/>
    <w:rsid w:val="004E5076"/>
    <w:pPr>
      <w:autoSpaceDE w:val="0"/>
      <w:autoSpaceDN w:val="0"/>
      <w:adjustRightInd w:val="0"/>
      <w:spacing w:after="200" w:line="276" w:lineRule="auto"/>
    </w:pPr>
    <w:rPr>
      <w:rFonts w:ascii="Calibri" w:eastAsia="Calibri" w:hAnsi="Calibri" w:cs="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sutil1">
    <w:name w:val="Table Subtle 1"/>
    <w:basedOn w:val="Tablanormal"/>
    <w:unhideWhenUsed/>
    <w:rsid w:val="004E5076"/>
    <w:pPr>
      <w:autoSpaceDE w:val="0"/>
      <w:autoSpaceDN w:val="0"/>
      <w:adjustRightInd w:val="0"/>
      <w:spacing w:after="200" w:line="276" w:lineRule="auto"/>
    </w:pPr>
    <w:rPr>
      <w:rFonts w:ascii="Calibri" w:eastAsia="Calibri" w:hAnsi="Calibri" w:cs="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Captulo1">
    <w:name w:val="Estilo Capítulo +1"/>
    <w:basedOn w:val="Normal"/>
    <w:rsid w:val="004E5076"/>
    <w:pPr>
      <w:widowControl/>
      <w:tabs>
        <w:tab w:val="num" w:pos="620"/>
      </w:tabs>
      <w:autoSpaceDE w:val="0"/>
      <w:autoSpaceDN w:val="0"/>
      <w:adjustRightInd w:val="0"/>
      <w:spacing w:line="288" w:lineRule="auto"/>
      <w:ind w:left="620" w:right="6" w:hanging="576"/>
      <w:jc w:val="both"/>
    </w:pPr>
    <w:rPr>
      <w:rFonts w:ascii="Microsoft Sans Serif" w:eastAsiaTheme="minorEastAsia" w:hAnsi="Microsoft Sans Serif" w:cs="Microsoft Sans Serif"/>
      <w:b/>
      <w:color w:val="000080"/>
      <w:sz w:val="24"/>
      <w:lang w:bidi="he-IL"/>
    </w:rPr>
  </w:style>
  <w:style w:type="character" w:customStyle="1" w:styleId="StyleMicrosoftSansSerifLatinBoldDarkBlue">
    <w:name w:val="Style Microsoft Sans Serif (Latin) Bold Dark Blue"/>
    <w:rsid w:val="004E5076"/>
    <w:rPr>
      <w:rFonts w:ascii="Microsoft Sans Serif" w:hAnsi="Microsoft Sans Serif"/>
      <w:color w:val="000080"/>
      <w:sz w:val="22"/>
      <w:lang w:val="es-ES_tradnl"/>
    </w:rPr>
  </w:style>
  <w:style w:type="character" w:customStyle="1" w:styleId="Listavistosa-nfasis1Car1">
    <w:name w:val="Lista vistosa - Énfasis 1 Car1"/>
    <w:uiPriority w:val="34"/>
    <w:rsid w:val="004E5076"/>
    <w:rPr>
      <w:lang w:val="en-US"/>
    </w:rPr>
  </w:style>
  <w:style w:type="character" w:customStyle="1" w:styleId="DefaultChar">
    <w:name w:val="Default Char"/>
    <w:rsid w:val="004E5076"/>
    <w:rPr>
      <w:rFonts w:ascii="Tahoma" w:hAnsi="Tahoma"/>
      <w:color w:val="000000"/>
      <w:sz w:val="24"/>
      <w:lang w:val="es-ES"/>
    </w:rPr>
  </w:style>
  <w:style w:type="paragraph" w:customStyle="1" w:styleId="gmail-m7868344580282400220gmail-msolistparagraph">
    <w:name w:val="gmail-m_7868344580282400220gmail-msolistparagraph"/>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MX"/>
    </w:rPr>
  </w:style>
  <w:style w:type="paragraph" w:customStyle="1" w:styleId="m4839003598761449440msolistparagraph">
    <w:name w:val="m_4839003598761449440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plane">
    <w:name w:val="plane"/>
    <w:basedOn w:val="Normal"/>
    <w:rsid w:val="004E5076"/>
    <w:pPr>
      <w:widowControl/>
      <w:suppressAutoHyphens/>
      <w:autoSpaceDE w:val="0"/>
      <w:autoSpaceDN w:val="0"/>
      <w:adjustRightInd w:val="0"/>
    </w:pPr>
    <w:rPr>
      <w:rFonts w:ascii="Tms Rmn" w:eastAsiaTheme="minorEastAsia" w:hAnsi="Tms Rmn" w:cs="Times New Roman"/>
      <w:sz w:val="24"/>
      <w:szCs w:val="20"/>
      <w:lang w:val="en-US"/>
    </w:rPr>
  </w:style>
  <w:style w:type="paragraph" w:customStyle="1" w:styleId="Level11">
    <w:name w:val="Level 1.1"/>
    <w:basedOn w:val="Normal"/>
    <w:rsid w:val="004E5076"/>
    <w:pPr>
      <w:widowControl/>
      <w:autoSpaceDE w:val="0"/>
      <w:autoSpaceDN w:val="0"/>
      <w:adjustRightInd w:val="0"/>
      <w:spacing w:before="120"/>
      <w:ind w:left="706" w:hanging="706"/>
    </w:pPr>
    <w:rPr>
      <w:rFonts w:eastAsiaTheme="minorEastAsia"/>
    </w:rPr>
  </w:style>
  <w:style w:type="paragraph" w:customStyle="1" w:styleId="Styledetableau">
    <w:name w:val="Style de tableau"/>
    <w:rsid w:val="004E5076"/>
    <w:pPr>
      <w:autoSpaceDE w:val="0"/>
      <w:autoSpaceDN w:val="0"/>
      <w:adjustRightInd w:val="0"/>
    </w:pPr>
    <w:rPr>
      <w:rFonts w:ascii="Helvetica Neue" w:eastAsia="Times New Roman" w:hAnsi="Helvetica Neue" w:cs="Helvetica Neue"/>
      <w:b/>
      <w:color w:val="000000"/>
      <w:sz w:val="20"/>
      <w:szCs w:val="20"/>
      <w:lang w:val="en-US"/>
    </w:rPr>
  </w:style>
  <w:style w:type="paragraph" w:customStyle="1" w:styleId="Styledetableau1">
    <w:name w:val="Style de tableau1"/>
    <w:rsid w:val="004E5076"/>
    <w:pPr>
      <w:autoSpaceDE w:val="0"/>
      <w:autoSpaceDN w:val="0"/>
      <w:adjustRightInd w:val="0"/>
    </w:pPr>
    <w:rPr>
      <w:rFonts w:ascii="Helvetica Neue" w:eastAsia="Times New Roman" w:hAnsi="Helvetica Neue" w:cs="Helvetica Neue"/>
      <w:color w:val="000000"/>
      <w:sz w:val="20"/>
      <w:szCs w:val="20"/>
      <w:lang w:val="en-US"/>
    </w:rPr>
  </w:style>
  <w:style w:type="paragraph" w:customStyle="1" w:styleId="Chapter">
    <w:name w:val="Chapter"/>
    <w:basedOn w:val="Normal"/>
    <w:next w:val="Normal"/>
    <w:rsid w:val="004E5076"/>
    <w:pPr>
      <w:widowControl/>
      <w:tabs>
        <w:tab w:val="num" w:pos="720"/>
        <w:tab w:val="left" w:pos="1440"/>
      </w:tabs>
      <w:autoSpaceDE w:val="0"/>
      <w:autoSpaceDN w:val="0"/>
      <w:adjustRightInd w:val="0"/>
      <w:spacing w:after="240"/>
      <w:ind w:left="720" w:hanging="720"/>
      <w:jc w:val="center"/>
    </w:pPr>
    <w:rPr>
      <w:rFonts w:ascii="Times New Roman" w:eastAsiaTheme="minorEastAsia" w:hAnsi="Times New Roman" w:cs="Times New Roman"/>
      <w:b/>
      <w:smallCaps/>
      <w:noProof/>
      <w:sz w:val="24"/>
      <w:szCs w:val="20"/>
      <w:lang w:val="es-PE"/>
    </w:rPr>
  </w:style>
  <w:style w:type="character" w:customStyle="1" w:styleId="ParagraphChar">
    <w:name w:val="Paragraph Char"/>
    <w:aliases w:val="PARAGRAPH Char,PG Char,p Char,pa Char,paragraph Char"/>
    <w:basedOn w:val="SangradetextonormalCar"/>
    <w:rsid w:val="004E5076"/>
    <w:rPr>
      <w:rFonts w:ascii="Calibri" w:eastAsia="Times New Roman" w:hAnsi="Calibri" w:cs="Times New Roman"/>
      <w:color w:val="000000"/>
      <w:kern w:val="0"/>
      <w:sz w:val="24"/>
      <w:lang w:val="es-AR" w:eastAsia="es-PE"/>
    </w:rPr>
  </w:style>
  <w:style w:type="paragraph" w:customStyle="1" w:styleId="SubSubPar">
    <w:name w:val="SubSubPar"/>
    <w:basedOn w:val="subpar"/>
    <w:rsid w:val="004E5076"/>
    <w:pPr>
      <w:tabs>
        <w:tab w:val="left" w:pos="0"/>
        <w:tab w:val="num" w:pos="360"/>
      </w:tabs>
      <w:ind w:left="2880" w:hanging="360"/>
      <w:jc w:val="left"/>
    </w:pPr>
    <w:rPr>
      <w:rFonts w:cs="Times New Roman"/>
      <w:lang w:val="en-US"/>
    </w:rPr>
  </w:style>
  <w:style w:type="paragraph" w:customStyle="1" w:styleId="articleabstract">
    <w:name w:val="article_abstrac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character" w:customStyle="1" w:styleId="A3">
    <w:name w:val="A3"/>
    <w:uiPriority w:val="99"/>
    <w:rsid w:val="004E5076"/>
    <w:rPr>
      <w:b/>
      <w:color w:val="000000"/>
      <w:sz w:val="16"/>
    </w:rPr>
  </w:style>
  <w:style w:type="character" w:customStyle="1" w:styleId="A11">
    <w:name w:val="A11"/>
    <w:uiPriority w:val="99"/>
    <w:rsid w:val="004E5076"/>
    <w:rPr>
      <w:b/>
      <w:color w:val="000000"/>
      <w:sz w:val="64"/>
    </w:rPr>
  </w:style>
  <w:style w:type="paragraph" w:customStyle="1" w:styleId="Standardparagraph">
    <w:name w:val="Standard paragraph"/>
    <w:basedOn w:val="Normal"/>
    <w:rsid w:val="004E5076"/>
    <w:pPr>
      <w:widowControl/>
      <w:tabs>
        <w:tab w:val="left" w:pos="709"/>
        <w:tab w:val="left" w:pos="1418"/>
        <w:tab w:val="left" w:pos="2126"/>
        <w:tab w:val="left" w:pos="2835"/>
        <w:tab w:val="right" w:pos="8222"/>
      </w:tabs>
      <w:autoSpaceDE w:val="0"/>
      <w:autoSpaceDN w:val="0"/>
      <w:adjustRightInd w:val="0"/>
      <w:spacing w:after="240"/>
    </w:pPr>
    <w:rPr>
      <w:rFonts w:ascii="Times New Roman" w:eastAsiaTheme="minorEastAsia" w:hAnsi="Times New Roman" w:cs="Times New Roman"/>
      <w:sz w:val="24"/>
      <w:szCs w:val="24"/>
      <w:lang w:val="en-GB"/>
    </w:rPr>
  </w:style>
  <w:style w:type="character" w:customStyle="1" w:styleId="notranslate">
    <w:name w:val="notranslate"/>
    <w:basedOn w:val="Fuentedeprrafopredeter"/>
    <w:rsid w:val="004E5076"/>
    <w:rPr>
      <w:rFonts w:cs="Times New Roman"/>
    </w:rPr>
  </w:style>
  <w:style w:type="character" w:customStyle="1" w:styleId="text">
    <w:name w:val="text"/>
    <w:basedOn w:val="Fuentedeprrafopredeter"/>
    <w:rsid w:val="004E5076"/>
    <w:rPr>
      <w:rFonts w:cs="Times New Roman"/>
    </w:rPr>
  </w:style>
  <w:style w:type="character" w:customStyle="1" w:styleId="author-ref">
    <w:name w:val="author-ref"/>
    <w:basedOn w:val="Fuentedeprrafopredeter"/>
    <w:rsid w:val="004E5076"/>
    <w:rPr>
      <w:rFonts w:cs="Times New Roman"/>
    </w:rPr>
  </w:style>
  <w:style w:type="character" w:customStyle="1" w:styleId="Heading2Char1">
    <w:name w:val="Heading 2 Char1"/>
    <w:aliases w:val="2 headline Char,Don't use Char,Fracción C/T Char,Libro Char,TTC 2 Char,Título 21 Char,h Char"/>
    <w:basedOn w:val="Fuentedeprrafopredeter"/>
    <w:uiPriority w:val="9"/>
    <w:rsid w:val="004E5076"/>
    <w:rPr>
      <w:rFonts w:ascii="Calibri Light" w:eastAsia="Yu Gothic Light" w:hAnsi="Calibri Light" w:cs="Times New Roman"/>
      <w:b/>
      <w:smallCaps/>
      <w:color w:val="0C307A"/>
      <w:sz w:val="26"/>
      <w:szCs w:val="26"/>
    </w:rPr>
  </w:style>
  <w:style w:type="character" w:customStyle="1" w:styleId="Heading3Char1">
    <w:name w:val="Heading 3 Char1"/>
    <w:aliases w:val="Hdg 3 Char,don't use Char"/>
    <w:basedOn w:val="Fuentedeprrafopredeter"/>
    <w:uiPriority w:val="9"/>
    <w:rsid w:val="004E5076"/>
    <w:rPr>
      <w:rFonts w:ascii="Calibri Light" w:eastAsia="Yu Gothic Light" w:hAnsi="Calibri Light" w:cs="Times New Roman"/>
      <w:b/>
      <w:smallCaps/>
      <w:color w:val="0C307A"/>
      <w:sz w:val="24"/>
      <w:szCs w:val="24"/>
    </w:rPr>
  </w:style>
  <w:style w:type="paragraph" w:customStyle="1" w:styleId="Personalizadojegy">
    <w:name w:val="Personalizado jegy"/>
    <w:basedOn w:val="Normal"/>
    <w:rsid w:val="004E5076"/>
    <w:pPr>
      <w:widowControl/>
      <w:autoSpaceDE w:val="0"/>
      <w:autoSpaceDN w:val="0"/>
      <w:adjustRightInd w:val="0"/>
      <w:spacing w:after="120"/>
    </w:pPr>
    <w:rPr>
      <w:rFonts w:ascii="Calibri" w:eastAsia="Times New Roman" w:hAnsi="Calibri" w:cs="Times New Roman"/>
      <w:sz w:val="20"/>
      <w:szCs w:val="20"/>
    </w:rPr>
  </w:style>
  <w:style w:type="character" w:customStyle="1" w:styleId="PersonalizadojegyCar">
    <w:name w:val="Personalizado jegy Car"/>
    <w:rsid w:val="004E5076"/>
    <w:rPr>
      <w:sz w:val="20"/>
      <w:lang w:val="es-ES"/>
    </w:rPr>
  </w:style>
  <w:style w:type="paragraph" w:customStyle="1" w:styleId="Schedule">
    <w:name w:val="Schedule"/>
    <w:basedOn w:val="Normal"/>
    <w:next w:val="Normal"/>
    <w:rsid w:val="004E5076"/>
    <w:pPr>
      <w:keepNext/>
      <w:widowControl/>
      <w:tabs>
        <w:tab w:val="num" w:pos="720"/>
      </w:tabs>
      <w:autoSpaceDE w:val="0"/>
      <w:autoSpaceDN w:val="0"/>
      <w:adjustRightInd w:val="0"/>
      <w:spacing w:before="240"/>
      <w:ind w:left="720" w:hanging="720"/>
    </w:pPr>
    <w:rPr>
      <w:rFonts w:eastAsiaTheme="minorEastAsia" w:cs="Times New Roman"/>
      <w:b/>
      <w:color w:val="000000"/>
      <w:szCs w:val="17"/>
      <w:lang w:val="en-GB"/>
    </w:rPr>
  </w:style>
  <w:style w:type="paragraph" w:customStyle="1" w:styleId="Piedepgina1">
    <w:name w:val="Pie de página1"/>
    <w:uiPriority w:val="99"/>
    <w:rsid w:val="004E5076"/>
    <w:pPr>
      <w:tabs>
        <w:tab w:val="center" w:pos="4252"/>
        <w:tab w:val="left" w:pos="8494"/>
      </w:tabs>
      <w:autoSpaceDE w:val="0"/>
      <w:autoSpaceDN w:val="0"/>
      <w:adjustRightInd w:val="0"/>
      <w:spacing w:line="300" w:lineRule="atLeast"/>
    </w:pPr>
    <w:rPr>
      <w:rFonts w:ascii="Verdana" w:eastAsia="ヒラギノ角ゴ Pro W3" w:hAnsi="Verdana" w:cs="Times New Roman"/>
      <w:color w:val="000000"/>
      <w:sz w:val="24"/>
      <w:szCs w:val="20"/>
      <w:lang w:val="es-ES_tradnl"/>
    </w:rPr>
  </w:style>
  <w:style w:type="character" w:customStyle="1" w:styleId="Nmerodepgina1">
    <w:name w:val="Número de página1"/>
    <w:uiPriority w:val="99"/>
    <w:rsid w:val="004E5076"/>
    <w:rPr>
      <w:color w:val="000000"/>
      <w:sz w:val="20"/>
    </w:rPr>
  </w:style>
  <w:style w:type="paragraph" w:customStyle="1" w:styleId="FormatolibreA">
    <w:name w:val="Formato libre A"/>
    <w:uiPriority w:val="99"/>
    <w:rsid w:val="004E5076"/>
    <w:pPr>
      <w:autoSpaceDE w:val="0"/>
      <w:autoSpaceDN w:val="0"/>
      <w:adjustRightInd w:val="0"/>
    </w:pPr>
    <w:rPr>
      <w:rFonts w:ascii="Times New Roman" w:eastAsia="ヒラギノ角ゴ Pro W3" w:hAnsi="Times New Roman" w:cs="Times New Roman"/>
      <w:color w:val="000000"/>
      <w:sz w:val="20"/>
      <w:szCs w:val="20"/>
      <w:lang w:val="es-ES_tradnl"/>
    </w:rPr>
  </w:style>
  <w:style w:type="paragraph" w:customStyle="1" w:styleId="TDC21">
    <w:name w:val="TDC 21"/>
    <w:next w:val="Normal"/>
    <w:uiPriority w:val="99"/>
    <w:qFormat/>
    <w:rsid w:val="004E5076"/>
    <w:pPr>
      <w:tabs>
        <w:tab w:val="right" w:leader="dot" w:pos="720"/>
      </w:tabs>
      <w:autoSpaceDE w:val="0"/>
      <w:autoSpaceDN w:val="0"/>
      <w:adjustRightInd w:val="0"/>
      <w:spacing w:line="300" w:lineRule="atLeast"/>
      <w:ind w:left="240"/>
      <w:outlineLvl w:val="0"/>
    </w:pPr>
    <w:rPr>
      <w:rFonts w:ascii="Cambria Bold" w:eastAsia="ヒラギノ角ゴ Pro W3" w:hAnsi="Cambria Bold" w:cs="Times New Roman"/>
      <w:color w:val="000000"/>
      <w:szCs w:val="20"/>
      <w:lang w:val="es-ES_tradnl"/>
    </w:rPr>
  </w:style>
  <w:style w:type="paragraph" w:customStyle="1" w:styleId="EstiloTtuloPortadaSinNegritaSinMaysculasAntes6pto">
    <w:name w:val="Estilo Título Portada + Sin Negrita Sin Mayúsculas Antes:  6 pto ..."/>
    <w:uiPriority w:val="99"/>
    <w:rsid w:val="004E5076"/>
    <w:pPr>
      <w:keepNext/>
      <w:keepLines/>
      <w:autoSpaceDE w:val="0"/>
      <w:autoSpaceDN w:val="0"/>
      <w:adjustRightInd w:val="0"/>
      <w:spacing w:before="120" w:after="360"/>
      <w:jc w:val="both"/>
      <w:outlineLvl w:val="0"/>
    </w:pPr>
    <w:rPr>
      <w:rFonts w:ascii="Verdana" w:eastAsia="ヒラギノ角ゴ Pro W3" w:hAnsi="Verdana" w:cs="Times New Roman"/>
      <w:color w:val="000000"/>
      <w:sz w:val="28"/>
      <w:szCs w:val="20"/>
      <w:lang w:val="es-ES_tradnl"/>
    </w:rPr>
  </w:style>
  <w:style w:type="paragraph" w:customStyle="1" w:styleId="Formatolibre">
    <w:name w:val="Formato libre"/>
    <w:uiPriority w:val="99"/>
    <w:rsid w:val="004E5076"/>
    <w:pPr>
      <w:autoSpaceDE w:val="0"/>
      <w:autoSpaceDN w:val="0"/>
      <w:adjustRightInd w:val="0"/>
    </w:pPr>
    <w:rPr>
      <w:rFonts w:ascii="Times New Roman" w:eastAsia="ヒラギノ角ゴ Pro W3" w:hAnsi="Times New Roman" w:cs="Times New Roman"/>
      <w:color w:val="000000"/>
      <w:sz w:val="20"/>
      <w:szCs w:val="20"/>
      <w:lang w:val="es-ES_tradnl"/>
    </w:rPr>
  </w:style>
  <w:style w:type="paragraph" w:customStyle="1" w:styleId="Ttulo11">
    <w:name w:val="Título 11"/>
    <w:next w:val="Normal"/>
    <w:uiPriority w:val="99"/>
    <w:qFormat/>
    <w:rsid w:val="004E5076"/>
    <w:pPr>
      <w:keepNext/>
      <w:keepLines/>
      <w:autoSpaceDE w:val="0"/>
      <w:autoSpaceDN w:val="0"/>
      <w:adjustRightInd w:val="0"/>
      <w:spacing w:before="480"/>
      <w:outlineLvl w:val="0"/>
    </w:pPr>
    <w:rPr>
      <w:rFonts w:ascii="Calibri Bold" w:eastAsia="ヒラギノ角ゴ Pro W3" w:hAnsi="Calibri Bold" w:cs="Times New Roman"/>
      <w:color w:val="2E5A88"/>
      <w:sz w:val="32"/>
      <w:szCs w:val="20"/>
      <w:lang w:val="es-ES_tradnl"/>
    </w:rPr>
  </w:style>
  <w:style w:type="character" w:customStyle="1" w:styleId="Hyperlink1">
    <w:name w:val="Hyperlink1"/>
    <w:uiPriority w:val="99"/>
    <w:rsid w:val="004E5076"/>
    <w:rPr>
      <w:color w:val="0012FD"/>
      <w:sz w:val="20"/>
      <w:u w:val="single"/>
    </w:rPr>
  </w:style>
  <w:style w:type="paragraph" w:customStyle="1" w:styleId="TtulodeTDC1">
    <w:name w:val="Título de TDC1"/>
    <w:next w:val="Normal"/>
    <w:uiPriority w:val="99"/>
    <w:rsid w:val="004E5076"/>
    <w:pPr>
      <w:keepNext/>
      <w:keepLines/>
      <w:autoSpaceDE w:val="0"/>
      <w:autoSpaceDN w:val="0"/>
      <w:adjustRightInd w:val="0"/>
      <w:spacing w:before="480" w:line="276" w:lineRule="auto"/>
    </w:pPr>
    <w:rPr>
      <w:rFonts w:ascii="Calibri Bold" w:eastAsia="ヒラギノ角ゴ Pro W3" w:hAnsi="Calibri Bold" w:cs="Times New Roman"/>
      <w:color w:val="9A4300"/>
      <w:sz w:val="28"/>
      <w:szCs w:val="20"/>
      <w:lang w:val="es-ES_tradnl"/>
    </w:rPr>
  </w:style>
  <w:style w:type="paragraph" w:customStyle="1" w:styleId="Ttulo31">
    <w:name w:val="Título 31"/>
    <w:next w:val="Normal"/>
    <w:uiPriority w:val="99"/>
    <w:qFormat/>
    <w:rsid w:val="004E5076"/>
    <w:pPr>
      <w:keepNext/>
      <w:keepLines/>
      <w:autoSpaceDE w:val="0"/>
      <w:autoSpaceDN w:val="0"/>
      <w:adjustRightInd w:val="0"/>
      <w:spacing w:before="200"/>
      <w:outlineLvl w:val="2"/>
    </w:pPr>
    <w:rPr>
      <w:rFonts w:ascii="Calibri Bold" w:eastAsia="ヒラギノ角ゴ Pro W3" w:hAnsi="Calibri Bold" w:cs="Times New Roman"/>
      <w:color w:val="4782BB"/>
      <w:sz w:val="24"/>
      <w:szCs w:val="20"/>
      <w:lang w:val="es-ES_tradnl"/>
    </w:rPr>
  </w:style>
  <w:style w:type="paragraph" w:customStyle="1" w:styleId="BankNormal">
    <w:name w:val="BankNormal"/>
    <w:basedOn w:val="Normal"/>
    <w:uiPriority w:val="99"/>
    <w:rsid w:val="004E5076"/>
    <w:pPr>
      <w:widowControl/>
      <w:autoSpaceDE w:val="0"/>
      <w:autoSpaceDN w:val="0"/>
      <w:adjustRightInd w:val="0"/>
      <w:spacing w:after="240"/>
    </w:pPr>
    <w:rPr>
      <w:rFonts w:ascii="Times New Roman" w:eastAsiaTheme="minorEastAsia" w:hAnsi="Times New Roman" w:cs="Times New Roman"/>
      <w:szCs w:val="20"/>
    </w:rPr>
  </w:style>
  <w:style w:type="paragraph" w:styleId="Sangranormal">
    <w:name w:val="Normal Indent"/>
    <w:basedOn w:val="Normal"/>
    <w:uiPriority w:val="99"/>
    <w:rsid w:val="004E5076"/>
    <w:pPr>
      <w:widowControl/>
      <w:autoSpaceDE w:val="0"/>
      <w:autoSpaceDN w:val="0"/>
      <w:adjustRightInd w:val="0"/>
      <w:ind w:left="708"/>
    </w:pPr>
    <w:rPr>
      <w:rFonts w:ascii="Times New Roman" w:eastAsiaTheme="minorEastAsia" w:hAnsi="Times New Roman" w:cs="Times New Roman"/>
      <w:szCs w:val="24"/>
    </w:rPr>
  </w:style>
  <w:style w:type="paragraph" w:customStyle="1" w:styleId="TextH2">
    <w:name w:val="Text H2"/>
    <w:basedOn w:val="Normal"/>
    <w:uiPriority w:val="99"/>
    <w:rsid w:val="004E5076"/>
    <w:pPr>
      <w:widowControl/>
      <w:tabs>
        <w:tab w:val="num" w:pos="952"/>
      </w:tabs>
      <w:autoSpaceDE w:val="0"/>
      <w:autoSpaceDN w:val="0"/>
      <w:adjustRightInd w:val="0"/>
      <w:ind w:left="576"/>
    </w:pPr>
    <w:rPr>
      <w:rFonts w:eastAsia="Times New Roman"/>
      <w:sz w:val="20"/>
      <w:szCs w:val="20"/>
      <w:lang w:val="es-MX"/>
    </w:rPr>
  </w:style>
  <w:style w:type="paragraph" w:customStyle="1" w:styleId="NormalWeb1">
    <w:name w:val="Normal (Web)1"/>
    <w:basedOn w:val="Normal"/>
    <w:uiPriority w:val="99"/>
    <w:rsid w:val="004E5076"/>
    <w:pPr>
      <w:widowControl/>
      <w:autoSpaceDE w:val="0"/>
      <w:autoSpaceDN w:val="0"/>
      <w:adjustRightInd w:val="0"/>
      <w:spacing w:before="100" w:beforeAutospacing="1" w:after="100" w:afterAutospacing="1"/>
    </w:pPr>
    <w:rPr>
      <w:rFonts w:ascii="Arial Unicode MS" w:eastAsia="Times New Roman" w:hAnsi="Arial Unicode MS" w:cs="Arial Unicode MS"/>
      <w:color w:val="000000"/>
      <w:szCs w:val="24"/>
      <w:lang w:val="de-DE"/>
    </w:rPr>
  </w:style>
  <w:style w:type="character" w:customStyle="1" w:styleId="st">
    <w:name w:val="st"/>
    <w:basedOn w:val="Fuentedeprrafopredeter"/>
    <w:rsid w:val="004E5076"/>
    <w:rPr>
      <w:rFonts w:cs="Times New Roman"/>
    </w:rPr>
  </w:style>
  <w:style w:type="paragraph" w:customStyle="1" w:styleId="wfxRecipient">
    <w:name w:val="wfxRecipient"/>
    <w:basedOn w:val="Normal"/>
    <w:rsid w:val="004E5076"/>
    <w:pPr>
      <w:widowControl/>
      <w:autoSpaceDE w:val="0"/>
      <w:autoSpaceDN w:val="0"/>
      <w:adjustRightInd w:val="0"/>
    </w:pPr>
    <w:rPr>
      <w:rFonts w:ascii="Times New Roman" w:eastAsiaTheme="minorEastAsia" w:hAnsi="Times New Roman" w:cs="Times New Roman"/>
      <w:szCs w:val="20"/>
      <w:lang w:val="es-ES_tradnl"/>
    </w:rPr>
  </w:style>
  <w:style w:type="paragraph" w:customStyle="1" w:styleId="PABullet1">
    <w:name w:val="PA Bullet 1"/>
    <w:basedOn w:val="Normal"/>
    <w:rsid w:val="004E5076"/>
    <w:pPr>
      <w:widowControl/>
      <w:tabs>
        <w:tab w:val="num" w:pos="720"/>
      </w:tabs>
      <w:autoSpaceDE w:val="0"/>
      <w:autoSpaceDN w:val="0"/>
      <w:adjustRightInd w:val="0"/>
      <w:spacing w:before="120" w:line="320" w:lineRule="exact"/>
      <w:ind w:left="720" w:hanging="720"/>
    </w:pPr>
    <w:rPr>
      <w:rFonts w:eastAsiaTheme="minorEastAsia" w:cs="Times New Roman"/>
      <w:sz w:val="20"/>
      <w:szCs w:val="20"/>
      <w:lang w:val="en-GB"/>
    </w:rPr>
  </w:style>
  <w:style w:type="paragraph" w:customStyle="1" w:styleId="CVbullet">
    <w:name w:val="CV bullet"/>
    <w:basedOn w:val="PABullet1"/>
    <w:rsid w:val="004E5076"/>
  </w:style>
  <w:style w:type="paragraph" w:customStyle="1" w:styleId="ProjectTitle">
    <w:name w:val="ProjectTitle"/>
    <w:basedOn w:val="Ttulo2"/>
    <w:rsid w:val="004E5076"/>
    <w:pPr>
      <w:keepNext w:val="0"/>
      <w:keepLines w:val="0"/>
      <w:autoSpaceDE w:val="0"/>
      <w:autoSpaceDN w:val="0"/>
      <w:adjustRightInd w:val="0"/>
      <w:spacing w:before="480" w:after="0"/>
      <w:contextualSpacing/>
      <w:jc w:val="both"/>
      <w:outlineLvl w:val="9"/>
    </w:pPr>
    <w:rPr>
      <w:rFonts w:ascii="Arial" w:eastAsiaTheme="minorEastAsia" w:hAnsi="Arial" w:cs="Times New Roman"/>
      <w:b/>
      <w:smallCaps/>
      <w:color w:val="auto"/>
      <w:kern w:val="28"/>
      <w:sz w:val="22"/>
      <w:szCs w:val="20"/>
      <w:lang w:val="es-CO"/>
    </w:rPr>
  </w:style>
  <w:style w:type="paragraph" w:customStyle="1" w:styleId="Standard">
    <w:name w:val="Standard"/>
    <w:rsid w:val="004E5076"/>
    <w:pPr>
      <w:suppressAutoHyphens/>
      <w:autoSpaceDE w:val="0"/>
      <w:autoSpaceDN w:val="0"/>
      <w:adjustRightInd w:val="0"/>
      <w:spacing w:line="276" w:lineRule="auto"/>
      <w:jc w:val="both"/>
    </w:pPr>
    <w:rPr>
      <w:rFonts w:ascii="Calibri" w:eastAsia="ヒラギノ角ゴ Pro W3" w:hAnsi="Calibri" w:cs="Times New Roman"/>
      <w:color w:val="000000"/>
      <w:kern w:val="3"/>
      <w:szCs w:val="24"/>
    </w:rPr>
  </w:style>
  <w:style w:type="character" w:customStyle="1" w:styleId="HeaderChar1">
    <w:name w:val="Header Char1"/>
    <w:basedOn w:val="Fuentedeprrafopredeter"/>
    <w:uiPriority w:val="99"/>
    <w:rsid w:val="004E5076"/>
    <w:rPr>
      <w:rFonts w:ascii="Arial" w:eastAsia="Batang" w:hAnsi="Arial" w:cs="Times New Roman"/>
      <w:color w:val="00000A"/>
      <w:sz w:val="22"/>
      <w:lang w:val="es-SV"/>
    </w:rPr>
  </w:style>
  <w:style w:type="paragraph" w:customStyle="1" w:styleId="Logro">
    <w:name w:val="Logro"/>
    <w:basedOn w:val="Textoindependiente"/>
    <w:rsid w:val="004E5076"/>
    <w:pPr>
      <w:widowControl/>
      <w:adjustRightInd w:val="0"/>
      <w:spacing w:after="60" w:line="240" w:lineRule="atLeast"/>
      <w:jc w:val="both"/>
    </w:pPr>
    <w:rPr>
      <w:rFonts w:ascii="Garamond" w:eastAsia="Batang" w:hAnsi="Garamond" w:cs="Times New Roman"/>
      <w:szCs w:val="20"/>
      <w:lang w:eastAsia="es-PE"/>
    </w:rPr>
  </w:style>
  <w:style w:type="paragraph" w:customStyle="1" w:styleId="BSubheading-Green">
    <w:name w:val="B Subheading - Green"/>
    <w:basedOn w:val="Normal"/>
    <w:rsid w:val="004E5076"/>
    <w:pPr>
      <w:widowControl/>
      <w:autoSpaceDE w:val="0"/>
      <w:autoSpaceDN w:val="0"/>
      <w:adjustRightInd w:val="0"/>
      <w:spacing w:before="320" w:after="120"/>
      <w:outlineLvl w:val="1"/>
    </w:pPr>
    <w:rPr>
      <w:rFonts w:eastAsia="Times New Roman" w:cs="Times New Roman"/>
      <w:b/>
      <w:noProof/>
      <w:color w:val="C0504D"/>
      <w:sz w:val="24"/>
      <w:szCs w:val="24"/>
      <w:lang w:val="es-PE"/>
    </w:rPr>
  </w:style>
  <w:style w:type="paragraph" w:customStyle="1" w:styleId="Bodycopy">
    <w:name w:val="Body copy"/>
    <w:basedOn w:val="Normal"/>
    <w:rsid w:val="004E5076"/>
    <w:pPr>
      <w:widowControl/>
      <w:autoSpaceDE w:val="0"/>
      <w:autoSpaceDN w:val="0"/>
      <w:adjustRightInd w:val="0"/>
      <w:spacing w:after="240" w:line="220" w:lineRule="exact"/>
    </w:pPr>
    <w:rPr>
      <w:rFonts w:eastAsia="Times New Roman" w:cs="Times New Roman"/>
      <w:sz w:val="19"/>
      <w:szCs w:val="20"/>
      <w:lang w:val="en-GB"/>
    </w:rPr>
  </w:style>
  <w:style w:type="character" w:customStyle="1" w:styleId="BodycopyChar">
    <w:name w:val="Body copy Char"/>
    <w:rsid w:val="004E5076"/>
    <w:rPr>
      <w:rFonts w:ascii="Arial" w:eastAsia="Times New Roman" w:hAnsi="Arial"/>
      <w:sz w:val="20"/>
      <w:lang w:val="en-GB"/>
    </w:rPr>
  </w:style>
  <w:style w:type="character" w:customStyle="1" w:styleId="Titulo2Char">
    <w:name w:val="Titulo 2 Char"/>
    <w:rsid w:val="004E5076"/>
    <w:rPr>
      <w:rFonts w:ascii="Times New Roman" w:hAnsi="Times New Roman"/>
      <w:sz w:val="24"/>
      <w:lang w:val="x-none"/>
    </w:rPr>
  </w:style>
  <w:style w:type="paragraph" w:customStyle="1" w:styleId="Carta">
    <w:name w:val="Carta"/>
    <w:basedOn w:val="Normal"/>
    <w:rsid w:val="004E5076"/>
    <w:pPr>
      <w:widowControl/>
      <w:autoSpaceDE w:val="0"/>
      <w:autoSpaceDN w:val="0"/>
      <w:adjustRightInd w:val="0"/>
      <w:spacing w:before="240"/>
    </w:pPr>
    <w:rPr>
      <w:rFonts w:ascii="Times New Roman" w:eastAsiaTheme="minorEastAsia" w:hAnsi="Times New Roman" w:cs="Times New Roman"/>
      <w:sz w:val="20"/>
      <w:szCs w:val="20"/>
      <w:lang w:val="en-US"/>
    </w:rPr>
  </w:style>
  <w:style w:type="character" w:customStyle="1" w:styleId="CartaChar">
    <w:name w:val="Carta Char"/>
    <w:rsid w:val="004E5076"/>
    <w:rPr>
      <w:rFonts w:ascii="Times New Roman" w:hAnsi="Times New Roman"/>
      <w:sz w:val="20"/>
      <w:lang w:val="en-US"/>
    </w:rPr>
  </w:style>
  <w:style w:type="paragraph" w:customStyle="1" w:styleId="BSubheading-Bluedk">
    <w:name w:val="B Subheading - Blue dk"/>
    <w:basedOn w:val="Normal"/>
    <w:rsid w:val="004E5076"/>
    <w:pPr>
      <w:widowControl/>
      <w:autoSpaceDE w:val="0"/>
      <w:autoSpaceDN w:val="0"/>
      <w:adjustRightInd w:val="0"/>
      <w:spacing w:before="320" w:after="120"/>
      <w:outlineLvl w:val="1"/>
    </w:pPr>
    <w:rPr>
      <w:rFonts w:eastAsia="Times New Roman" w:cs="Times New Roman"/>
      <w:b/>
      <w:noProof/>
      <w:color w:val="002776"/>
      <w:sz w:val="24"/>
      <w:szCs w:val="24"/>
      <w:lang w:val="es-PE"/>
    </w:rPr>
  </w:style>
  <w:style w:type="paragraph" w:customStyle="1" w:styleId="ListNumber1">
    <w:name w:val="List Number1"/>
    <w:basedOn w:val="Normal"/>
    <w:uiPriority w:val="99"/>
    <w:rsid w:val="004E5076"/>
    <w:pPr>
      <w:widowControl/>
      <w:tabs>
        <w:tab w:val="num" w:pos="360"/>
      </w:tabs>
      <w:autoSpaceDE w:val="0"/>
      <w:autoSpaceDN w:val="0"/>
      <w:adjustRightInd w:val="0"/>
      <w:spacing w:after="120" w:line="220" w:lineRule="exact"/>
      <w:ind w:left="360" w:hanging="360"/>
    </w:pPr>
    <w:rPr>
      <w:rFonts w:ascii="Gill Sans MT" w:eastAsia="Times New Roman" w:hAnsi="Gill Sans MT" w:cs="Times New Roman"/>
      <w:color w:val="000000"/>
      <w:sz w:val="20"/>
      <w:szCs w:val="20"/>
      <w:lang w:val="en-CA"/>
    </w:rPr>
  </w:style>
  <w:style w:type="paragraph" w:customStyle="1" w:styleId="Institucin">
    <w:name w:val="Institución"/>
    <w:basedOn w:val="Normal"/>
    <w:next w:val="Logro"/>
    <w:uiPriority w:val="99"/>
    <w:rsid w:val="004E5076"/>
    <w:pPr>
      <w:widowControl/>
      <w:tabs>
        <w:tab w:val="left" w:pos="1440"/>
        <w:tab w:val="right" w:pos="6480"/>
      </w:tabs>
      <w:autoSpaceDE w:val="0"/>
      <w:autoSpaceDN w:val="0"/>
      <w:adjustRightInd w:val="0"/>
      <w:spacing w:before="60" w:line="220" w:lineRule="atLeast"/>
    </w:pPr>
    <w:rPr>
      <w:rFonts w:ascii="Garamond" w:eastAsiaTheme="minorEastAsia" w:hAnsi="Garamond" w:cs="Times New Roman"/>
      <w:szCs w:val="20"/>
    </w:rPr>
  </w:style>
  <w:style w:type="paragraph" w:customStyle="1" w:styleId="Sinttulo">
    <w:name w:val="Sin título"/>
    <w:basedOn w:val="Normal"/>
    <w:uiPriority w:val="99"/>
    <w:rsid w:val="004E5076"/>
    <w:pPr>
      <w:widowControl/>
      <w:autoSpaceDE w:val="0"/>
      <w:autoSpaceDN w:val="0"/>
      <w:adjustRightInd w:val="0"/>
      <w:spacing w:before="220" w:line="220" w:lineRule="atLeast"/>
    </w:pPr>
    <w:rPr>
      <w:rFonts w:ascii="Garamond" w:eastAsiaTheme="minorEastAsia" w:hAnsi="Garamond" w:cs="Times New Roman"/>
      <w:caps/>
      <w:spacing w:val="15"/>
      <w:sz w:val="20"/>
      <w:szCs w:val="20"/>
    </w:rPr>
  </w:style>
  <w:style w:type="paragraph" w:customStyle="1" w:styleId="Normal2">
    <w:name w:val="Normal 2"/>
    <w:basedOn w:val="Normal"/>
    <w:rsid w:val="004E5076"/>
    <w:pPr>
      <w:widowControl/>
      <w:autoSpaceDE w:val="0"/>
      <w:autoSpaceDN w:val="0"/>
      <w:adjustRightInd w:val="0"/>
      <w:spacing w:line="288" w:lineRule="auto"/>
    </w:pPr>
    <w:rPr>
      <w:rFonts w:ascii="Times New Roman" w:eastAsiaTheme="minorEastAsia" w:hAnsi="Times New Roman" w:cs="Times New Roman"/>
      <w:sz w:val="24"/>
      <w:szCs w:val="20"/>
      <w:lang w:val="es-CL"/>
    </w:rPr>
  </w:style>
  <w:style w:type="character" w:customStyle="1" w:styleId="Listamulticolor-nfasis1Car">
    <w:name w:val="Lista multicolor - Énfasis 1 Car"/>
    <w:uiPriority w:val="34"/>
    <w:rsid w:val="004E5076"/>
    <w:rPr>
      <w:lang w:val="es-ES"/>
    </w:rPr>
  </w:style>
  <w:style w:type="paragraph" w:customStyle="1" w:styleId="Subhead">
    <w:name w:val="Subhead"/>
    <w:aliases w:val="Alt-S"/>
    <w:next w:val="Normal"/>
    <w:rsid w:val="004E5076"/>
    <w:pPr>
      <w:keepNext/>
      <w:autoSpaceDE w:val="0"/>
      <w:autoSpaceDN w:val="0"/>
      <w:adjustRightInd w:val="0"/>
      <w:spacing w:after="240"/>
    </w:pPr>
    <w:rPr>
      <w:rFonts w:eastAsia="Calibri"/>
      <w:b/>
      <w:noProof/>
    </w:rPr>
  </w:style>
  <w:style w:type="character" w:customStyle="1" w:styleId="Cover-JobTitle">
    <w:name w:val="Cover - Job Title"/>
    <w:uiPriority w:val="99"/>
    <w:rsid w:val="004E5076"/>
    <w:rPr>
      <w:rFonts w:ascii="Times New Roman" w:eastAsia="SimSun" w:hAnsi="Times New Roman"/>
      <w:b/>
      <w:color w:val="28AAE1"/>
      <w:sz w:val="32"/>
      <w:lang w:val="en-US"/>
    </w:rPr>
  </w:style>
  <w:style w:type="paragraph" w:customStyle="1" w:styleId="Cargo">
    <w:name w:val="Cargo"/>
    <w:next w:val="Logro"/>
    <w:rsid w:val="004E5076"/>
    <w:pPr>
      <w:autoSpaceDE w:val="0"/>
      <w:autoSpaceDN w:val="0"/>
      <w:adjustRightInd w:val="0"/>
      <w:spacing w:before="40" w:after="40" w:line="220" w:lineRule="atLeast"/>
    </w:pPr>
    <w:rPr>
      <w:rFonts w:ascii="Garamond" w:eastAsia="Batang" w:hAnsi="Garamond" w:cs="Times New Roman"/>
      <w:i/>
      <w:spacing w:val="5"/>
      <w:sz w:val="23"/>
      <w:szCs w:val="20"/>
    </w:rPr>
  </w:style>
  <w:style w:type="paragraph" w:customStyle="1" w:styleId="romano">
    <w:name w:val="romano"/>
    <w:basedOn w:val="Normal"/>
    <w:rsid w:val="004E5076"/>
    <w:pPr>
      <w:widowControl/>
      <w:tabs>
        <w:tab w:val="num" w:pos="720"/>
      </w:tabs>
      <w:autoSpaceDE w:val="0"/>
      <w:autoSpaceDN w:val="0"/>
      <w:adjustRightInd w:val="0"/>
      <w:ind w:left="720" w:hanging="720"/>
    </w:pPr>
    <w:rPr>
      <w:rFonts w:ascii="Times New Roman" w:eastAsiaTheme="minorEastAsia" w:hAnsi="Times New Roman" w:cs="Times New Roman"/>
      <w:b/>
      <w:sz w:val="24"/>
      <w:szCs w:val="24"/>
      <w:lang w:val="es-CL"/>
    </w:rPr>
  </w:style>
  <w:style w:type="paragraph" w:customStyle="1" w:styleId="romano2">
    <w:name w:val="romano 2"/>
    <w:basedOn w:val="Normal"/>
    <w:rsid w:val="004E5076"/>
    <w:pPr>
      <w:widowControl/>
      <w:autoSpaceDE w:val="0"/>
      <w:autoSpaceDN w:val="0"/>
      <w:adjustRightInd w:val="0"/>
      <w:spacing w:line="312" w:lineRule="auto"/>
    </w:pPr>
    <w:rPr>
      <w:rFonts w:ascii="Times New Roman" w:eastAsiaTheme="minorEastAsia" w:hAnsi="Times New Roman" w:cs="Times New Roman"/>
      <w:b/>
      <w:sz w:val="24"/>
      <w:szCs w:val="24"/>
      <w:lang w:val="es-CL"/>
    </w:rPr>
  </w:style>
  <w:style w:type="character" w:customStyle="1" w:styleId="romanoCar">
    <w:name w:val="romano Car"/>
    <w:rsid w:val="004E5076"/>
    <w:rPr>
      <w:rFonts w:ascii="Times New Roman" w:hAnsi="Times New Roman"/>
      <w:b/>
      <w:sz w:val="24"/>
      <w:lang w:val="es-CL"/>
    </w:rPr>
  </w:style>
  <w:style w:type="character" w:customStyle="1" w:styleId="romano2Car">
    <w:name w:val="romano 2 Car"/>
    <w:rsid w:val="004E5076"/>
    <w:rPr>
      <w:rFonts w:ascii="Times New Roman" w:hAnsi="Times New Roman"/>
      <w:b/>
      <w:sz w:val="24"/>
      <w:lang w:val="es-CL"/>
    </w:rPr>
  </w:style>
  <w:style w:type="paragraph" w:customStyle="1" w:styleId="figurat">
    <w:name w:val="figurat"/>
    <w:basedOn w:val="Descripcin"/>
    <w:uiPriority w:val="99"/>
    <w:rsid w:val="004E5076"/>
    <w:pPr>
      <w:widowControl/>
      <w:spacing w:after="120"/>
      <w:jc w:val="center"/>
    </w:pPr>
    <w:rPr>
      <w:rFonts w:ascii="Verdana" w:eastAsiaTheme="minorEastAsia" w:hAnsi="Verdana" w:cs="Times New Roman"/>
      <w:caps w:val="0"/>
      <w:sz w:val="18"/>
      <w:szCs w:val="20"/>
      <w:lang w:val="en-US"/>
    </w:rPr>
  </w:style>
  <w:style w:type="character" w:customStyle="1" w:styleId="figuratChar">
    <w:name w:val="figurat Char"/>
    <w:uiPriority w:val="99"/>
    <w:rsid w:val="004E5076"/>
    <w:rPr>
      <w:rFonts w:ascii="Verdana" w:hAnsi="Verdana"/>
      <w:b/>
      <w:sz w:val="20"/>
      <w:lang w:val="en-US"/>
    </w:rPr>
  </w:style>
  <w:style w:type="paragraph" w:customStyle="1" w:styleId="logro0">
    <w:name w:val="logro"/>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default0">
    <w:name w:val="defaul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cargo0">
    <w:name w:val="cargo"/>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table" w:styleId="Sombreadomedio1">
    <w:name w:val="Medium Shading 1"/>
    <w:basedOn w:val="Tablanormal"/>
    <w:uiPriority w:val="63"/>
    <w:unhideWhenUsed/>
    <w:rsid w:val="004E5076"/>
    <w:rPr>
      <w:rFonts w:ascii="Calibri" w:eastAsia="Calibri" w:hAnsi="Calibri" w:cs="Calibri"/>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royecto">
    <w:name w:val="proyecto"/>
    <w:basedOn w:val="Normal"/>
    <w:rsid w:val="004E5076"/>
    <w:pPr>
      <w:widowControl/>
      <w:autoSpaceDE w:val="0"/>
      <w:autoSpaceDN w:val="0"/>
      <w:adjustRightInd w:val="0"/>
      <w:spacing w:before="100" w:beforeAutospacing="1" w:after="100" w:afterAutospacing="1"/>
    </w:pPr>
    <w:rPr>
      <w:rFonts w:ascii="Calibri" w:eastAsiaTheme="minorEastAsia" w:hAnsi="Calibri" w:cs="Times New Roman"/>
      <w:szCs w:val="24"/>
      <w:lang w:val="es-CL"/>
    </w:rPr>
  </w:style>
  <w:style w:type="character" w:customStyle="1" w:styleId="articleseperator">
    <w:name w:val="article_seperator"/>
    <w:basedOn w:val="Fuentedeprrafopredeter"/>
    <w:rsid w:val="004E5076"/>
    <w:rPr>
      <w:rFonts w:cs="Times New Roman"/>
    </w:rPr>
  </w:style>
  <w:style w:type="paragraph" w:styleId="Ttulodendice">
    <w:name w:val="index heading"/>
    <w:basedOn w:val="Normal"/>
    <w:next w:val="ndice1"/>
    <w:uiPriority w:val="99"/>
    <w:rsid w:val="004E5076"/>
    <w:pPr>
      <w:widowControl/>
      <w:autoSpaceDE w:val="0"/>
      <w:autoSpaceDN w:val="0"/>
      <w:adjustRightInd w:val="0"/>
    </w:pPr>
    <w:rPr>
      <w:rFonts w:eastAsiaTheme="minorEastAsia"/>
      <w:b/>
      <w:szCs w:val="20"/>
      <w:lang w:val="es-CL" w:bidi="he-IL"/>
    </w:rPr>
  </w:style>
  <w:style w:type="paragraph" w:customStyle="1" w:styleId="rojo10n">
    <w:name w:val="rojo10n"/>
    <w:basedOn w:val="Normal"/>
    <w:rsid w:val="004E5076"/>
    <w:pPr>
      <w:widowControl/>
      <w:autoSpaceDE w:val="0"/>
      <w:autoSpaceDN w:val="0"/>
      <w:adjustRightInd w:val="0"/>
      <w:spacing w:before="100" w:beforeAutospacing="1" w:after="100" w:afterAutospacing="1"/>
    </w:pPr>
    <w:rPr>
      <w:rFonts w:ascii="Helvetica" w:eastAsiaTheme="minorEastAsia" w:hAnsi="Helvetica" w:cs="Helvetica"/>
      <w:b/>
      <w:color w:val="CD0000"/>
      <w:sz w:val="20"/>
      <w:szCs w:val="20"/>
      <w:lang w:val="es-CL"/>
    </w:rPr>
  </w:style>
  <w:style w:type="paragraph" w:customStyle="1" w:styleId="CarCarCharCharCarCarCarCharCharCarCarCarCar">
    <w:name w:val="Car Car Char Char Car Car Car Char Char Car Car Car C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CL"/>
    </w:rPr>
  </w:style>
  <w:style w:type="paragraph" w:customStyle="1" w:styleId="estilo10">
    <w:name w:val="estilo1"/>
    <w:basedOn w:val="Normal"/>
    <w:rsid w:val="004E5076"/>
    <w:pPr>
      <w:widowControl/>
      <w:autoSpaceDE w:val="0"/>
      <w:autoSpaceDN w:val="0"/>
      <w:adjustRightInd w:val="0"/>
      <w:spacing w:before="100" w:beforeAutospacing="1" w:after="100" w:afterAutospacing="1"/>
    </w:pPr>
    <w:rPr>
      <w:rFonts w:eastAsiaTheme="minorEastAsia"/>
      <w:szCs w:val="24"/>
      <w:lang w:val="es-CL"/>
    </w:rPr>
  </w:style>
  <w:style w:type="paragraph" w:customStyle="1" w:styleId="Referncias-Bibliogrficas">
    <w:name w:val="Referências-Bibliográficas"/>
    <w:basedOn w:val="Normal"/>
    <w:next w:val="Normal"/>
    <w:rsid w:val="004E5076"/>
    <w:pPr>
      <w:widowControl/>
      <w:autoSpaceDE w:val="0"/>
      <w:autoSpaceDN w:val="0"/>
      <w:adjustRightInd w:val="0"/>
      <w:spacing w:after="120"/>
    </w:pPr>
    <w:rPr>
      <w:rFonts w:ascii="AKKOFD+TimesNewRoman" w:eastAsiaTheme="minorEastAsia" w:hAnsi="AKKOFD+TimesNewRoman" w:cs="Times New Roman"/>
      <w:szCs w:val="24"/>
      <w:lang w:val="en-US"/>
    </w:rPr>
  </w:style>
  <w:style w:type="paragraph" w:customStyle="1" w:styleId="p0">
    <w:name w:val="p0"/>
    <w:basedOn w:val="Normal"/>
    <w:rsid w:val="004E5076"/>
    <w:pPr>
      <w:tabs>
        <w:tab w:val="left" w:pos="720"/>
      </w:tabs>
      <w:autoSpaceDE w:val="0"/>
      <w:autoSpaceDN w:val="0"/>
      <w:adjustRightInd w:val="0"/>
      <w:spacing w:line="240" w:lineRule="atLeast"/>
    </w:pPr>
    <w:rPr>
      <w:rFonts w:ascii="Calibri" w:eastAsiaTheme="minorEastAsia" w:hAnsi="Calibri" w:cs="Times New Roman"/>
      <w:szCs w:val="20"/>
      <w:lang w:val="es-CL"/>
    </w:rPr>
  </w:style>
  <w:style w:type="paragraph" w:customStyle="1" w:styleId="Ttulo-base">
    <w:name w:val="Título - base"/>
    <w:basedOn w:val="Textoindependiente"/>
    <w:next w:val="Textoindependiente"/>
    <w:rsid w:val="004E5076"/>
    <w:pPr>
      <w:keepNext/>
      <w:keepLines/>
      <w:widowControl/>
      <w:adjustRightInd w:val="0"/>
      <w:spacing w:line="240" w:lineRule="atLeast"/>
      <w:jc w:val="both"/>
    </w:pPr>
    <w:rPr>
      <w:rFonts w:ascii="Garamond" w:eastAsiaTheme="minorEastAsia" w:hAnsi="Garamond" w:cs="Times New Roman"/>
      <w:kern w:val="20"/>
      <w:szCs w:val="20"/>
      <w:lang w:val="es-PE" w:eastAsia="es-PE"/>
    </w:rPr>
  </w:style>
  <w:style w:type="character" w:customStyle="1" w:styleId="Hipervnculo2">
    <w:name w:val="Hipervínculo2"/>
    <w:basedOn w:val="Fuentedeprrafopredeter"/>
    <w:rsid w:val="004E5076"/>
    <w:rPr>
      <w:rFonts w:cs="Times New Roman"/>
      <w:color w:val="204E84"/>
      <w:u w:val="single"/>
    </w:rPr>
  </w:style>
  <w:style w:type="paragraph" w:customStyle="1" w:styleId="CarCarCharCharCarCarCarCharChar">
    <w:name w:val="Car Car Char Char Car Car Car Char Ch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CL"/>
    </w:rPr>
  </w:style>
  <w:style w:type="character" w:customStyle="1" w:styleId="inlinetitle">
    <w:name w:val="inlinetitle"/>
    <w:basedOn w:val="Fuentedeprrafopredeter"/>
    <w:rsid w:val="004E5076"/>
    <w:rPr>
      <w:rFonts w:ascii="Verdana" w:hAnsi="Verdana" w:cs="Times New Roman"/>
      <w:b/>
      <w:sz w:val="31"/>
      <w:szCs w:val="31"/>
    </w:rPr>
  </w:style>
  <w:style w:type="paragraph" w:customStyle="1" w:styleId="Pa4">
    <w:name w:val="Pa4"/>
    <w:basedOn w:val="Normal"/>
    <w:next w:val="Normal"/>
    <w:rsid w:val="004E5076"/>
    <w:pPr>
      <w:widowControl/>
      <w:autoSpaceDE w:val="0"/>
      <w:autoSpaceDN w:val="0"/>
      <w:adjustRightInd w:val="0"/>
      <w:spacing w:line="241" w:lineRule="atLeast"/>
    </w:pPr>
    <w:rPr>
      <w:rFonts w:ascii="FLJXOI+Frutiger-BoldItalic" w:eastAsiaTheme="minorEastAsia" w:hAnsi="FLJXOI+Frutiger-BoldItalic" w:cs="Times New Roman"/>
      <w:szCs w:val="24"/>
      <w:lang w:val="en-US"/>
    </w:rPr>
  </w:style>
  <w:style w:type="character" w:customStyle="1" w:styleId="A2">
    <w:name w:val="A2"/>
    <w:rsid w:val="004E5076"/>
    <w:rPr>
      <w:color w:val="000000"/>
      <w:sz w:val="20"/>
    </w:rPr>
  </w:style>
  <w:style w:type="paragraph" w:customStyle="1" w:styleId="Pa5">
    <w:name w:val="Pa5"/>
    <w:basedOn w:val="Normal"/>
    <w:next w:val="Normal"/>
    <w:rsid w:val="004E5076"/>
    <w:pPr>
      <w:widowControl/>
      <w:autoSpaceDE w:val="0"/>
      <w:autoSpaceDN w:val="0"/>
      <w:adjustRightInd w:val="0"/>
      <w:spacing w:line="241" w:lineRule="atLeast"/>
    </w:pPr>
    <w:rPr>
      <w:rFonts w:ascii="FLJXOI+Frutiger-BoldItalic" w:eastAsiaTheme="minorEastAsia" w:hAnsi="FLJXOI+Frutiger-BoldItalic" w:cs="Times New Roman"/>
      <w:szCs w:val="24"/>
      <w:lang w:val="en-US"/>
    </w:rPr>
  </w:style>
  <w:style w:type="paragraph" w:customStyle="1" w:styleId="Pa2">
    <w:name w:val="Pa2"/>
    <w:basedOn w:val="Normal"/>
    <w:next w:val="Normal"/>
    <w:rsid w:val="004E5076"/>
    <w:pPr>
      <w:widowControl/>
      <w:autoSpaceDE w:val="0"/>
      <w:autoSpaceDN w:val="0"/>
      <w:adjustRightInd w:val="0"/>
      <w:spacing w:line="241" w:lineRule="atLeast"/>
    </w:pPr>
    <w:rPr>
      <w:rFonts w:ascii="Engebrechtre" w:eastAsiaTheme="minorEastAsia" w:hAnsi="Engebrechtre" w:cs="Times New Roman"/>
      <w:szCs w:val="24"/>
      <w:lang w:val="en-US"/>
    </w:rPr>
  </w:style>
  <w:style w:type="paragraph" w:customStyle="1" w:styleId="Pa1">
    <w:name w:val="Pa1"/>
    <w:basedOn w:val="Normal"/>
    <w:next w:val="Normal"/>
    <w:rsid w:val="004E5076"/>
    <w:pPr>
      <w:widowControl/>
      <w:autoSpaceDE w:val="0"/>
      <w:autoSpaceDN w:val="0"/>
      <w:adjustRightInd w:val="0"/>
      <w:spacing w:line="241" w:lineRule="atLeast"/>
    </w:pPr>
    <w:rPr>
      <w:rFonts w:ascii="VPZFEC+Frutiger-Light" w:eastAsiaTheme="minorEastAsia" w:hAnsi="VPZFEC+Frutiger-Light" w:cs="Times New Roman"/>
      <w:szCs w:val="24"/>
      <w:lang w:val="en-US"/>
    </w:rPr>
  </w:style>
  <w:style w:type="paragraph" w:customStyle="1" w:styleId="Incisostabla">
    <w:name w:val="Incisos tabla"/>
    <w:basedOn w:val="Normal"/>
    <w:autoRedefine/>
    <w:rsid w:val="004E5076"/>
    <w:pPr>
      <w:widowControl/>
      <w:autoSpaceDE w:val="0"/>
      <w:autoSpaceDN w:val="0"/>
      <w:adjustRightInd w:val="0"/>
      <w:ind w:left="288" w:hanging="288"/>
    </w:pPr>
    <w:rPr>
      <w:rFonts w:ascii="Calibri" w:eastAsiaTheme="minorEastAsia" w:hAnsi="Calibri" w:cs="Times New Roman"/>
      <w:sz w:val="20"/>
      <w:szCs w:val="20"/>
      <w:lang w:val="es-MX"/>
    </w:rPr>
  </w:style>
  <w:style w:type="paragraph" w:customStyle="1" w:styleId="textobase">
    <w:name w:val="textobase"/>
    <w:basedOn w:val="Normal"/>
    <w:rsid w:val="004E5076"/>
    <w:pPr>
      <w:widowControl/>
      <w:autoSpaceDE w:val="0"/>
      <w:autoSpaceDN w:val="0"/>
      <w:adjustRightInd w:val="0"/>
      <w:spacing w:before="100" w:beforeAutospacing="1" w:after="100" w:afterAutospacing="1"/>
    </w:pPr>
    <w:rPr>
      <w:rFonts w:eastAsiaTheme="minorEastAsia"/>
      <w:color w:val="014E63"/>
      <w:sz w:val="20"/>
      <w:szCs w:val="20"/>
      <w:lang w:val="en-US"/>
    </w:rPr>
  </w:style>
  <w:style w:type="paragraph" w:customStyle="1" w:styleId="textonegro">
    <w:name w:val="textonegro"/>
    <w:basedOn w:val="Normal"/>
    <w:rsid w:val="004E5076"/>
    <w:pPr>
      <w:widowControl/>
      <w:autoSpaceDE w:val="0"/>
      <w:autoSpaceDN w:val="0"/>
      <w:adjustRightInd w:val="0"/>
      <w:spacing w:before="100" w:beforeAutospacing="1" w:after="100" w:afterAutospacing="1"/>
    </w:pPr>
    <w:rPr>
      <w:rFonts w:ascii="Verdana" w:eastAsiaTheme="minorEastAsia" w:hAnsi="Verdana" w:cs="Times New Roman"/>
      <w:color w:val="000000"/>
      <w:sz w:val="18"/>
      <w:szCs w:val="18"/>
      <w:lang w:val="en-US"/>
    </w:rPr>
  </w:style>
  <w:style w:type="paragraph" w:customStyle="1" w:styleId="style36">
    <w:name w:val="style36"/>
    <w:basedOn w:val="Normal"/>
    <w:rsid w:val="004E5076"/>
    <w:pPr>
      <w:widowControl/>
      <w:autoSpaceDE w:val="0"/>
      <w:autoSpaceDN w:val="0"/>
      <w:adjustRightInd w:val="0"/>
      <w:spacing w:before="100" w:beforeAutospacing="1" w:after="100" w:afterAutospacing="1"/>
    </w:pPr>
    <w:rPr>
      <w:rFonts w:ascii="Calibri" w:eastAsiaTheme="minorEastAsia" w:hAnsi="Calibri" w:cs="Times New Roman"/>
      <w:color w:val="666666"/>
      <w:szCs w:val="24"/>
      <w:lang w:val="en-US"/>
    </w:rPr>
  </w:style>
  <w:style w:type="character" w:customStyle="1" w:styleId="CharCharChar">
    <w:name w:val="Char Char Char"/>
    <w:basedOn w:val="Fuentedeprrafopredeter"/>
    <w:rsid w:val="004E5076"/>
    <w:rPr>
      <w:rFonts w:cs="Times New Roman"/>
      <w:lang w:val="es-ES" w:bidi="ar-SA"/>
    </w:rPr>
  </w:style>
  <w:style w:type="paragraph" w:customStyle="1" w:styleId="Texto2">
    <w:name w:val="Texto"/>
    <w:basedOn w:val="Normal"/>
    <w:rsid w:val="004E5076"/>
    <w:pPr>
      <w:widowControl/>
      <w:autoSpaceDE w:val="0"/>
      <w:autoSpaceDN w:val="0"/>
      <w:adjustRightInd w:val="0"/>
      <w:spacing w:after="101" w:line="216" w:lineRule="exact"/>
      <w:ind w:firstLine="288"/>
    </w:pPr>
    <w:rPr>
      <w:rFonts w:eastAsiaTheme="minorEastAsia"/>
      <w:sz w:val="18"/>
      <w:szCs w:val="20"/>
      <w:lang w:val="es-CL"/>
    </w:rPr>
  </w:style>
  <w:style w:type="character" w:customStyle="1" w:styleId="TextoCar">
    <w:name w:val="Texto Car"/>
    <w:rsid w:val="004E5076"/>
    <w:rPr>
      <w:rFonts w:ascii="Arial" w:hAnsi="Arial"/>
      <w:sz w:val="20"/>
      <w:lang w:val="es-CL"/>
    </w:rPr>
  </w:style>
  <w:style w:type="paragraph" w:customStyle="1" w:styleId="Annex0">
    <w:name w:val="Annex"/>
    <w:basedOn w:val="Normal"/>
    <w:rsid w:val="004E5076"/>
    <w:pPr>
      <w:widowControl/>
      <w:autoSpaceDE w:val="0"/>
      <w:autoSpaceDN w:val="0"/>
      <w:adjustRightInd w:val="0"/>
    </w:pPr>
    <w:rPr>
      <w:rFonts w:ascii="Times New Roman" w:eastAsiaTheme="minorEastAsia" w:hAnsi="Times New Roman" w:cs="Times New Roman"/>
      <w:caps/>
      <w:szCs w:val="20"/>
      <w:lang w:val="es-CL"/>
    </w:rPr>
  </w:style>
  <w:style w:type="paragraph" w:customStyle="1" w:styleId="Body1">
    <w:name w:val="Body 1"/>
    <w:rsid w:val="004E5076"/>
    <w:pPr>
      <w:autoSpaceDE w:val="0"/>
      <w:autoSpaceDN w:val="0"/>
      <w:adjustRightInd w:val="0"/>
      <w:outlineLvl w:val="0"/>
    </w:pPr>
    <w:rPr>
      <w:rFonts w:ascii="Times New Roman" w:eastAsia="Times New Roman" w:hAnsi="Times New Roman" w:cs="Times New Roman"/>
      <w:color w:val="000000"/>
      <w:sz w:val="24"/>
      <w:szCs w:val="20"/>
      <w:lang w:val="en-US"/>
    </w:rPr>
  </w:style>
  <w:style w:type="paragraph" w:customStyle="1" w:styleId="List1">
    <w:name w:val="List 1"/>
    <w:basedOn w:val="Normal"/>
    <w:rsid w:val="004E5076"/>
    <w:pPr>
      <w:widowControl/>
      <w:tabs>
        <w:tab w:val="num" w:pos="720"/>
      </w:tabs>
      <w:autoSpaceDE w:val="0"/>
      <w:autoSpaceDN w:val="0"/>
      <w:adjustRightInd w:val="0"/>
      <w:ind w:left="720" w:hanging="720"/>
    </w:pPr>
    <w:rPr>
      <w:rFonts w:ascii="Times New Roman" w:eastAsiaTheme="minorEastAsia" w:hAnsi="Times New Roman" w:cs="Times New Roman"/>
      <w:sz w:val="20"/>
      <w:szCs w:val="20"/>
      <w:lang w:val="en-US"/>
    </w:rPr>
  </w:style>
  <w:style w:type="paragraph" w:customStyle="1" w:styleId="BoxBullet">
    <w:name w:val="Box Bullet"/>
    <w:aliases w:val="Alt-3"/>
    <w:basedOn w:val="Normal"/>
    <w:next w:val="Normal"/>
    <w:rsid w:val="004E5076"/>
    <w:pPr>
      <w:widowControl/>
      <w:tabs>
        <w:tab w:val="num" w:pos="360"/>
      </w:tabs>
      <w:autoSpaceDE w:val="0"/>
      <w:autoSpaceDN w:val="0"/>
      <w:adjustRightInd w:val="0"/>
      <w:ind w:left="360" w:hanging="360"/>
    </w:pPr>
    <w:rPr>
      <w:rFonts w:eastAsiaTheme="minorEastAsia"/>
      <w:noProof/>
      <w:kern w:val="20"/>
      <w:sz w:val="18"/>
      <w:szCs w:val="18"/>
      <w:lang w:val="es-PE"/>
    </w:rPr>
  </w:style>
  <w:style w:type="character" w:customStyle="1" w:styleId="CarCarCarCarCar">
    <w:name w:val="Car Car Car Car Car"/>
    <w:aliases w:val="Car Car Car Car Car Car Car Car, Car Car Car Car Car Car Car Car"/>
    <w:basedOn w:val="Fuentedeprrafopredeter"/>
    <w:rsid w:val="004E5076"/>
    <w:rPr>
      <w:rFonts w:cs="Times New Roman"/>
      <w:sz w:val="24"/>
      <w:szCs w:val="24"/>
      <w:lang w:val="es-ES" w:bidi="ar-SA"/>
    </w:rPr>
  </w:style>
  <w:style w:type="paragraph" w:styleId="Continuarlista2">
    <w:name w:val="List Continue 2"/>
    <w:basedOn w:val="Normal"/>
    <w:rsid w:val="004E5076"/>
    <w:pPr>
      <w:widowControl/>
      <w:autoSpaceDE w:val="0"/>
      <w:autoSpaceDN w:val="0"/>
      <w:adjustRightInd w:val="0"/>
      <w:spacing w:after="120"/>
      <w:ind w:left="566"/>
      <w:contextualSpacing/>
    </w:pPr>
    <w:rPr>
      <w:rFonts w:eastAsia="ヒラギノ角ゴ Pro W3" w:cs="Times New Roman"/>
      <w:color w:val="000000"/>
      <w:szCs w:val="24"/>
      <w:lang w:val="es-ES_tradnl"/>
    </w:rPr>
  </w:style>
  <w:style w:type="paragraph" w:styleId="Continuarlista3">
    <w:name w:val="List Continue 3"/>
    <w:basedOn w:val="Normal"/>
    <w:rsid w:val="004E5076"/>
    <w:pPr>
      <w:widowControl/>
      <w:autoSpaceDE w:val="0"/>
      <w:autoSpaceDN w:val="0"/>
      <w:adjustRightInd w:val="0"/>
      <w:spacing w:after="120"/>
      <w:ind w:left="849"/>
      <w:contextualSpacing/>
    </w:pPr>
    <w:rPr>
      <w:rFonts w:eastAsia="ヒラギノ角ゴ Pro W3" w:cs="Times New Roman"/>
      <w:color w:val="000000"/>
      <w:szCs w:val="24"/>
      <w:lang w:val="es-ES_tradnl"/>
    </w:rPr>
  </w:style>
  <w:style w:type="paragraph" w:styleId="Continuarlista5">
    <w:name w:val="List Continue 5"/>
    <w:basedOn w:val="Normal"/>
    <w:uiPriority w:val="99"/>
    <w:rsid w:val="004E5076"/>
    <w:pPr>
      <w:widowControl/>
      <w:autoSpaceDE w:val="0"/>
      <w:autoSpaceDN w:val="0"/>
      <w:adjustRightInd w:val="0"/>
      <w:spacing w:after="120"/>
      <w:ind w:left="1415"/>
      <w:contextualSpacing/>
    </w:pPr>
    <w:rPr>
      <w:rFonts w:eastAsia="ヒラギノ角ゴ Pro W3" w:cs="Times New Roman"/>
      <w:color w:val="000000"/>
      <w:szCs w:val="24"/>
      <w:lang w:val="es-ES_tradnl"/>
    </w:rPr>
  </w:style>
  <w:style w:type="paragraph" w:styleId="DireccinHTML">
    <w:name w:val="HTML Address"/>
    <w:basedOn w:val="Normal"/>
    <w:link w:val="DireccinHTMLCar"/>
    <w:uiPriority w:val="99"/>
    <w:rsid w:val="004E5076"/>
    <w:pPr>
      <w:widowControl/>
      <w:autoSpaceDE w:val="0"/>
      <w:autoSpaceDN w:val="0"/>
      <w:adjustRightInd w:val="0"/>
    </w:pPr>
    <w:rPr>
      <w:rFonts w:eastAsia="ヒラギノ角ゴ Pro W3" w:cs="Times New Roman"/>
      <w:i/>
      <w:color w:val="000000"/>
      <w:szCs w:val="24"/>
      <w:lang w:val="es-ES_tradnl"/>
    </w:rPr>
  </w:style>
  <w:style w:type="character" w:customStyle="1" w:styleId="DireccinHTMLCar">
    <w:name w:val="Dirección HTML Car"/>
    <w:basedOn w:val="Fuentedeprrafopredeter"/>
    <w:link w:val="DireccinHTML"/>
    <w:uiPriority w:val="99"/>
    <w:rsid w:val="004E5076"/>
    <w:rPr>
      <w:rFonts w:ascii="Arial" w:eastAsia="ヒラギノ角ゴ Pro W3" w:hAnsi="Arial" w:cs="Times New Roman"/>
      <w:i/>
      <w:color w:val="000000"/>
      <w:kern w:val="0"/>
      <w:szCs w:val="24"/>
      <w:lang w:val="es-ES_tradnl" w:eastAsia="es-PE"/>
    </w:rPr>
  </w:style>
  <w:style w:type="paragraph" w:styleId="Direccinsobre">
    <w:name w:val="envelope address"/>
    <w:basedOn w:val="Normal"/>
    <w:uiPriority w:val="99"/>
    <w:rsid w:val="004E5076"/>
    <w:pPr>
      <w:framePr w:w="7920" w:h="1980" w:hRule="exact" w:hSpace="141" w:wrap="auto" w:hAnchor="page" w:xAlign="center" w:yAlign="bottom"/>
      <w:widowControl/>
      <w:autoSpaceDE w:val="0"/>
      <w:autoSpaceDN w:val="0"/>
      <w:adjustRightInd w:val="0"/>
      <w:ind w:left="2880"/>
    </w:pPr>
    <w:rPr>
      <w:rFonts w:ascii="Calibri Light" w:eastAsia="Yu Gothic Light" w:hAnsi="Calibri Light" w:cs="Times New Roman"/>
      <w:color w:val="000000"/>
      <w:sz w:val="24"/>
      <w:szCs w:val="24"/>
      <w:lang w:val="es-ES_tradnl"/>
    </w:rPr>
  </w:style>
  <w:style w:type="paragraph" w:styleId="Encabezadodelista">
    <w:name w:val="toa heading"/>
    <w:basedOn w:val="Normal"/>
    <w:next w:val="Normal"/>
    <w:uiPriority w:val="99"/>
    <w:rsid w:val="004E5076"/>
    <w:pPr>
      <w:widowControl/>
      <w:autoSpaceDE w:val="0"/>
      <w:autoSpaceDN w:val="0"/>
      <w:adjustRightInd w:val="0"/>
      <w:spacing w:before="120"/>
    </w:pPr>
    <w:rPr>
      <w:rFonts w:ascii="Calibri Light" w:eastAsia="Yu Gothic Light" w:hAnsi="Calibri Light" w:cs="Times New Roman"/>
      <w:b/>
      <w:color w:val="000000"/>
      <w:sz w:val="24"/>
      <w:szCs w:val="24"/>
      <w:lang w:val="es-ES_tradnl"/>
    </w:rPr>
  </w:style>
  <w:style w:type="paragraph" w:styleId="Encabezadodenota">
    <w:name w:val="Note Heading"/>
    <w:basedOn w:val="Normal"/>
    <w:next w:val="Normal"/>
    <w:link w:val="EncabezadodenotaCar"/>
    <w:rsid w:val="004E5076"/>
    <w:pPr>
      <w:widowControl/>
      <w:autoSpaceDE w:val="0"/>
      <w:autoSpaceDN w:val="0"/>
      <w:adjustRightInd w:val="0"/>
    </w:pPr>
    <w:rPr>
      <w:rFonts w:eastAsia="ヒラギノ角ゴ Pro W3" w:cs="Times New Roman"/>
      <w:color w:val="000000"/>
      <w:szCs w:val="24"/>
      <w:lang w:val="es-ES_tradnl"/>
    </w:rPr>
  </w:style>
  <w:style w:type="character" w:customStyle="1" w:styleId="EncabezadodenotaCar">
    <w:name w:val="Encabezado de nota Car"/>
    <w:basedOn w:val="Fuentedeprrafopredeter"/>
    <w:link w:val="Encabezadodenota"/>
    <w:rsid w:val="004E5076"/>
    <w:rPr>
      <w:rFonts w:ascii="Arial" w:eastAsia="ヒラギノ角ゴ Pro W3" w:hAnsi="Arial" w:cs="Times New Roman"/>
      <w:color w:val="000000"/>
      <w:kern w:val="0"/>
      <w:szCs w:val="24"/>
      <w:lang w:val="es-ES_tradnl" w:eastAsia="es-PE"/>
    </w:rPr>
  </w:style>
  <w:style w:type="paragraph" w:styleId="Firmadecorreoelectrnico">
    <w:name w:val="E-mail Signature"/>
    <w:basedOn w:val="Normal"/>
    <w:link w:val="FirmadecorreoelectrnicoCar"/>
    <w:uiPriority w:val="99"/>
    <w:rsid w:val="004E5076"/>
    <w:pPr>
      <w:widowControl/>
      <w:autoSpaceDE w:val="0"/>
      <w:autoSpaceDN w:val="0"/>
      <w:adjustRightInd w:val="0"/>
    </w:pPr>
    <w:rPr>
      <w:rFonts w:eastAsia="ヒラギノ角ゴ Pro W3" w:cs="Times New Roman"/>
      <w:color w:val="000000"/>
      <w:szCs w:val="24"/>
      <w:lang w:val="es-ES_tradnl"/>
    </w:rPr>
  </w:style>
  <w:style w:type="character" w:customStyle="1" w:styleId="FirmadecorreoelectrnicoCar">
    <w:name w:val="Firma de correo electrónico Car"/>
    <w:basedOn w:val="Fuentedeprrafopredeter"/>
    <w:link w:val="Firmadecorreoelectrnico"/>
    <w:uiPriority w:val="99"/>
    <w:rsid w:val="004E5076"/>
    <w:rPr>
      <w:rFonts w:ascii="Arial" w:eastAsia="ヒラギノ角ゴ Pro W3" w:hAnsi="Arial" w:cs="Times New Roman"/>
      <w:color w:val="000000"/>
      <w:kern w:val="0"/>
      <w:szCs w:val="24"/>
      <w:lang w:val="es-ES_tradnl" w:eastAsia="es-PE"/>
    </w:rPr>
  </w:style>
  <w:style w:type="paragraph" w:styleId="ndice4">
    <w:name w:val="index 4"/>
    <w:basedOn w:val="Normal"/>
    <w:next w:val="Normal"/>
    <w:autoRedefine/>
    <w:uiPriority w:val="99"/>
    <w:rsid w:val="004E5076"/>
    <w:pPr>
      <w:widowControl/>
      <w:autoSpaceDE w:val="0"/>
      <w:autoSpaceDN w:val="0"/>
      <w:adjustRightInd w:val="0"/>
      <w:ind w:left="880" w:hanging="220"/>
    </w:pPr>
    <w:rPr>
      <w:rFonts w:eastAsia="ヒラギノ角ゴ Pro W3" w:cs="Times New Roman"/>
      <w:color w:val="000000"/>
      <w:szCs w:val="24"/>
      <w:lang w:val="es-ES_tradnl"/>
    </w:rPr>
  </w:style>
  <w:style w:type="paragraph" w:styleId="ndice6">
    <w:name w:val="index 6"/>
    <w:basedOn w:val="Normal"/>
    <w:next w:val="Normal"/>
    <w:autoRedefine/>
    <w:uiPriority w:val="99"/>
    <w:rsid w:val="004E5076"/>
    <w:pPr>
      <w:widowControl/>
      <w:autoSpaceDE w:val="0"/>
      <w:autoSpaceDN w:val="0"/>
      <w:adjustRightInd w:val="0"/>
      <w:ind w:left="1320" w:hanging="220"/>
    </w:pPr>
    <w:rPr>
      <w:rFonts w:eastAsia="ヒラギノ角ゴ Pro W3" w:cs="Times New Roman"/>
      <w:color w:val="000000"/>
      <w:szCs w:val="24"/>
      <w:lang w:val="es-ES_tradnl"/>
    </w:rPr>
  </w:style>
  <w:style w:type="paragraph" w:styleId="ndice7">
    <w:name w:val="index 7"/>
    <w:basedOn w:val="Normal"/>
    <w:next w:val="Normal"/>
    <w:autoRedefine/>
    <w:uiPriority w:val="99"/>
    <w:rsid w:val="004E5076"/>
    <w:pPr>
      <w:widowControl/>
      <w:autoSpaceDE w:val="0"/>
      <w:autoSpaceDN w:val="0"/>
      <w:adjustRightInd w:val="0"/>
      <w:ind w:left="1540" w:hanging="220"/>
    </w:pPr>
    <w:rPr>
      <w:rFonts w:eastAsia="ヒラギノ角ゴ Pro W3" w:cs="Times New Roman"/>
      <w:color w:val="000000"/>
      <w:szCs w:val="24"/>
      <w:lang w:val="es-ES_tradnl"/>
    </w:rPr>
  </w:style>
  <w:style w:type="paragraph" w:styleId="ndice8">
    <w:name w:val="index 8"/>
    <w:basedOn w:val="Normal"/>
    <w:next w:val="Normal"/>
    <w:autoRedefine/>
    <w:uiPriority w:val="99"/>
    <w:rsid w:val="004E5076"/>
    <w:pPr>
      <w:widowControl/>
      <w:autoSpaceDE w:val="0"/>
      <w:autoSpaceDN w:val="0"/>
      <w:adjustRightInd w:val="0"/>
      <w:ind w:left="1760" w:hanging="220"/>
    </w:pPr>
    <w:rPr>
      <w:rFonts w:eastAsia="ヒラギノ角ゴ Pro W3" w:cs="Times New Roman"/>
      <w:color w:val="000000"/>
      <w:szCs w:val="24"/>
      <w:lang w:val="es-ES_tradnl"/>
    </w:rPr>
  </w:style>
  <w:style w:type="paragraph" w:styleId="ndice9">
    <w:name w:val="index 9"/>
    <w:basedOn w:val="Normal"/>
    <w:next w:val="Normal"/>
    <w:autoRedefine/>
    <w:uiPriority w:val="99"/>
    <w:rsid w:val="004E5076"/>
    <w:pPr>
      <w:widowControl/>
      <w:autoSpaceDE w:val="0"/>
      <w:autoSpaceDN w:val="0"/>
      <w:adjustRightInd w:val="0"/>
      <w:ind w:left="1980" w:hanging="220"/>
    </w:pPr>
    <w:rPr>
      <w:rFonts w:eastAsia="ヒラギノ角ゴ Pro W3" w:cs="Times New Roman"/>
      <w:color w:val="000000"/>
      <w:szCs w:val="24"/>
      <w:lang w:val="es-ES_tradnl"/>
    </w:rPr>
  </w:style>
  <w:style w:type="paragraph" w:styleId="Remitedesobre">
    <w:name w:val="envelope return"/>
    <w:basedOn w:val="Normal"/>
    <w:uiPriority w:val="99"/>
    <w:rsid w:val="004E5076"/>
    <w:pPr>
      <w:widowControl/>
      <w:autoSpaceDE w:val="0"/>
      <w:autoSpaceDN w:val="0"/>
      <w:adjustRightInd w:val="0"/>
    </w:pPr>
    <w:rPr>
      <w:rFonts w:ascii="Calibri Light" w:eastAsia="Yu Gothic Light" w:hAnsi="Calibri Light" w:cs="Times New Roman"/>
      <w:color w:val="000000"/>
      <w:sz w:val="20"/>
      <w:szCs w:val="20"/>
      <w:lang w:val="es-ES_tradnl"/>
    </w:rPr>
  </w:style>
  <w:style w:type="paragraph" w:styleId="Textoconsangra">
    <w:name w:val="table of authorities"/>
    <w:basedOn w:val="Normal"/>
    <w:next w:val="Normal"/>
    <w:uiPriority w:val="99"/>
    <w:rsid w:val="004E5076"/>
    <w:pPr>
      <w:widowControl/>
      <w:autoSpaceDE w:val="0"/>
      <w:autoSpaceDN w:val="0"/>
      <w:adjustRightInd w:val="0"/>
      <w:ind w:left="220" w:hanging="220"/>
    </w:pPr>
    <w:rPr>
      <w:rFonts w:eastAsia="ヒラギノ角ゴ Pro W3" w:cs="Times New Roman"/>
      <w:color w:val="000000"/>
      <w:szCs w:val="24"/>
      <w:lang w:val="es-ES_tradnl"/>
    </w:rPr>
  </w:style>
  <w:style w:type="paragraph" w:styleId="Textomacro">
    <w:name w:val="macro"/>
    <w:link w:val="TextomacroCar"/>
    <w:uiPriority w:val="99"/>
    <w:rsid w:val="004E5076"/>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nsolas" w:eastAsia="ヒラギノ角ゴ Pro W3" w:hAnsi="Consolas" w:cs="Consolas"/>
      <w:color w:val="000000"/>
      <w:sz w:val="20"/>
      <w:szCs w:val="20"/>
      <w:lang w:val="es-ES_tradnl"/>
    </w:rPr>
  </w:style>
  <w:style w:type="character" w:customStyle="1" w:styleId="TextomacroCar">
    <w:name w:val="Texto macro Car"/>
    <w:basedOn w:val="Fuentedeprrafopredeter"/>
    <w:link w:val="Textomacro"/>
    <w:uiPriority w:val="99"/>
    <w:rsid w:val="004E5076"/>
    <w:rPr>
      <w:rFonts w:ascii="Consolas" w:eastAsia="ヒラギノ角ゴ Pro W3" w:hAnsi="Consolas" w:cs="Consolas"/>
      <w:color w:val="000000"/>
      <w:kern w:val="0"/>
      <w:sz w:val="20"/>
      <w:szCs w:val="20"/>
      <w:lang w:val="es-ES_tradnl" w:eastAsia="es-PE"/>
    </w:rPr>
  </w:style>
  <w:style w:type="paragraph" w:customStyle="1" w:styleId="CarCar3CharChar">
    <w:name w:val="Car Car3 Char Char"/>
    <w:basedOn w:val="Normal"/>
    <w:next w:val="Normal"/>
    <w:rsid w:val="004E5076"/>
    <w:pPr>
      <w:widowControl/>
      <w:tabs>
        <w:tab w:val="num" w:pos="432"/>
      </w:tabs>
      <w:autoSpaceDE w:val="0"/>
      <w:autoSpaceDN w:val="0"/>
      <w:adjustRightInd w:val="0"/>
      <w:ind w:left="432" w:hanging="432"/>
    </w:pPr>
    <w:rPr>
      <w:rFonts w:ascii="Times New Roman Negrita" w:eastAsiaTheme="minorEastAsia" w:hAnsi="Times New Roman Negrita" w:cs="Times New Roman"/>
      <w:b/>
      <w:sz w:val="28"/>
      <w:szCs w:val="28"/>
      <w:lang w:val="es-ES_tradnl"/>
    </w:rPr>
  </w:style>
  <w:style w:type="table" w:styleId="Tablaweb2">
    <w:name w:val="Table Web 2"/>
    <w:basedOn w:val="Tablanormal"/>
    <w:unhideWhenUsed/>
    <w:rsid w:val="004E5076"/>
    <w:pPr>
      <w:autoSpaceDE w:val="0"/>
      <w:autoSpaceDN w:val="0"/>
      <w:adjustRightInd w:val="0"/>
      <w:spacing w:after="200" w:line="276" w:lineRule="auto"/>
    </w:pPr>
    <w:rPr>
      <w:rFonts w:ascii="Calibri" w:eastAsia="Calibri" w:hAnsi="Calibri"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arCarCharCharCarCarCarCharCharCarCarCarCarCharCharCarCarChar">
    <w:name w:val="Car Car Char Char Car Car Car Char Char Car Car Car Car Char Char Car Car Ch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ES_tradnl"/>
    </w:rPr>
  </w:style>
  <w:style w:type="character" w:customStyle="1" w:styleId="tgc">
    <w:name w:val="_tgc"/>
    <w:basedOn w:val="Fuentedeprrafopredeter"/>
    <w:rsid w:val="004E5076"/>
    <w:rPr>
      <w:rFonts w:cs="Times New Roman"/>
    </w:rPr>
  </w:style>
  <w:style w:type="character" w:customStyle="1" w:styleId="suffix">
    <w:name w:val="suffix"/>
    <w:basedOn w:val="Fuentedeprrafopredeter"/>
    <w:rsid w:val="004E5076"/>
    <w:rPr>
      <w:rFonts w:cs="Times New Roman"/>
    </w:rPr>
  </w:style>
  <w:style w:type="character" w:customStyle="1" w:styleId="BodyTextChar1">
    <w:name w:val="Body Text Char1"/>
    <w:aliases w:val="(Main Text) Char1,ANEXO TEXTOS Texto ind Char1,Body Text (Main text) Char1,Texto independiente Car Car Car Char1,date Char1"/>
    <w:basedOn w:val="Fuentedeprrafopredeter"/>
    <w:rsid w:val="004E5076"/>
    <w:rPr>
      <w:rFonts w:ascii="Liberation Sans Narrow" w:eastAsia="Times New Roman" w:hAnsi="Liberation Sans Narrow" w:cs="Liberation Sans Narrow"/>
      <w:lang w:val="es-CL"/>
    </w:rPr>
  </w:style>
  <w:style w:type="paragraph" w:customStyle="1" w:styleId="tomas1">
    <w:name w:val="tomas 1"/>
    <w:basedOn w:val="Ttulo1"/>
    <w:uiPriority w:val="99"/>
    <w:rsid w:val="004E5076"/>
    <w:pPr>
      <w:keepLines w:val="0"/>
      <w:tabs>
        <w:tab w:val="num" w:pos="720"/>
      </w:tabs>
      <w:autoSpaceDE w:val="0"/>
      <w:autoSpaceDN w:val="0"/>
      <w:adjustRightInd w:val="0"/>
      <w:spacing w:before="0" w:after="120" w:line="276" w:lineRule="auto"/>
      <w:ind w:left="720" w:hanging="720"/>
      <w:jc w:val="center"/>
    </w:pPr>
    <w:rPr>
      <w:rFonts w:ascii="Verdana" w:eastAsiaTheme="minorEastAsia" w:hAnsi="Verdana" w:cs="Arial"/>
      <w:b/>
      <w:caps/>
      <w:color w:val="auto"/>
      <w:kern w:val="32"/>
      <w:sz w:val="24"/>
      <w:szCs w:val="24"/>
    </w:rPr>
  </w:style>
  <w:style w:type="paragraph" w:customStyle="1" w:styleId="tomas2">
    <w:name w:val="tomas 2"/>
    <w:basedOn w:val="Textoindependiente"/>
    <w:uiPriority w:val="99"/>
    <w:rsid w:val="004E5076"/>
    <w:pPr>
      <w:widowControl/>
      <w:tabs>
        <w:tab w:val="num" w:pos="576"/>
        <w:tab w:val="num" w:pos="1440"/>
      </w:tabs>
      <w:adjustRightInd w:val="0"/>
      <w:ind w:left="576" w:hanging="576"/>
      <w:jc w:val="both"/>
    </w:pPr>
    <w:rPr>
      <w:rFonts w:ascii="Verdana" w:eastAsiaTheme="minorEastAsia" w:hAnsi="Verdana"/>
      <w:b/>
      <w:lang w:val="es-ES_tradnl" w:eastAsia="es-PE"/>
    </w:rPr>
  </w:style>
  <w:style w:type="paragraph" w:customStyle="1" w:styleId="tomas3">
    <w:name w:val="tomas 3"/>
    <w:basedOn w:val="Textoindependiente"/>
    <w:uiPriority w:val="99"/>
    <w:rsid w:val="004E5076"/>
    <w:pPr>
      <w:widowControl/>
      <w:numPr>
        <w:ilvl w:val="2"/>
        <w:numId w:val="27"/>
      </w:numPr>
      <w:tabs>
        <w:tab w:val="num" w:pos="720"/>
      </w:tabs>
      <w:adjustRightInd w:val="0"/>
      <w:jc w:val="both"/>
    </w:pPr>
    <w:rPr>
      <w:rFonts w:ascii="Verdana" w:eastAsiaTheme="minorEastAsia" w:hAnsi="Verdana"/>
      <w:b/>
      <w:lang w:val="es-ES_tradnl" w:eastAsia="es-PE"/>
    </w:rPr>
  </w:style>
  <w:style w:type="paragraph" w:customStyle="1" w:styleId="tomas4">
    <w:name w:val="tomas 4"/>
    <w:basedOn w:val="Normal"/>
    <w:uiPriority w:val="99"/>
    <w:rsid w:val="004E5076"/>
    <w:pPr>
      <w:widowControl/>
      <w:tabs>
        <w:tab w:val="num" w:pos="2880"/>
      </w:tabs>
      <w:autoSpaceDE w:val="0"/>
      <w:autoSpaceDN w:val="0"/>
      <w:adjustRightInd w:val="0"/>
      <w:ind w:left="720" w:hanging="720"/>
    </w:pPr>
    <w:rPr>
      <w:rFonts w:ascii="Verdana" w:eastAsiaTheme="minorEastAsia" w:hAnsi="Verdana"/>
      <w:b/>
    </w:rPr>
  </w:style>
  <w:style w:type="paragraph" w:customStyle="1" w:styleId="CarCar3CharCharCarCar">
    <w:name w:val="Car Car3 Char Char Car Car"/>
    <w:basedOn w:val="Normal"/>
    <w:next w:val="Normal"/>
    <w:rsid w:val="004E5076"/>
    <w:pPr>
      <w:widowControl/>
      <w:tabs>
        <w:tab w:val="num" w:pos="432"/>
      </w:tabs>
      <w:autoSpaceDE w:val="0"/>
      <w:autoSpaceDN w:val="0"/>
      <w:adjustRightInd w:val="0"/>
      <w:ind w:left="432" w:hanging="432"/>
    </w:pPr>
    <w:rPr>
      <w:rFonts w:ascii="Times New Roman Negrita" w:eastAsiaTheme="minorEastAsia" w:hAnsi="Times New Roman Negrita" w:cs="Times New Roman"/>
      <w:b/>
      <w:sz w:val="28"/>
      <w:szCs w:val="28"/>
      <w:lang w:val="es-ES_tradnl"/>
    </w:rPr>
  </w:style>
  <w:style w:type="paragraph" w:customStyle="1" w:styleId="CarCar4CharCharCarCarCharCharCarCar">
    <w:name w:val="Car Car4 Char Char Car Car Char Char Car Car"/>
    <w:basedOn w:val="Normal"/>
    <w:rsid w:val="004E5076"/>
    <w:pPr>
      <w:widowControl/>
      <w:autoSpaceDE w:val="0"/>
      <w:autoSpaceDN w:val="0"/>
      <w:adjustRightInd w:val="0"/>
      <w:spacing w:after="160" w:line="240" w:lineRule="exact"/>
    </w:pPr>
    <w:rPr>
      <w:rFonts w:ascii="Verdana" w:eastAsiaTheme="minorEastAsia" w:hAnsi="Verdana" w:cs="Times New Roman"/>
      <w:sz w:val="20"/>
      <w:szCs w:val="20"/>
      <w:lang w:val="es-ES_tradnl"/>
    </w:rPr>
  </w:style>
  <w:style w:type="paragraph" w:customStyle="1" w:styleId="Heading12">
    <w:name w:val="Heading 12"/>
    <w:basedOn w:val="Normal"/>
    <w:rsid w:val="004E5076"/>
    <w:pPr>
      <w:widowControl/>
      <w:autoSpaceDE w:val="0"/>
      <w:autoSpaceDN w:val="0"/>
      <w:adjustRightInd w:val="0"/>
    </w:pPr>
    <w:rPr>
      <w:rFonts w:ascii="Arial Narrow" w:eastAsia="Times New Roman" w:hAnsi="Arial Narrow" w:cs="Times New Roman"/>
      <w:lang w:val="es-CL"/>
    </w:rPr>
  </w:style>
  <w:style w:type="paragraph" w:customStyle="1" w:styleId="Heading22">
    <w:name w:val="Heading 22"/>
    <w:basedOn w:val="Normal"/>
    <w:rsid w:val="004E5076"/>
    <w:pPr>
      <w:widowControl/>
      <w:autoSpaceDE w:val="0"/>
      <w:autoSpaceDN w:val="0"/>
      <w:adjustRightInd w:val="0"/>
      <w:ind w:left="576" w:hanging="576"/>
    </w:pPr>
    <w:rPr>
      <w:rFonts w:ascii="Arial Narrow" w:eastAsia="Times New Roman" w:hAnsi="Arial Narrow" w:cs="Times New Roman"/>
      <w:lang w:val="es-CL"/>
    </w:rPr>
  </w:style>
  <w:style w:type="paragraph" w:customStyle="1" w:styleId="Heading32">
    <w:name w:val="Heading 32"/>
    <w:basedOn w:val="Normal"/>
    <w:rsid w:val="004E5076"/>
    <w:pPr>
      <w:widowControl/>
      <w:autoSpaceDE w:val="0"/>
      <w:autoSpaceDN w:val="0"/>
      <w:adjustRightInd w:val="0"/>
      <w:ind w:left="720" w:hanging="720"/>
    </w:pPr>
    <w:rPr>
      <w:rFonts w:ascii="Arial Narrow" w:eastAsia="Times New Roman" w:hAnsi="Arial Narrow" w:cs="Times New Roman"/>
      <w:lang w:val="es-CL"/>
    </w:rPr>
  </w:style>
  <w:style w:type="paragraph" w:customStyle="1" w:styleId="Heading42">
    <w:name w:val="Heading 42"/>
    <w:basedOn w:val="Normal"/>
    <w:rsid w:val="004E5076"/>
    <w:pPr>
      <w:widowControl/>
      <w:autoSpaceDE w:val="0"/>
      <w:autoSpaceDN w:val="0"/>
      <w:adjustRightInd w:val="0"/>
      <w:ind w:left="864" w:hanging="864"/>
    </w:pPr>
    <w:rPr>
      <w:rFonts w:ascii="Arial Narrow" w:eastAsia="Times New Roman" w:hAnsi="Arial Narrow" w:cs="Times New Roman"/>
      <w:lang w:val="es-CL"/>
    </w:rPr>
  </w:style>
  <w:style w:type="paragraph" w:customStyle="1" w:styleId="Heading52">
    <w:name w:val="Heading 52"/>
    <w:basedOn w:val="Normal"/>
    <w:rsid w:val="004E5076"/>
    <w:pPr>
      <w:widowControl/>
      <w:autoSpaceDE w:val="0"/>
      <w:autoSpaceDN w:val="0"/>
      <w:adjustRightInd w:val="0"/>
      <w:ind w:left="1008" w:hanging="1008"/>
    </w:pPr>
    <w:rPr>
      <w:rFonts w:ascii="Arial Narrow" w:eastAsia="Times New Roman" w:hAnsi="Arial Narrow" w:cs="Times New Roman"/>
      <w:lang w:val="es-CL"/>
    </w:rPr>
  </w:style>
  <w:style w:type="paragraph" w:customStyle="1" w:styleId="Heading62">
    <w:name w:val="Heading 62"/>
    <w:basedOn w:val="Normal"/>
    <w:rsid w:val="004E5076"/>
    <w:pPr>
      <w:widowControl/>
      <w:autoSpaceDE w:val="0"/>
      <w:autoSpaceDN w:val="0"/>
      <w:adjustRightInd w:val="0"/>
      <w:ind w:left="1152" w:hanging="1152"/>
    </w:pPr>
    <w:rPr>
      <w:rFonts w:ascii="Arial Narrow" w:eastAsia="Times New Roman" w:hAnsi="Arial Narrow" w:cs="Times New Roman"/>
      <w:lang w:val="es-CL"/>
    </w:rPr>
  </w:style>
  <w:style w:type="paragraph" w:customStyle="1" w:styleId="Heading72">
    <w:name w:val="Heading 72"/>
    <w:basedOn w:val="Normal"/>
    <w:rsid w:val="004E5076"/>
    <w:pPr>
      <w:widowControl/>
      <w:autoSpaceDE w:val="0"/>
      <w:autoSpaceDN w:val="0"/>
      <w:adjustRightInd w:val="0"/>
      <w:ind w:left="1296" w:hanging="1296"/>
    </w:pPr>
    <w:rPr>
      <w:rFonts w:ascii="Arial Narrow" w:eastAsia="Times New Roman" w:hAnsi="Arial Narrow" w:cs="Times New Roman"/>
      <w:lang w:val="es-CL"/>
    </w:rPr>
  </w:style>
  <w:style w:type="paragraph" w:customStyle="1" w:styleId="Heading82">
    <w:name w:val="Heading 82"/>
    <w:basedOn w:val="Normal"/>
    <w:rsid w:val="004E5076"/>
    <w:pPr>
      <w:widowControl/>
      <w:autoSpaceDE w:val="0"/>
      <w:autoSpaceDN w:val="0"/>
      <w:adjustRightInd w:val="0"/>
      <w:ind w:left="1440" w:hanging="1440"/>
    </w:pPr>
    <w:rPr>
      <w:rFonts w:ascii="Arial Narrow" w:eastAsia="Times New Roman" w:hAnsi="Arial Narrow" w:cs="Times New Roman"/>
      <w:lang w:val="es-CL"/>
    </w:rPr>
  </w:style>
  <w:style w:type="paragraph" w:customStyle="1" w:styleId="Heading92">
    <w:name w:val="Heading 92"/>
    <w:basedOn w:val="Normal"/>
    <w:rsid w:val="004E5076"/>
    <w:pPr>
      <w:widowControl/>
      <w:autoSpaceDE w:val="0"/>
      <w:autoSpaceDN w:val="0"/>
      <w:adjustRightInd w:val="0"/>
      <w:ind w:left="1584" w:hanging="1584"/>
    </w:pPr>
    <w:rPr>
      <w:rFonts w:ascii="Arial Narrow" w:eastAsia="Times New Roman" w:hAnsi="Arial Narrow" w:cs="Times New Roman"/>
      <w:lang w:val="es-CL"/>
    </w:rPr>
  </w:style>
  <w:style w:type="paragraph" w:customStyle="1" w:styleId="TtTextLegend">
    <w:name w:val="Tt_Text_Legend"/>
    <w:uiPriority w:val="98"/>
    <w:rsid w:val="004E5076"/>
    <w:pPr>
      <w:autoSpaceDE w:val="0"/>
      <w:autoSpaceDN w:val="0"/>
      <w:adjustRightInd w:val="0"/>
      <w:spacing w:before="40" w:after="120"/>
      <w:ind w:left="144" w:right="144"/>
    </w:pPr>
    <w:rPr>
      <w:rFonts w:eastAsia="Times New Roman"/>
      <w:color w:val="404040"/>
      <w:sz w:val="20"/>
      <w:lang w:val="fr-CA"/>
    </w:rPr>
  </w:style>
  <w:style w:type="character" w:customStyle="1" w:styleId="TtTextLegendCar">
    <w:name w:val="Tt_Text_Legend Car"/>
    <w:basedOn w:val="Fuentedeprrafopredeter"/>
    <w:uiPriority w:val="98"/>
    <w:rsid w:val="004E5076"/>
    <w:rPr>
      <w:rFonts w:ascii="Arial" w:eastAsia="Times New Roman" w:hAnsi="Arial" w:cs="Arial"/>
      <w:color w:val="404040"/>
      <w:sz w:val="20"/>
      <w:lang w:val="fr-CA"/>
    </w:rPr>
  </w:style>
  <w:style w:type="character" w:customStyle="1" w:styleId="EstiloEurostarRegularExtended14ptNegritaColorpersonalizad">
    <w:name w:val="Estilo Eurostar Regular Extended 14 pt Negrita Color personalizad..."/>
    <w:basedOn w:val="Fuentedeprrafopredeter"/>
    <w:rsid w:val="004E5076"/>
    <w:rPr>
      <w:rFonts w:ascii="Eurostar Regular Extended" w:hAnsi="Eurostar Regular Extended" w:cs="Times New Roman"/>
      <w:b/>
      <w:caps/>
      <w:color w:val="004B80"/>
      <w:spacing w:val="30"/>
      <w:sz w:val="24"/>
    </w:rPr>
  </w:style>
  <w:style w:type="paragraph" w:customStyle="1" w:styleId="textbox">
    <w:name w:val="textbox"/>
    <w:basedOn w:val="Normal"/>
    <w:rsid w:val="004E5076"/>
    <w:pPr>
      <w:widowControl/>
      <w:autoSpaceDE w:val="0"/>
      <w:autoSpaceDN w:val="0"/>
      <w:adjustRightInd w:val="0"/>
      <w:spacing w:before="100" w:beforeAutospacing="1" w:after="100" w:afterAutospacing="1"/>
    </w:pPr>
    <w:rPr>
      <w:rFonts w:ascii="Times New Roman" w:eastAsia="Times New Roman" w:hAnsi="Times New Roman" w:cs="Times New Roman"/>
      <w:sz w:val="24"/>
      <w:szCs w:val="24"/>
      <w:lang w:val="es-ES_tradnl"/>
    </w:rPr>
  </w:style>
  <w:style w:type="paragraph" w:customStyle="1" w:styleId="m-8448853502138039663gmail-msonormal">
    <w:name w:val="m_-8448853502138039663gmail-msonormal"/>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MX"/>
    </w:rPr>
  </w:style>
  <w:style w:type="paragraph" w:customStyle="1" w:styleId="Pa0">
    <w:name w:val="Pa0"/>
    <w:basedOn w:val="Default"/>
    <w:next w:val="Default"/>
    <w:uiPriority w:val="99"/>
    <w:rsid w:val="004E5076"/>
    <w:pPr>
      <w:spacing w:line="381" w:lineRule="atLeast"/>
    </w:pPr>
    <w:rPr>
      <w:rFonts w:ascii="Whitney Medium" w:eastAsia="Times New Roman" w:hAnsi="Whitney Medium"/>
      <w:color w:val="auto"/>
      <w:lang w:val="es-MX"/>
    </w:rPr>
  </w:style>
  <w:style w:type="character" w:customStyle="1" w:styleId="A1">
    <w:name w:val="A1"/>
    <w:uiPriority w:val="99"/>
    <w:rsid w:val="004E5076"/>
    <w:rPr>
      <w:rFonts w:ascii="Whitney Light" w:hAnsi="Whitney Light"/>
      <w:i/>
      <w:color w:val="000000"/>
      <w:sz w:val="28"/>
    </w:rPr>
  </w:style>
  <w:style w:type="character" w:customStyle="1" w:styleId="nlmsource">
    <w:name w:val="nlm_source"/>
    <w:basedOn w:val="Fuentedeprrafopredeter"/>
    <w:rsid w:val="004E5076"/>
    <w:rPr>
      <w:rFonts w:cs="Times New Roman"/>
    </w:rPr>
  </w:style>
  <w:style w:type="paragraph" w:customStyle="1" w:styleId="Normal-Centered">
    <w:name w:val="Normal - Centered"/>
    <w:basedOn w:val="Normal"/>
    <w:rsid w:val="004E5076"/>
    <w:pPr>
      <w:widowControl/>
      <w:autoSpaceDE w:val="0"/>
      <w:autoSpaceDN w:val="0"/>
      <w:adjustRightInd w:val="0"/>
      <w:jc w:val="center"/>
    </w:pPr>
    <w:rPr>
      <w:rFonts w:ascii="Book Antiqua" w:eastAsiaTheme="minorEastAsia" w:hAnsi="Book Antiqua" w:cs="Times New Roman"/>
      <w:sz w:val="20"/>
      <w:szCs w:val="24"/>
      <w:lang w:val="fr-FR"/>
    </w:rPr>
  </w:style>
  <w:style w:type="paragraph" w:customStyle="1" w:styleId="m8980612515247993840msolistparagraph">
    <w:name w:val="m_8980612515247993840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MX"/>
    </w:rPr>
  </w:style>
  <w:style w:type="paragraph" w:customStyle="1" w:styleId="EstiloTtulo211pt">
    <w:name w:val="Estilo Título 2 + 11 pt"/>
    <w:basedOn w:val="Ttulo2"/>
    <w:uiPriority w:val="99"/>
    <w:rsid w:val="004E5076"/>
    <w:pPr>
      <w:keepLines w:val="0"/>
      <w:tabs>
        <w:tab w:val="num" w:pos="1285"/>
        <w:tab w:val="num" w:pos="2214"/>
      </w:tabs>
      <w:autoSpaceDE w:val="0"/>
      <w:autoSpaceDN w:val="0"/>
      <w:adjustRightInd w:val="0"/>
      <w:spacing w:before="240" w:after="60"/>
      <w:ind w:left="2214" w:hanging="360"/>
      <w:jc w:val="both"/>
    </w:pPr>
    <w:rPr>
      <w:rFonts w:ascii="Verdana" w:eastAsiaTheme="minorEastAsia" w:hAnsi="Verdana" w:cs="Arial"/>
      <w:b/>
      <w:color w:val="auto"/>
      <w:kern w:val="28"/>
      <w:sz w:val="24"/>
      <w:lang w:val="en-US"/>
    </w:rPr>
  </w:style>
  <w:style w:type="paragraph" w:customStyle="1" w:styleId="TabelBodyText">
    <w:name w:val="Tabel Body Text"/>
    <w:basedOn w:val="Normal"/>
    <w:rsid w:val="004E5076"/>
    <w:pPr>
      <w:keepNext/>
      <w:keepLines/>
      <w:widowControl/>
      <w:autoSpaceDE w:val="0"/>
      <w:autoSpaceDN w:val="0"/>
      <w:adjustRightInd w:val="0"/>
      <w:spacing w:before="60" w:after="60"/>
    </w:pPr>
    <w:rPr>
      <w:rFonts w:ascii="Corbel" w:eastAsiaTheme="minorEastAsia" w:hAnsi="Corbel" w:cs="Times New Roman"/>
      <w:sz w:val="20"/>
      <w:szCs w:val="24"/>
      <w:lang w:val="fr-FR"/>
    </w:rPr>
  </w:style>
  <w:style w:type="paragraph" w:customStyle="1" w:styleId="TabelKop">
    <w:name w:val="Tabel Kop"/>
    <w:basedOn w:val="TabelBodyText"/>
    <w:rsid w:val="004E5076"/>
    <w:rPr>
      <w:b/>
      <w:szCs w:val="16"/>
    </w:rPr>
  </w:style>
  <w:style w:type="paragraph" w:customStyle="1" w:styleId="TabelList">
    <w:name w:val="Tabel List"/>
    <w:basedOn w:val="TabelBodyText"/>
    <w:rsid w:val="004E5076"/>
    <w:pPr>
      <w:tabs>
        <w:tab w:val="num" w:pos="720"/>
      </w:tabs>
      <w:ind w:left="340" w:hanging="340"/>
    </w:pPr>
  </w:style>
  <w:style w:type="character" w:customStyle="1" w:styleId="UnresolvedMention11">
    <w:name w:val="Unresolved Mention11"/>
    <w:basedOn w:val="Fuentedeprrafopredeter"/>
    <w:uiPriority w:val="99"/>
    <w:rsid w:val="004E5076"/>
    <w:rPr>
      <w:rFonts w:cs="Times New Roman"/>
      <w:color w:val="808080"/>
      <w:shd w:val="clear" w:color="auto" w:fill="E6E6E6"/>
    </w:rPr>
  </w:style>
  <w:style w:type="paragraph" w:customStyle="1" w:styleId="MyList1">
    <w:name w:val="My List 1"/>
    <w:basedOn w:val="Normal"/>
    <w:uiPriority w:val="99"/>
    <w:rsid w:val="004E5076"/>
    <w:pPr>
      <w:widowControl/>
      <w:tabs>
        <w:tab w:val="num" w:pos="1440"/>
      </w:tabs>
      <w:autoSpaceDE w:val="0"/>
      <w:autoSpaceDN w:val="0"/>
      <w:adjustRightInd w:val="0"/>
      <w:ind w:left="1440" w:hanging="720"/>
    </w:pPr>
    <w:rPr>
      <w:rFonts w:ascii="Times New Roman" w:eastAsiaTheme="minorEastAsia" w:hAnsi="Times New Roman" w:cs="Times New Roman"/>
      <w:lang w:val="en-US"/>
    </w:rPr>
  </w:style>
  <w:style w:type="paragraph" w:customStyle="1" w:styleId="Client">
    <w:name w:val="Client"/>
    <w:basedOn w:val="Normal"/>
    <w:rsid w:val="004E5076"/>
    <w:pPr>
      <w:widowControl/>
      <w:autoSpaceDE w:val="0"/>
      <w:autoSpaceDN w:val="0"/>
      <w:adjustRightInd w:val="0"/>
      <w:spacing w:line="288" w:lineRule="auto"/>
    </w:pPr>
    <w:rPr>
      <w:rFonts w:eastAsiaTheme="minorEastAsia" w:cs="Times New Roman"/>
      <w:color w:val="99CC00"/>
      <w:sz w:val="32"/>
      <w:szCs w:val="20"/>
      <w:lang w:val="en-GB"/>
    </w:rPr>
  </w:style>
  <w:style w:type="paragraph" w:customStyle="1" w:styleId="Heading1a">
    <w:name w:val="Heading 1a"/>
    <w:rsid w:val="004E5076"/>
    <w:pPr>
      <w:keepNext/>
      <w:keepLines/>
      <w:tabs>
        <w:tab w:val="left" w:pos="-720"/>
      </w:tabs>
      <w:suppressAutoHyphens/>
      <w:autoSpaceDE w:val="0"/>
      <w:autoSpaceDN w:val="0"/>
      <w:adjustRightInd w:val="0"/>
      <w:jc w:val="center"/>
    </w:pPr>
    <w:rPr>
      <w:rFonts w:ascii="Times New Roman" w:eastAsia="Calibri" w:hAnsi="Times New Roman" w:cs="Times New Roman"/>
      <w:b/>
      <w:smallCaps/>
      <w:sz w:val="32"/>
      <w:szCs w:val="20"/>
      <w:lang w:val="en-US"/>
    </w:rPr>
  </w:style>
  <w:style w:type="paragraph" w:customStyle="1" w:styleId="Style2">
    <w:name w:val="Style 2"/>
    <w:basedOn w:val="Normal"/>
    <w:rsid w:val="004E5076"/>
    <w:pPr>
      <w:tabs>
        <w:tab w:val="left" w:pos="720"/>
      </w:tabs>
      <w:autoSpaceDE w:val="0"/>
      <w:autoSpaceDN w:val="0"/>
      <w:adjustRightInd w:val="0"/>
      <w:ind w:left="720" w:hanging="720"/>
    </w:pPr>
    <w:rPr>
      <w:rFonts w:ascii="Times New Roman" w:eastAsiaTheme="minorEastAsia" w:hAnsi="Times New Roman" w:cs="Times New Roman"/>
      <w:noProof/>
      <w:color w:val="000000"/>
      <w:sz w:val="20"/>
      <w:szCs w:val="20"/>
      <w:lang w:val="es-PE"/>
    </w:rPr>
  </w:style>
  <w:style w:type="paragraph" w:customStyle="1" w:styleId="Style1">
    <w:name w:val="Style 1"/>
    <w:basedOn w:val="Normal"/>
    <w:rsid w:val="004E5076"/>
    <w:pPr>
      <w:autoSpaceDE w:val="0"/>
      <w:autoSpaceDN w:val="0"/>
      <w:adjustRightInd w:val="0"/>
      <w:ind w:left="1440"/>
    </w:pPr>
    <w:rPr>
      <w:rFonts w:ascii="Times New Roman" w:eastAsiaTheme="minorEastAsia" w:hAnsi="Times New Roman" w:cs="Times New Roman"/>
      <w:noProof/>
      <w:color w:val="000000"/>
      <w:sz w:val="20"/>
      <w:szCs w:val="20"/>
      <w:lang w:val="es-PE"/>
    </w:rPr>
  </w:style>
  <w:style w:type="paragraph" w:customStyle="1" w:styleId="IDBHead2">
    <w:name w:val="IDB Head 2"/>
    <w:basedOn w:val="Normal"/>
    <w:rsid w:val="004E5076"/>
    <w:pPr>
      <w:widowControl/>
      <w:tabs>
        <w:tab w:val="num" w:pos="1440"/>
      </w:tabs>
      <w:autoSpaceDE w:val="0"/>
      <w:autoSpaceDN w:val="0"/>
      <w:adjustRightInd w:val="0"/>
      <w:spacing w:before="120"/>
      <w:ind w:left="1440" w:hanging="576"/>
    </w:pPr>
    <w:rPr>
      <w:rFonts w:eastAsiaTheme="minorEastAsia" w:cs="Times New Roman"/>
      <w:b/>
      <w:i/>
      <w:szCs w:val="20"/>
      <w:lang w:val="en-US"/>
    </w:rPr>
  </w:style>
  <w:style w:type="paragraph" w:customStyle="1" w:styleId="Mike1">
    <w:name w:val="Mike[1]"/>
    <w:basedOn w:val="Normal"/>
    <w:rsid w:val="004E5076"/>
    <w:pPr>
      <w:autoSpaceDE w:val="0"/>
      <w:autoSpaceDN w:val="0"/>
      <w:adjustRightInd w:val="0"/>
      <w:outlineLvl w:val="0"/>
    </w:pPr>
    <w:rPr>
      <w:rFonts w:ascii="Times New Roman" w:eastAsiaTheme="minorEastAsia" w:hAnsi="Times New Roman" w:cs="Times New Roman"/>
      <w:sz w:val="24"/>
      <w:szCs w:val="20"/>
      <w:lang w:val="en-US"/>
    </w:rPr>
  </w:style>
  <w:style w:type="paragraph" w:customStyle="1" w:styleId="1AutoList36">
    <w:name w:val="1AutoList36"/>
    <w:rsid w:val="004E5076"/>
    <w:pPr>
      <w:tabs>
        <w:tab w:val="left" w:pos="720"/>
      </w:tabs>
      <w:suppressAutoHyphens/>
      <w:autoSpaceDE w:val="0"/>
      <w:autoSpaceDN w:val="0"/>
      <w:adjustRightInd w:val="0"/>
      <w:ind w:left="720" w:hanging="720"/>
    </w:pPr>
    <w:rPr>
      <w:rFonts w:ascii="Times New Roman" w:eastAsia="Calibri" w:hAnsi="Times New Roman" w:cs="Times New Roman"/>
      <w:sz w:val="24"/>
      <w:szCs w:val="20"/>
      <w:lang w:val="en-US"/>
    </w:rPr>
  </w:style>
  <w:style w:type="character" w:customStyle="1" w:styleId="value">
    <w:name w:val="value"/>
    <w:basedOn w:val="Fuentedeprrafopredeter"/>
    <w:rsid w:val="004E5076"/>
    <w:rPr>
      <w:rFonts w:cs="Times New Roman"/>
    </w:rPr>
  </w:style>
  <w:style w:type="paragraph" w:customStyle="1" w:styleId="ResumeBullet">
    <w:name w:val="Resume Bullet"/>
    <w:basedOn w:val="Normal"/>
    <w:rsid w:val="004E5076"/>
    <w:pPr>
      <w:widowControl/>
      <w:tabs>
        <w:tab w:val="num" w:pos="720"/>
      </w:tabs>
      <w:autoSpaceDE w:val="0"/>
      <w:autoSpaceDN w:val="0"/>
      <w:adjustRightInd w:val="0"/>
      <w:spacing w:after="60"/>
      <w:ind w:left="720" w:hanging="720"/>
    </w:pPr>
    <w:rPr>
      <w:rFonts w:ascii="Times New Roman" w:eastAsiaTheme="minorEastAsia" w:hAnsi="Times New Roman" w:cs="Times New Roman"/>
      <w:sz w:val="24"/>
      <w:szCs w:val="20"/>
      <w:lang w:val="en-US"/>
    </w:rPr>
  </w:style>
  <w:style w:type="paragraph" w:customStyle="1" w:styleId="FirstHeading">
    <w:name w:val="FirstHeading"/>
    <w:basedOn w:val="Normal"/>
    <w:next w:val="Normal"/>
    <w:rsid w:val="004E5076"/>
    <w:pPr>
      <w:keepNext/>
      <w:widowControl/>
      <w:tabs>
        <w:tab w:val="left" w:pos="0"/>
        <w:tab w:val="left" w:pos="86"/>
      </w:tabs>
      <w:autoSpaceDE w:val="0"/>
      <w:autoSpaceDN w:val="0"/>
      <w:adjustRightInd w:val="0"/>
      <w:spacing w:before="120" w:after="120"/>
      <w:ind w:left="720" w:hanging="720"/>
    </w:pPr>
    <w:rPr>
      <w:rFonts w:ascii="Times New Roman" w:eastAsiaTheme="minorEastAsia" w:hAnsi="Times New Roman" w:cs="Times New Roman"/>
      <w:b/>
      <w:sz w:val="24"/>
      <w:szCs w:val="20"/>
      <w:lang w:val="en-US"/>
    </w:rPr>
  </w:style>
  <w:style w:type="paragraph" w:customStyle="1" w:styleId="SecHeading">
    <w:name w:val="SecHeading"/>
    <w:basedOn w:val="Normal"/>
    <w:next w:val="Paragraph"/>
    <w:rsid w:val="004E5076"/>
    <w:pPr>
      <w:keepNext/>
      <w:widowControl/>
      <w:tabs>
        <w:tab w:val="num" w:pos="1296"/>
      </w:tabs>
      <w:autoSpaceDE w:val="0"/>
      <w:autoSpaceDN w:val="0"/>
      <w:adjustRightInd w:val="0"/>
      <w:spacing w:before="120" w:after="120"/>
      <w:ind w:left="1296" w:hanging="576"/>
    </w:pPr>
    <w:rPr>
      <w:rFonts w:ascii="Times New Roman" w:eastAsiaTheme="minorEastAsia" w:hAnsi="Times New Roman" w:cs="Times New Roman"/>
      <w:b/>
      <w:sz w:val="24"/>
      <w:szCs w:val="20"/>
      <w:lang w:val="en-US"/>
    </w:rPr>
  </w:style>
  <w:style w:type="paragraph" w:customStyle="1" w:styleId="SubHeading1">
    <w:name w:val="SubHeading1"/>
    <w:basedOn w:val="SecHeading"/>
    <w:rsid w:val="004E5076"/>
    <w:pPr>
      <w:tabs>
        <w:tab w:val="clear" w:pos="1296"/>
        <w:tab w:val="num" w:pos="1872"/>
      </w:tabs>
      <w:ind w:left="1872"/>
    </w:pPr>
  </w:style>
  <w:style w:type="paragraph" w:customStyle="1" w:styleId="Subheading2">
    <w:name w:val="Subheading2"/>
    <w:basedOn w:val="SecHeading"/>
    <w:rsid w:val="004E5076"/>
    <w:pPr>
      <w:tabs>
        <w:tab w:val="clear" w:pos="1296"/>
        <w:tab w:val="num" w:pos="2376"/>
      </w:tabs>
      <w:ind w:left="2376" w:hanging="288"/>
    </w:pPr>
  </w:style>
  <w:style w:type="character" w:customStyle="1" w:styleId="FirstHeadingChar">
    <w:name w:val="FirstHeading Char"/>
    <w:rsid w:val="004E5076"/>
    <w:rPr>
      <w:rFonts w:ascii="Times New Roman" w:hAnsi="Times New Roman"/>
      <w:b/>
      <w:sz w:val="20"/>
      <w:lang w:val="en-US"/>
    </w:rPr>
  </w:style>
  <w:style w:type="paragraph" w:customStyle="1" w:styleId="Heading21">
    <w:name w:val="Heading 21"/>
    <w:basedOn w:val="Normal"/>
    <w:next w:val="Normal"/>
    <w:uiPriority w:val="9"/>
    <w:rsid w:val="004E5076"/>
    <w:pPr>
      <w:keepNext/>
      <w:keepLines/>
      <w:widowControl/>
      <w:autoSpaceDE w:val="0"/>
      <w:autoSpaceDN w:val="0"/>
      <w:adjustRightInd w:val="0"/>
      <w:spacing w:before="200"/>
      <w:outlineLvl w:val="1"/>
    </w:pPr>
    <w:rPr>
      <w:rFonts w:ascii="Calibri" w:eastAsiaTheme="minorEastAsia" w:hAnsi="Calibri" w:cs="Times New Roman"/>
      <w:b/>
      <w:color w:val="4F81BD"/>
      <w:sz w:val="26"/>
      <w:szCs w:val="26"/>
      <w:lang w:val="es-CO"/>
    </w:rPr>
  </w:style>
  <w:style w:type="paragraph" w:customStyle="1" w:styleId="Regtable">
    <w:name w:val="Regtable"/>
    <w:basedOn w:val="Normal"/>
    <w:rsid w:val="004E5076"/>
    <w:pPr>
      <w:keepLines/>
      <w:framePr w:wrap="auto" w:vAnchor="text" w:hAnchor="text" w:y="1"/>
      <w:widowControl/>
      <w:autoSpaceDE w:val="0"/>
      <w:autoSpaceDN w:val="0"/>
      <w:adjustRightInd w:val="0"/>
      <w:spacing w:before="20" w:after="20"/>
    </w:pPr>
    <w:rPr>
      <w:rFonts w:ascii="Times New Roman" w:eastAsia="Yu Mincho" w:hAnsi="Times New Roman" w:cs="Times New Roman"/>
      <w:sz w:val="20"/>
      <w:lang w:val="en-US"/>
    </w:rPr>
  </w:style>
  <w:style w:type="character" w:customStyle="1" w:styleId="RegtableChar">
    <w:name w:val="Regtable Char"/>
    <w:basedOn w:val="Fuentedeprrafopredeter"/>
    <w:rsid w:val="004E5076"/>
    <w:rPr>
      <w:rFonts w:ascii="Times New Roman" w:eastAsia="Yu Mincho" w:hAnsi="Times New Roman" w:cs="Times New Roman"/>
      <w:sz w:val="20"/>
      <w:lang w:val="en-US"/>
    </w:rPr>
  </w:style>
  <w:style w:type="paragraph" w:customStyle="1" w:styleId="TableTitle">
    <w:name w:val="TableTitle"/>
    <w:basedOn w:val="Normal"/>
    <w:rsid w:val="004E5076"/>
    <w:pPr>
      <w:keepNext/>
      <w:framePr w:wrap="auto" w:vAnchor="text" w:hAnchor="text" w:y="1"/>
      <w:widowControl/>
      <w:autoSpaceDE w:val="0"/>
      <w:autoSpaceDN w:val="0"/>
      <w:adjustRightInd w:val="0"/>
      <w:spacing w:before="20" w:after="20"/>
      <w:jc w:val="center"/>
    </w:pPr>
    <w:rPr>
      <w:rFonts w:ascii="Times New Roman Bold" w:eastAsia="Yu Mincho" w:hAnsi="Times New Roman Bold"/>
      <w:b/>
      <w:spacing w:val="-3"/>
      <w:sz w:val="20"/>
      <w:lang w:val="en-US"/>
    </w:rPr>
  </w:style>
  <w:style w:type="character" w:customStyle="1" w:styleId="TableTitleChar">
    <w:name w:val="TableTitle Char"/>
    <w:basedOn w:val="Fuentedeprrafopredeter"/>
    <w:rsid w:val="004E5076"/>
    <w:rPr>
      <w:rFonts w:ascii="Times New Roman Bold" w:eastAsia="Yu Mincho" w:hAnsi="Times New Roman Bold" w:cs="Arial"/>
      <w:b/>
      <w:spacing w:val="-3"/>
      <w:sz w:val="20"/>
      <w:lang w:val="en-US"/>
    </w:rPr>
  </w:style>
  <w:style w:type="character" w:customStyle="1" w:styleId="alt-edited">
    <w:name w:val="alt-edited"/>
    <w:basedOn w:val="Fuentedeprrafopredeter"/>
    <w:rsid w:val="004E5076"/>
    <w:rPr>
      <w:rFonts w:cs="Times New Roman"/>
    </w:rPr>
  </w:style>
  <w:style w:type="paragraph" w:customStyle="1" w:styleId="MWHTurkeyTableData">
    <w:name w:val="MWH Turkey Table Data"/>
    <w:basedOn w:val="Normal"/>
    <w:rsid w:val="004E5076"/>
    <w:pPr>
      <w:keepLines/>
      <w:widowControl/>
      <w:tabs>
        <w:tab w:val="center" w:pos="4320"/>
        <w:tab w:val="left" w:pos="8494"/>
      </w:tabs>
      <w:autoSpaceDE w:val="0"/>
      <w:autoSpaceDN w:val="0"/>
      <w:adjustRightInd w:val="0"/>
      <w:jc w:val="center"/>
    </w:pPr>
    <w:rPr>
      <w:rFonts w:eastAsiaTheme="minorEastAsia"/>
      <w:sz w:val="20"/>
      <w:szCs w:val="20"/>
      <w:lang w:val="en-GB"/>
    </w:rPr>
  </w:style>
  <w:style w:type="character" w:customStyle="1" w:styleId="MWHTurkeyTableDataChar">
    <w:name w:val="MWH Turkey Table Data Char"/>
    <w:basedOn w:val="Fuentedeprrafopredeter"/>
    <w:rsid w:val="004E5076"/>
    <w:rPr>
      <w:rFonts w:ascii="Arial" w:hAnsi="Arial" w:cs="Arial"/>
      <w:sz w:val="20"/>
      <w:szCs w:val="20"/>
      <w:lang w:val="en-GB"/>
    </w:rPr>
  </w:style>
  <w:style w:type="paragraph" w:customStyle="1" w:styleId="TTcallouttext">
    <w:name w:val="TT callout text"/>
    <w:uiPriority w:val="98"/>
    <w:rsid w:val="004E5076"/>
    <w:pPr>
      <w:autoSpaceDE w:val="0"/>
      <w:autoSpaceDN w:val="0"/>
      <w:adjustRightInd w:val="0"/>
      <w:spacing w:before="40" w:after="120"/>
      <w:ind w:left="144" w:right="144"/>
    </w:pPr>
    <w:rPr>
      <w:rFonts w:eastAsia="Times New Roman"/>
      <w:color w:val="404040"/>
      <w:sz w:val="18"/>
      <w:lang w:val="en-US"/>
    </w:rPr>
  </w:style>
  <w:style w:type="character" w:customStyle="1" w:styleId="TTcallouttextCar">
    <w:name w:val="TT callout text Car"/>
    <w:basedOn w:val="Fuentedeprrafopredeter"/>
    <w:uiPriority w:val="98"/>
    <w:rsid w:val="004E5076"/>
    <w:rPr>
      <w:rFonts w:ascii="Arial" w:eastAsia="Times New Roman" w:hAnsi="Arial" w:cs="Arial"/>
      <w:color w:val="404040"/>
      <w:sz w:val="18"/>
      <w:lang w:val="en-US"/>
    </w:rPr>
  </w:style>
  <w:style w:type="paragraph" w:customStyle="1" w:styleId="CareerBody">
    <w:name w:val="CareerBody"/>
    <w:basedOn w:val="Normal"/>
    <w:rsid w:val="004E5076"/>
    <w:pPr>
      <w:widowControl/>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s>
      <w:autoSpaceDE w:val="0"/>
      <w:autoSpaceDN w:val="0"/>
      <w:adjustRightInd w:val="0"/>
    </w:pPr>
    <w:rPr>
      <w:rFonts w:eastAsiaTheme="minorEastAsia" w:cs="Times New Roman"/>
      <w:szCs w:val="20"/>
      <w:lang w:val="en-GB"/>
    </w:rPr>
  </w:style>
  <w:style w:type="paragraph" w:customStyle="1" w:styleId="TTClientname">
    <w:name w:val="TT Client name"/>
    <w:basedOn w:val="Normal"/>
    <w:uiPriority w:val="1"/>
    <w:rsid w:val="004E5076"/>
    <w:pPr>
      <w:widowControl/>
      <w:autoSpaceDE w:val="0"/>
      <w:autoSpaceDN w:val="0"/>
      <w:adjustRightInd w:val="0"/>
      <w:spacing w:before="60" w:after="60"/>
    </w:pPr>
    <w:rPr>
      <w:rFonts w:eastAsia="Yu Mincho" w:cs="Times New Roman"/>
      <w:b/>
      <w:color w:val="000000"/>
      <w:sz w:val="18"/>
      <w:szCs w:val="24"/>
      <w:lang w:val="en-CA"/>
    </w:rPr>
  </w:style>
  <w:style w:type="character" w:customStyle="1" w:styleId="ListParagraphChar2">
    <w:name w:val="List Paragraph Char2"/>
    <w:aliases w:val="Colorful List - Accent 11 Char2,Colorful List - Accent 111 Char2,Colorful List Accent 1 Char2,First Level Outline Char1,HOJA Char2,List Paragraph 1 Char1,Number Bullets Char1,Primus H 3 Char,Párrafo de lista (analisis predial) Char2"/>
    <w:uiPriority w:val="34"/>
    <w:rsid w:val="004E5076"/>
    <w:rPr>
      <w:rFonts w:ascii="Arial Narrow" w:hAnsi="Arial Narrow"/>
    </w:rPr>
  </w:style>
  <w:style w:type="paragraph" w:customStyle="1" w:styleId="hoveredcourseelement">
    <w:name w:val="hoveredcourseelement"/>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CL"/>
    </w:rPr>
  </w:style>
  <w:style w:type="paragraph" w:customStyle="1" w:styleId="References">
    <w:name w:val="References"/>
    <w:basedOn w:val="Normal"/>
    <w:autoRedefine/>
    <w:rsid w:val="004E5076"/>
    <w:pPr>
      <w:widowControl/>
      <w:tabs>
        <w:tab w:val="num" w:pos="720"/>
      </w:tabs>
      <w:autoSpaceDE w:val="0"/>
      <w:autoSpaceDN w:val="0"/>
      <w:adjustRightInd w:val="0"/>
      <w:spacing w:after="80"/>
      <w:ind w:left="720" w:hanging="720"/>
    </w:pPr>
    <w:rPr>
      <w:rFonts w:ascii="Times New Roman" w:eastAsiaTheme="minorEastAsia" w:hAnsi="Times New Roman" w:cs="Times New Roman"/>
      <w:sz w:val="20"/>
      <w:szCs w:val="20"/>
      <w:lang w:val="en-US"/>
    </w:rPr>
  </w:style>
  <w:style w:type="paragraph" w:customStyle="1" w:styleId="FuentedeTablas">
    <w:name w:val="Fuente de Tablas"/>
    <w:basedOn w:val="NormalWeb"/>
    <w:next w:val="Normal"/>
    <w:rsid w:val="004E5076"/>
    <w:pPr>
      <w:autoSpaceDE w:val="0"/>
      <w:autoSpaceDN w:val="0"/>
      <w:adjustRightInd w:val="0"/>
      <w:spacing w:before="120" w:beforeAutospacing="0" w:after="0" w:afterAutospacing="0"/>
      <w:jc w:val="center"/>
    </w:pPr>
    <w:rPr>
      <w:rFonts w:ascii="Arial" w:eastAsiaTheme="minorEastAsia" w:hAnsi="Arial"/>
      <w:sz w:val="18"/>
      <w:lang w:val="es-ES"/>
    </w:rPr>
  </w:style>
  <w:style w:type="paragraph" w:customStyle="1" w:styleId="gmail-msocommenttext">
    <w:name w:val="gmail-msocommenttext"/>
    <w:basedOn w:val="Normal"/>
    <w:rsid w:val="004E5076"/>
    <w:pPr>
      <w:widowControl/>
      <w:autoSpaceDE w:val="0"/>
      <w:autoSpaceDN w:val="0"/>
      <w:adjustRightInd w:val="0"/>
      <w:spacing w:before="100" w:beforeAutospacing="1" w:after="100" w:afterAutospacing="1"/>
    </w:pPr>
    <w:rPr>
      <w:rFonts w:ascii="Calibri" w:eastAsia="Times New Roman" w:hAnsi="Calibri" w:cs="Calibri"/>
      <w:lang w:val="es-CL"/>
    </w:rPr>
  </w:style>
  <w:style w:type="character" w:customStyle="1" w:styleId="UnresolvedMention4">
    <w:name w:val="Unresolved Mention4"/>
    <w:basedOn w:val="Fuentedeprrafopredeter"/>
    <w:uiPriority w:val="99"/>
    <w:rsid w:val="004E5076"/>
    <w:rPr>
      <w:rFonts w:cs="Times New Roman"/>
      <w:color w:val="605E5C"/>
      <w:shd w:val="clear" w:color="auto" w:fill="E1DFDD"/>
    </w:rPr>
  </w:style>
  <w:style w:type="character" w:customStyle="1" w:styleId="BodyText2Char1">
    <w:name w:val="Body Text 2 Char1"/>
    <w:basedOn w:val="Fuentedeprrafopredeter"/>
    <w:uiPriority w:val="99"/>
    <w:rsid w:val="004E5076"/>
    <w:rPr>
      <w:rFonts w:cs="Times New Roman"/>
      <w:lang w:val="es-PE"/>
    </w:rPr>
  </w:style>
  <w:style w:type="character" w:customStyle="1" w:styleId="fontstyle01">
    <w:name w:val="fontstyle01"/>
    <w:basedOn w:val="Fuentedeprrafopredeter"/>
    <w:rsid w:val="004E5076"/>
    <w:rPr>
      <w:rFonts w:ascii="Arial" w:hAnsi="Arial" w:cs="Arial"/>
      <w:color w:val="000000"/>
      <w:sz w:val="22"/>
      <w:szCs w:val="22"/>
    </w:rPr>
  </w:style>
  <w:style w:type="paragraph" w:customStyle="1" w:styleId="xl91">
    <w:name w:val="xl91"/>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2">
    <w:name w:val="xl92"/>
    <w:basedOn w:val="Normal"/>
    <w:rsid w:val="004E5076"/>
    <w:pPr>
      <w:widowControl/>
      <w:pBdr>
        <w:top w:val="single" w:sz="4" w:space="0" w:color="auto"/>
        <w:left w:val="single" w:sz="4"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3">
    <w:name w:val="xl93"/>
    <w:basedOn w:val="Normal"/>
    <w:rsid w:val="004E5076"/>
    <w:pPr>
      <w:widowControl/>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pPr>
    <w:rPr>
      <w:rFonts w:eastAsiaTheme="minorEastAsia"/>
      <w:b/>
      <w:sz w:val="28"/>
      <w:szCs w:val="28"/>
      <w:lang w:val="es-PE"/>
    </w:rPr>
  </w:style>
  <w:style w:type="paragraph" w:customStyle="1" w:styleId="xl94">
    <w:name w:val="xl94"/>
    <w:basedOn w:val="Normal"/>
    <w:rsid w:val="004E5076"/>
    <w:pPr>
      <w:widowControl/>
      <w:pBdr>
        <w:top w:val="single" w:sz="4" w:space="0" w:color="auto"/>
        <w:left w:val="single" w:sz="4" w:space="0" w:color="auto"/>
        <w:bottom w:val="single" w:sz="8" w:space="0" w:color="auto"/>
        <w:right w:val="single" w:sz="4" w:space="0" w:color="auto"/>
      </w:pBdr>
      <w:autoSpaceDE w:val="0"/>
      <w:autoSpaceDN w:val="0"/>
      <w:adjustRightInd w:val="0"/>
      <w:spacing w:before="100" w:beforeAutospacing="1" w:after="100" w:afterAutospacing="1"/>
    </w:pPr>
    <w:rPr>
      <w:rFonts w:eastAsiaTheme="minorEastAsia"/>
      <w:b/>
      <w:sz w:val="28"/>
      <w:szCs w:val="28"/>
      <w:lang w:val="es-PE"/>
    </w:rPr>
  </w:style>
  <w:style w:type="paragraph" w:customStyle="1" w:styleId="xl95">
    <w:name w:val="xl95"/>
    <w:basedOn w:val="Normal"/>
    <w:rsid w:val="004E5076"/>
    <w:pPr>
      <w:widowControl/>
      <w:pBdr>
        <w:top w:val="single" w:sz="4" w:space="0" w:color="auto"/>
        <w:left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6">
    <w:name w:val="xl96"/>
    <w:basedOn w:val="Normal"/>
    <w:rsid w:val="004E5076"/>
    <w:pPr>
      <w:widowControl/>
      <w:pBdr>
        <w:top w:val="single" w:sz="4" w:space="0" w:color="auto"/>
        <w:left w:val="single" w:sz="4" w:space="0" w:color="auto"/>
        <w:bottom w:val="single" w:sz="4" w:space="0" w:color="auto"/>
        <w:right w:val="single" w:sz="8" w:space="0" w:color="auto"/>
      </w:pBdr>
      <w:shd w:val="clear" w:color="000000" w:fill="FFFFFF"/>
      <w:autoSpaceDE w:val="0"/>
      <w:autoSpaceDN w:val="0"/>
      <w:adjustRightInd w:val="0"/>
      <w:spacing w:before="100" w:beforeAutospacing="1" w:after="100" w:afterAutospacing="1"/>
    </w:pPr>
    <w:rPr>
      <w:rFonts w:eastAsiaTheme="minorEastAsia"/>
      <w:b/>
      <w:sz w:val="28"/>
      <w:szCs w:val="28"/>
      <w:lang w:val="es-PE"/>
    </w:rPr>
  </w:style>
  <w:style w:type="paragraph" w:customStyle="1" w:styleId="xl97">
    <w:name w:val="xl97"/>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98">
    <w:name w:val="xl98"/>
    <w:basedOn w:val="Normal"/>
    <w:rsid w:val="004E5076"/>
    <w:pPr>
      <w:widowControl/>
      <w:pBdr>
        <w:top w:val="single" w:sz="4" w:space="0" w:color="auto"/>
        <w:left w:val="single" w:sz="4" w:space="0" w:color="auto"/>
        <w:bottom w:val="single" w:sz="8" w:space="0" w:color="auto"/>
        <w:right w:val="single" w:sz="4"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character" w:customStyle="1" w:styleId="UnresolvedMention5">
    <w:name w:val="Unresolved Mention5"/>
    <w:basedOn w:val="Fuentedeprrafopredeter"/>
    <w:uiPriority w:val="99"/>
    <w:rsid w:val="004E5076"/>
    <w:rPr>
      <w:rFonts w:cs="Times New Roman"/>
      <w:color w:val="605E5C"/>
      <w:shd w:val="clear" w:color="auto" w:fill="E1DFDD"/>
    </w:rPr>
  </w:style>
  <w:style w:type="paragraph" w:customStyle="1" w:styleId="xl100">
    <w:name w:val="xl100"/>
    <w:basedOn w:val="Normal"/>
    <w:rsid w:val="004E5076"/>
    <w:pPr>
      <w:widowControl/>
      <w:pBdr>
        <w:top w:val="single" w:sz="4" w:space="0" w:color="auto"/>
        <w:left w:val="single" w:sz="4" w:space="0" w:color="auto"/>
        <w:right w:val="single" w:sz="4"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paragraph" w:customStyle="1" w:styleId="xl101">
    <w:name w:val="xl101"/>
    <w:basedOn w:val="Normal"/>
    <w:rsid w:val="004E5076"/>
    <w:pPr>
      <w:widowControl/>
      <w:pBdr>
        <w:top w:val="single" w:sz="4" w:space="0" w:color="auto"/>
        <w:right w:val="single" w:sz="4" w:space="0" w:color="auto"/>
      </w:pBdr>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2">
    <w:name w:val="xl102"/>
    <w:basedOn w:val="Normal"/>
    <w:rsid w:val="004E5076"/>
    <w:pPr>
      <w:widowControl/>
      <w:pBdr>
        <w:top w:val="single" w:sz="4" w:space="0" w:color="auto"/>
        <w:left w:val="single" w:sz="4" w:space="0" w:color="auto"/>
      </w:pBdr>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3">
    <w:name w:val="xl103"/>
    <w:basedOn w:val="Normal"/>
    <w:rsid w:val="004E5076"/>
    <w:pPr>
      <w:widowControl/>
      <w:pBdr>
        <w:top w:val="single" w:sz="4" w:space="0" w:color="auto"/>
        <w:left w:val="single" w:sz="4" w:space="0" w:color="auto"/>
        <w:right w:val="single" w:sz="4" w:space="0" w:color="auto"/>
      </w:pBdr>
      <w:autoSpaceDE w:val="0"/>
      <w:autoSpaceDN w:val="0"/>
      <w:adjustRightInd w:val="0"/>
      <w:spacing w:before="100" w:beforeAutospacing="1" w:after="100" w:afterAutospacing="1"/>
    </w:pPr>
    <w:rPr>
      <w:rFonts w:eastAsiaTheme="minorEastAsia"/>
      <w:b/>
      <w:sz w:val="32"/>
      <w:szCs w:val="32"/>
      <w:lang w:val="es-PE"/>
    </w:rPr>
  </w:style>
  <w:style w:type="paragraph" w:customStyle="1" w:styleId="xl104">
    <w:name w:val="xl104"/>
    <w:basedOn w:val="Normal"/>
    <w:rsid w:val="004E5076"/>
    <w:pPr>
      <w:widowControl/>
      <w:pBdr>
        <w:left w:val="single" w:sz="4" w:space="0" w:color="auto"/>
      </w:pBdr>
      <w:shd w:val="clear" w:color="000000" w:fill="B7DEE8"/>
      <w:autoSpaceDE w:val="0"/>
      <w:autoSpaceDN w:val="0"/>
      <w:adjustRightInd w:val="0"/>
      <w:spacing w:before="100" w:beforeAutospacing="1" w:after="100" w:afterAutospacing="1"/>
      <w:jc w:val="center"/>
    </w:pPr>
    <w:rPr>
      <w:rFonts w:eastAsiaTheme="minorEastAsia"/>
      <w:b/>
      <w:sz w:val="32"/>
      <w:szCs w:val="32"/>
      <w:lang w:val="es-PE"/>
    </w:rPr>
  </w:style>
  <w:style w:type="paragraph" w:customStyle="1" w:styleId="xl105">
    <w:name w:val="xl105"/>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06">
    <w:name w:val="xl106"/>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jc w:val="right"/>
    </w:pPr>
    <w:rPr>
      <w:rFonts w:eastAsiaTheme="minorEastAsia"/>
      <w:b/>
      <w:sz w:val="28"/>
      <w:szCs w:val="28"/>
      <w:lang w:val="es-PE"/>
    </w:rPr>
  </w:style>
  <w:style w:type="paragraph" w:customStyle="1" w:styleId="xl107">
    <w:name w:val="xl107"/>
    <w:basedOn w:val="Normal"/>
    <w:rsid w:val="004E5076"/>
    <w:pPr>
      <w:widowControl/>
      <w:pBdr>
        <w:top w:val="single" w:sz="4" w:space="0" w:color="auto"/>
        <w:left w:val="single" w:sz="8" w:space="0" w:color="auto"/>
        <w:bottom w:val="single" w:sz="8" w:space="0" w:color="auto"/>
        <w:right w:val="single" w:sz="4" w:space="0" w:color="auto"/>
      </w:pBdr>
      <w:autoSpaceDE w:val="0"/>
      <w:autoSpaceDN w:val="0"/>
      <w:adjustRightInd w:val="0"/>
      <w:spacing w:before="100" w:beforeAutospacing="1" w:after="100" w:afterAutospacing="1"/>
      <w:jc w:val="right"/>
    </w:pPr>
    <w:rPr>
      <w:rFonts w:eastAsiaTheme="minorEastAsia"/>
      <w:b/>
      <w:sz w:val="28"/>
      <w:szCs w:val="28"/>
      <w:lang w:val="es-PE"/>
    </w:rPr>
  </w:style>
  <w:style w:type="paragraph" w:customStyle="1" w:styleId="xl108">
    <w:name w:val="xl108"/>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09">
    <w:name w:val="xl109"/>
    <w:basedOn w:val="Normal"/>
    <w:rsid w:val="004E5076"/>
    <w:pPr>
      <w:widowControl/>
      <w:pBdr>
        <w:top w:val="single" w:sz="4" w:space="0" w:color="auto"/>
        <w:left w:val="single" w:sz="8" w:space="0" w:color="auto"/>
        <w:bottom w:val="single" w:sz="4" w:space="0" w:color="auto"/>
        <w:right w:val="single" w:sz="4" w:space="0" w:color="auto"/>
      </w:pBdr>
      <w:autoSpaceDE w:val="0"/>
      <w:autoSpaceDN w:val="0"/>
      <w:adjustRightInd w:val="0"/>
      <w:spacing w:before="100" w:beforeAutospacing="1" w:after="100" w:afterAutospacing="1"/>
      <w:jc w:val="center"/>
    </w:pPr>
    <w:rPr>
      <w:rFonts w:eastAsiaTheme="minorEastAsia"/>
      <w:b/>
      <w:sz w:val="28"/>
      <w:szCs w:val="28"/>
      <w:lang w:val="es-PE"/>
    </w:rPr>
  </w:style>
  <w:style w:type="paragraph" w:customStyle="1" w:styleId="xl110">
    <w:name w:val="xl110"/>
    <w:basedOn w:val="Normal"/>
    <w:rsid w:val="004E5076"/>
    <w:pPr>
      <w:widowControl/>
      <w:pBdr>
        <w:top w:val="single" w:sz="4"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11">
    <w:name w:val="xl111"/>
    <w:basedOn w:val="Normal"/>
    <w:rsid w:val="004E5076"/>
    <w:pPr>
      <w:widowControl/>
      <w:pBdr>
        <w:top w:val="single" w:sz="4"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pPr>
    <w:rPr>
      <w:rFonts w:eastAsiaTheme="minorEastAsia"/>
      <w:b/>
      <w:color w:val="FFFFFF"/>
      <w:sz w:val="28"/>
      <w:szCs w:val="28"/>
      <w:lang w:val="es-PE"/>
    </w:rPr>
  </w:style>
  <w:style w:type="paragraph" w:customStyle="1" w:styleId="xl112">
    <w:name w:val="xl112"/>
    <w:basedOn w:val="Normal"/>
    <w:rsid w:val="004E5076"/>
    <w:pPr>
      <w:widowControl/>
      <w:pBdr>
        <w:top w:val="single" w:sz="4" w:space="0" w:color="auto"/>
        <w:left w:val="single" w:sz="4" w:space="0" w:color="auto"/>
        <w:bottom w:val="single" w:sz="8" w:space="0" w:color="auto"/>
        <w:right w:val="single" w:sz="8" w:space="0" w:color="auto"/>
      </w:pBdr>
      <w:shd w:val="clear" w:color="000000" w:fill="B7DEE8"/>
      <w:autoSpaceDE w:val="0"/>
      <w:autoSpaceDN w:val="0"/>
      <w:adjustRightInd w:val="0"/>
      <w:spacing w:before="100" w:beforeAutospacing="1" w:after="100" w:afterAutospacing="1"/>
    </w:pPr>
    <w:rPr>
      <w:rFonts w:eastAsiaTheme="minorEastAsia"/>
      <w:b/>
      <w:sz w:val="32"/>
      <w:szCs w:val="32"/>
      <w:lang w:val="es-PE"/>
    </w:rPr>
  </w:style>
  <w:style w:type="paragraph" w:customStyle="1" w:styleId="xl113">
    <w:name w:val="xl113"/>
    <w:basedOn w:val="Normal"/>
    <w:rsid w:val="004E5076"/>
    <w:pPr>
      <w:widowControl/>
      <w:pBdr>
        <w:top w:val="single" w:sz="8" w:space="0" w:color="auto"/>
        <w:left w:val="single" w:sz="8" w:space="0" w:color="auto"/>
        <w:bottom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4">
    <w:name w:val="xl114"/>
    <w:basedOn w:val="Normal"/>
    <w:rsid w:val="004E5076"/>
    <w:pPr>
      <w:widowControl/>
      <w:pBdr>
        <w:top w:val="single" w:sz="8"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5">
    <w:name w:val="xl115"/>
    <w:basedOn w:val="Normal"/>
    <w:rsid w:val="004E5076"/>
    <w:pPr>
      <w:widowControl/>
      <w:pBdr>
        <w:top w:val="single" w:sz="8" w:space="0" w:color="auto"/>
        <w:left w:val="single" w:sz="8" w:space="0" w:color="auto"/>
        <w:bottom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6">
    <w:name w:val="xl116"/>
    <w:basedOn w:val="Normal"/>
    <w:rsid w:val="004E5076"/>
    <w:pPr>
      <w:widowControl/>
      <w:pBdr>
        <w:top w:val="single" w:sz="8"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7">
    <w:name w:val="xl117"/>
    <w:basedOn w:val="Normal"/>
    <w:rsid w:val="004E5076"/>
    <w:pPr>
      <w:widowControl/>
      <w:pBdr>
        <w:top w:val="single" w:sz="8" w:space="0" w:color="auto"/>
        <w:left w:val="single" w:sz="8" w:space="0" w:color="auto"/>
        <w:bottom w:val="single" w:sz="4" w:space="0" w:color="auto"/>
        <w:right w:val="single" w:sz="4"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8">
    <w:name w:val="xl118"/>
    <w:basedOn w:val="Normal"/>
    <w:rsid w:val="004E5076"/>
    <w:pPr>
      <w:widowControl/>
      <w:pBdr>
        <w:top w:val="single" w:sz="8" w:space="0" w:color="auto"/>
        <w:left w:val="single" w:sz="4" w:space="0" w:color="auto"/>
        <w:bottom w:val="single" w:sz="4" w:space="0" w:color="auto"/>
        <w:right w:val="single" w:sz="8" w:space="0" w:color="auto"/>
      </w:pBdr>
      <w:shd w:val="clear" w:color="000000" w:fill="1F497D"/>
      <w:autoSpaceDE w:val="0"/>
      <w:autoSpaceDN w:val="0"/>
      <w:adjustRightInd w:val="0"/>
      <w:spacing w:before="100" w:beforeAutospacing="1" w:after="100" w:afterAutospacing="1"/>
      <w:jc w:val="center"/>
    </w:pPr>
    <w:rPr>
      <w:rFonts w:eastAsiaTheme="minorEastAsia"/>
      <w:b/>
      <w:color w:val="FFFFFF"/>
      <w:sz w:val="28"/>
      <w:szCs w:val="28"/>
      <w:lang w:val="es-PE"/>
    </w:rPr>
  </w:style>
  <w:style w:type="paragraph" w:customStyle="1" w:styleId="xl119">
    <w:name w:val="xl119"/>
    <w:basedOn w:val="Normal"/>
    <w:rsid w:val="004E5076"/>
    <w:pPr>
      <w:widowControl/>
      <w:pBdr>
        <w:top w:val="single" w:sz="8" w:space="0" w:color="auto"/>
        <w:left w:val="single" w:sz="8" w:space="0" w:color="auto"/>
        <w:bottom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paragraph" w:customStyle="1" w:styleId="xl120">
    <w:name w:val="xl120"/>
    <w:basedOn w:val="Normal"/>
    <w:rsid w:val="004E5076"/>
    <w:pPr>
      <w:widowControl/>
      <w:pBdr>
        <w:top w:val="single" w:sz="8" w:space="0" w:color="auto"/>
        <w:bottom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paragraph" w:customStyle="1" w:styleId="xl121">
    <w:name w:val="xl121"/>
    <w:basedOn w:val="Normal"/>
    <w:rsid w:val="004E5076"/>
    <w:pPr>
      <w:widowControl/>
      <w:pBdr>
        <w:top w:val="single" w:sz="8" w:space="0" w:color="auto"/>
        <w:bottom w:val="single" w:sz="8" w:space="0" w:color="auto"/>
        <w:right w:val="single" w:sz="8" w:space="0" w:color="auto"/>
      </w:pBdr>
      <w:shd w:val="clear" w:color="000000" w:fill="B7DEE8"/>
      <w:autoSpaceDE w:val="0"/>
      <w:autoSpaceDN w:val="0"/>
      <w:adjustRightInd w:val="0"/>
      <w:spacing w:before="100" w:beforeAutospacing="1" w:after="100" w:afterAutospacing="1"/>
      <w:jc w:val="center"/>
    </w:pPr>
    <w:rPr>
      <w:rFonts w:eastAsiaTheme="minorEastAsia"/>
      <w:b/>
      <w:sz w:val="36"/>
      <w:szCs w:val="36"/>
      <w:lang w:val="es-PE"/>
    </w:rPr>
  </w:style>
  <w:style w:type="character" w:customStyle="1" w:styleId="font311">
    <w:name w:val="font311"/>
    <w:basedOn w:val="Fuentedeprrafopredeter"/>
    <w:rsid w:val="004E5076"/>
    <w:rPr>
      <w:rFonts w:ascii="Calibri" w:hAnsi="Calibri" w:cs="Times New Roman"/>
      <w:b/>
      <w:color w:val="000000"/>
      <w:sz w:val="20"/>
      <w:szCs w:val="20"/>
      <w:u w:val="none"/>
      <w:effect w:val="none"/>
    </w:rPr>
  </w:style>
  <w:style w:type="character" w:customStyle="1" w:styleId="font371">
    <w:name w:val="font371"/>
    <w:basedOn w:val="Fuentedeprrafopredeter"/>
    <w:rsid w:val="004E5076"/>
    <w:rPr>
      <w:rFonts w:ascii="Calibri" w:hAnsi="Calibri" w:cs="Times New Roman"/>
      <w:i/>
      <w:color w:val="000000"/>
      <w:sz w:val="16"/>
      <w:szCs w:val="16"/>
      <w:u w:val="none"/>
      <w:effect w:val="none"/>
    </w:rPr>
  </w:style>
  <w:style w:type="character" w:customStyle="1" w:styleId="Mencionar1">
    <w:name w:val="Mencionar1"/>
    <w:basedOn w:val="Fuentedeprrafopredeter"/>
    <w:uiPriority w:val="99"/>
    <w:rsid w:val="004E5076"/>
    <w:rPr>
      <w:rFonts w:cs="Times New Roman"/>
      <w:color w:val="2B579A"/>
      <w:shd w:val="clear" w:color="auto" w:fill="E6E6E6"/>
    </w:rPr>
  </w:style>
  <w:style w:type="character" w:customStyle="1" w:styleId="Mencionar2">
    <w:name w:val="Mencionar2"/>
    <w:basedOn w:val="Fuentedeprrafopredeter"/>
    <w:uiPriority w:val="99"/>
    <w:rsid w:val="004E5076"/>
    <w:rPr>
      <w:rFonts w:cs="Times New Roman"/>
      <w:color w:val="2B579A"/>
      <w:shd w:val="clear" w:color="auto" w:fill="E6E6E6"/>
    </w:rPr>
  </w:style>
  <w:style w:type="character" w:customStyle="1" w:styleId="Mencinsinresolver13">
    <w:name w:val="Mención sin resolver13"/>
    <w:basedOn w:val="Fuentedeprrafopredeter"/>
    <w:uiPriority w:val="99"/>
    <w:rsid w:val="004E5076"/>
    <w:rPr>
      <w:rFonts w:cs="Times New Roman"/>
      <w:color w:val="808080"/>
      <w:shd w:val="clear" w:color="auto" w:fill="E6E6E6"/>
    </w:rPr>
  </w:style>
  <w:style w:type="paragraph" w:customStyle="1" w:styleId="Parrafo3">
    <w:name w:val="Parrafo 3"/>
    <w:basedOn w:val="Normal"/>
    <w:rsid w:val="004E5076"/>
    <w:pPr>
      <w:widowControl/>
      <w:autoSpaceDE w:val="0"/>
      <w:autoSpaceDN w:val="0"/>
      <w:adjustRightInd w:val="0"/>
      <w:spacing w:after="160" w:line="259" w:lineRule="auto"/>
      <w:ind w:left="993"/>
      <w:jc w:val="both"/>
    </w:pPr>
    <w:rPr>
      <w:rFonts w:ascii="Calibri" w:eastAsia="Times New Roman" w:hAnsi="Calibri"/>
      <w:lang w:val="es-PE"/>
    </w:rPr>
  </w:style>
  <w:style w:type="character" w:customStyle="1" w:styleId="Parrafo3Car">
    <w:name w:val="Parrafo 3 Car"/>
    <w:basedOn w:val="Fuentedeprrafopredeter"/>
    <w:rsid w:val="004E5076"/>
    <w:rPr>
      <w:rFonts w:ascii="Calibri" w:eastAsia="Times New Roman" w:hAnsi="Calibri" w:cs="Arial"/>
      <w:lang w:val="x-none"/>
    </w:rPr>
  </w:style>
  <w:style w:type="character" w:customStyle="1" w:styleId="Mencionar3">
    <w:name w:val="Mencionar3"/>
    <w:basedOn w:val="Fuentedeprrafopredeter"/>
    <w:uiPriority w:val="99"/>
    <w:rsid w:val="004E5076"/>
    <w:rPr>
      <w:rFonts w:cs="Times New Roman"/>
      <w:color w:val="2B579A"/>
      <w:shd w:val="clear" w:color="auto" w:fill="E6E6E6"/>
    </w:rPr>
  </w:style>
  <w:style w:type="character" w:customStyle="1" w:styleId="Mencinsinresolver41">
    <w:name w:val="Mención sin resolver41"/>
    <w:basedOn w:val="Fuentedeprrafopredeter"/>
    <w:uiPriority w:val="99"/>
    <w:rsid w:val="004E5076"/>
    <w:rPr>
      <w:rFonts w:cs="Times New Roman"/>
      <w:color w:val="808080"/>
      <w:shd w:val="clear" w:color="auto" w:fill="E6E6E6"/>
    </w:rPr>
  </w:style>
  <w:style w:type="character" w:customStyle="1" w:styleId="Mencinsinresolver120">
    <w:name w:val="Mención sin resolver12_0"/>
    <w:basedOn w:val="Fuentedeprrafopredeter"/>
    <w:uiPriority w:val="99"/>
    <w:rsid w:val="004E5076"/>
    <w:rPr>
      <w:rFonts w:cs="Times New Roman"/>
      <w:color w:val="808080"/>
      <w:shd w:val="clear" w:color="auto" w:fill="E6E6E6"/>
    </w:rPr>
  </w:style>
  <w:style w:type="paragraph" w:customStyle="1" w:styleId="consultaletra">
    <w:name w:val="consulta_letra"/>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character" w:customStyle="1" w:styleId="Ttulo1Car1">
    <w:name w:val="Título 1 Car1"/>
    <w:aliases w:val="69% Car1,Attribute Heading 1 Car1,B Car1,C) Car1,H1 Car1,Head1 Car1,Heading apps Car1,L1 Car1,MT1 Car1,No numbers Car1,Para1 Car1,Portadilla Car1,Rubro (A Car Car1,Rubro (A Car2,Section Heading Car1,h1 Car1,h11 Car1,h12 Car1,título 1 Car1"/>
    <w:rsid w:val="004E5076"/>
    <w:rPr>
      <w:rFonts w:ascii="Arial" w:eastAsia="MS Mincho" w:hAnsi="Arial"/>
      <w:b/>
      <w:kern w:val="24"/>
      <w:lang w:val="en-US"/>
    </w:rPr>
  </w:style>
  <w:style w:type="character" w:customStyle="1" w:styleId="Ttulo7Car1">
    <w:name w:val="Título 7 Car1"/>
    <w:aliases w:val="( Inactivo) Car1"/>
    <w:basedOn w:val="Fuentedeprrafopredeter"/>
    <w:rsid w:val="004E5076"/>
    <w:rPr>
      <w:rFonts w:ascii="Calibri Light" w:eastAsia="Yu Gothic Light" w:hAnsi="Calibri Light" w:cs="Times New Roman"/>
      <w:i/>
      <w:color w:val="1F3763"/>
      <w:sz w:val="22"/>
      <w:szCs w:val="22"/>
    </w:rPr>
  </w:style>
  <w:style w:type="character" w:customStyle="1" w:styleId="Ttulo8Car1">
    <w:name w:val="Título 8 Car1"/>
    <w:aliases w:val="(Inactivo ) Car1"/>
    <w:basedOn w:val="Fuentedeprrafopredeter"/>
    <w:rsid w:val="004E5076"/>
    <w:rPr>
      <w:rFonts w:ascii="Calibri Light" w:eastAsia="Yu Gothic Light" w:hAnsi="Calibri Light" w:cs="Times New Roman"/>
      <w:color w:val="272727"/>
      <w:sz w:val="21"/>
      <w:szCs w:val="21"/>
    </w:rPr>
  </w:style>
  <w:style w:type="paragraph" w:customStyle="1" w:styleId="m126270924935234961gmail-msolistparagraph">
    <w:name w:val="m_126270924935234961gmail-msolistparagraph"/>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paragraph" w:customStyle="1" w:styleId="ArticleL1">
    <w:name w:val="Article_L1"/>
    <w:basedOn w:val="Normal"/>
    <w:next w:val="Normal"/>
    <w:rsid w:val="004E5076"/>
    <w:pPr>
      <w:widowControl/>
      <w:tabs>
        <w:tab w:val="num" w:pos="360"/>
      </w:tabs>
      <w:autoSpaceDE w:val="0"/>
      <w:autoSpaceDN w:val="0"/>
      <w:adjustRightInd w:val="0"/>
      <w:spacing w:before="240" w:after="240"/>
      <w:outlineLvl w:val="0"/>
    </w:pPr>
    <w:rPr>
      <w:rFonts w:ascii="Times New Roman Bold" w:eastAsiaTheme="minorEastAsia" w:hAnsi="Times New Roman Bold" w:cs="Times New Roman"/>
      <w:b/>
      <w:sz w:val="24"/>
      <w:szCs w:val="20"/>
      <w:lang w:val="en-US"/>
    </w:rPr>
  </w:style>
  <w:style w:type="paragraph" w:customStyle="1" w:styleId="ArticleL4">
    <w:name w:val="Article_L4"/>
    <w:basedOn w:val="Normal"/>
    <w:next w:val="Normal"/>
    <w:rsid w:val="004E5076"/>
    <w:pPr>
      <w:widowControl/>
      <w:tabs>
        <w:tab w:val="num" w:pos="1440"/>
      </w:tabs>
      <w:autoSpaceDE w:val="0"/>
      <w:autoSpaceDN w:val="0"/>
      <w:adjustRightInd w:val="0"/>
      <w:spacing w:after="240"/>
      <w:ind w:left="1440" w:hanging="720"/>
      <w:outlineLvl w:val="3"/>
    </w:pPr>
    <w:rPr>
      <w:rFonts w:ascii="Times New Roman" w:eastAsiaTheme="minorEastAsia" w:hAnsi="Times New Roman" w:cs="Times New Roman"/>
      <w:sz w:val="24"/>
      <w:szCs w:val="20"/>
      <w:lang w:val="en-US"/>
    </w:rPr>
  </w:style>
  <w:style w:type="paragraph" w:customStyle="1" w:styleId="ArticleL5">
    <w:name w:val="Article_L5"/>
    <w:basedOn w:val="Normal"/>
    <w:next w:val="Normal"/>
    <w:rsid w:val="004E5076"/>
    <w:pPr>
      <w:widowControl/>
      <w:tabs>
        <w:tab w:val="num" w:pos="2160"/>
      </w:tabs>
      <w:autoSpaceDE w:val="0"/>
      <w:autoSpaceDN w:val="0"/>
      <w:adjustRightInd w:val="0"/>
      <w:spacing w:after="240"/>
      <w:ind w:left="2160" w:hanging="720"/>
      <w:outlineLvl w:val="4"/>
    </w:pPr>
    <w:rPr>
      <w:rFonts w:ascii="Times New Roman" w:eastAsiaTheme="minorEastAsia" w:hAnsi="Times New Roman" w:cs="Times New Roman"/>
      <w:sz w:val="24"/>
      <w:szCs w:val="20"/>
      <w:lang w:val="en-US"/>
    </w:rPr>
  </w:style>
  <w:style w:type="paragraph" w:customStyle="1" w:styleId="ArticleL6">
    <w:name w:val="Article_L6"/>
    <w:basedOn w:val="Normal"/>
    <w:next w:val="Normal"/>
    <w:rsid w:val="004E5076"/>
    <w:pPr>
      <w:widowControl/>
      <w:tabs>
        <w:tab w:val="num" w:pos="3960"/>
      </w:tabs>
      <w:autoSpaceDE w:val="0"/>
      <w:autoSpaceDN w:val="0"/>
      <w:adjustRightInd w:val="0"/>
      <w:spacing w:after="240"/>
      <w:ind w:firstLine="3600"/>
      <w:outlineLvl w:val="5"/>
    </w:pPr>
    <w:rPr>
      <w:rFonts w:ascii="Times New Roman" w:eastAsiaTheme="minorEastAsia" w:hAnsi="Times New Roman" w:cs="Times New Roman"/>
      <w:sz w:val="24"/>
      <w:szCs w:val="20"/>
      <w:lang w:val="en-US"/>
    </w:rPr>
  </w:style>
  <w:style w:type="paragraph" w:customStyle="1" w:styleId="ArticleL7">
    <w:name w:val="Article_L7"/>
    <w:basedOn w:val="Normal"/>
    <w:next w:val="Normal"/>
    <w:rsid w:val="004E5076"/>
    <w:pPr>
      <w:widowControl/>
      <w:tabs>
        <w:tab w:val="num" w:pos="1800"/>
      </w:tabs>
      <w:autoSpaceDE w:val="0"/>
      <w:autoSpaceDN w:val="0"/>
      <w:adjustRightInd w:val="0"/>
      <w:spacing w:after="240"/>
      <w:ind w:firstLine="1440"/>
      <w:outlineLvl w:val="6"/>
    </w:pPr>
    <w:rPr>
      <w:rFonts w:ascii="Times New Roman" w:eastAsiaTheme="minorEastAsia" w:hAnsi="Times New Roman" w:cs="Times New Roman"/>
      <w:sz w:val="24"/>
      <w:szCs w:val="20"/>
      <w:lang w:val="en-US"/>
    </w:rPr>
  </w:style>
  <w:style w:type="paragraph" w:customStyle="1" w:styleId="ArticleL8">
    <w:name w:val="Article_L8"/>
    <w:basedOn w:val="Normal"/>
    <w:next w:val="Normal"/>
    <w:rsid w:val="004E5076"/>
    <w:pPr>
      <w:widowControl/>
      <w:tabs>
        <w:tab w:val="num" w:pos="2880"/>
      </w:tabs>
      <w:autoSpaceDE w:val="0"/>
      <w:autoSpaceDN w:val="0"/>
      <w:adjustRightInd w:val="0"/>
      <w:spacing w:after="240"/>
      <w:ind w:firstLine="2160"/>
      <w:outlineLvl w:val="7"/>
    </w:pPr>
    <w:rPr>
      <w:rFonts w:ascii="Times New Roman" w:eastAsiaTheme="minorEastAsia" w:hAnsi="Times New Roman" w:cs="Times New Roman"/>
      <w:sz w:val="24"/>
      <w:szCs w:val="20"/>
      <w:lang w:val="en-US"/>
    </w:rPr>
  </w:style>
  <w:style w:type="paragraph" w:customStyle="1" w:styleId="ArticleL9">
    <w:name w:val="Article_L9"/>
    <w:basedOn w:val="Normal"/>
    <w:next w:val="Normal"/>
    <w:rsid w:val="004E5076"/>
    <w:pPr>
      <w:widowControl/>
      <w:tabs>
        <w:tab w:val="num" w:pos="3240"/>
      </w:tabs>
      <w:autoSpaceDE w:val="0"/>
      <w:autoSpaceDN w:val="0"/>
      <w:adjustRightInd w:val="0"/>
      <w:spacing w:after="240"/>
      <w:ind w:firstLine="2880"/>
      <w:outlineLvl w:val="8"/>
    </w:pPr>
    <w:rPr>
      <w:rFonts w:ascii="Times New Roman" w:eastAsiaTheme="minorEastAsia" w:hAnsi="Times New Roman" w:cs="Times New Roman"/>
      <w:sz w:val="24"/>
      <w:szCs w:val="20"/>
      <w:lang w:val="en-US"/>
    </w:rPr>
  </w:style>
  <w:style w:type="paragraph" w:customStyle="1" w:styleId="SCI-Article">
    <w:name w:val="SCI - Article"/>
    <w:basedOn w:val="Normal"/>
    <w:rsid w:val="004E5076"/>
    <w:pPr>
      <w:widowControl/>
      <w:tabs>
        <w:tab w:val="num" w:pos="720"/>
      </w:tabs>
      <w:autoSpaceDE w:val="0"/>
      <w:autoSpaceDN w:val="0"/>
      <w:adjustRightInd w:val="0"/>
      <w:spacing w:after="220"/>
      <w:ind w:left="720" w:hanging="720"/>
      <w:jc w:val="both"/>
    </w:pPr>
    <w:rPr>
      <w:rFonts w:ascii="Times New Roman" w:eastAsiaTheme="minorEastAsia" w:hAnsi="Times New Roman" w:cs="Times New Roman"/>
      <w:szCs w:val="24"/>
      <w:lang w:val="en-US"/>
    </w:rPr>
  </w:style>
  <w:style w:type="paragraph" w:customStyle="1" w:styleId="Tdc-8">
    <w:name w:val="Tdc-8"/>
    <w:basedOn w:val="Normal"/>
    <w:autoRedefine/>
    <w:rsid w:val="004E5076"/>
    <w:pPr>
      <w:widowControl/>
      <w:tabs>
        <w:tab w:val="left" w:pos="360"/>
      </w:tabs>
      <w:autoSpaceDE w:val="0"/>
      <w:autoSpaceDN w:val="0"/>
      <w:adjustRightInd w:val="0"/>
      <w:spacing w:before="120" w:after="120" w:line="360" w:lineRule="auto"/>
      <w:jc w:val="both"/>
    </w:pPr>
    <w:rPr>
      <w:rFonts w:eastAsiaTheme="minorEastAsia" w:cs="Times New Roman"/>
      <w:b/>
      <w:sz w:val="24"/>
      <w:szCs w:val="24"/>
      <w:lang w:val="es-PE"/>
    </w:rPr>
  </w:style>
  <w:style w:type="paragraph" w:customStyle="1" w:styleId="Normal10">
    <w:name w:val="Normal10"/>
    <w:basedOn w:val="Normal"/>
    <w:rsid w:val="004E5076"/>
    <w:pPr>
      <w:widowControl/>
      <w:autoSpaceDE w:val="0"/>
      <w:autoSpaceDN w:val="0"/>
      <w:adjustRightInd w:val="0"/>
      <w:jc w:val="both"/>
    </w:pPr>
    <w:rPr>
      <w:rFonts w:eastAsiaTheme="minorEastAsia"/>
      <w:sz w:val="20"/>
      <w:szCs w:val="20"/>
      <w:lang w:val="es-ES_tradnl"/>
    </w:rPr>
  </w:style>
  <w:style w:type="paragraph" w:customStyle="1" w:styleId="p9">
    <w:name w:val="p9"/>
    <w:basedOn w:val="Normal"/>
    <w:rsid w:val="004E5076"/>
    <w:pPr>
      <w:autoSpaceDE w:val="0"/>
      <w:autoSpaceDN w:val="0"/>
      <w:adjustRightInd w:val="0"/>
      <w:ind w:left="1480"/>
      <w:jc w:val="both"/>
    </w:pPr>
    <w:rPr>
      <w:rFonts w:ascii="Times" w:eastAsiaTheme="minorEastAsia" w:hAnsi="Times" w:cs="Times New Roman"/>
      <w:sz w:val="24"/>
      <w:szCs w:val="20"/>
      <w:lang w:val="es-ES_tradnl"/>
    </w:rPr>
  </w:style>
  <w:style w:type="paragraph" w:customStyle="1" w:styleId="NumContinue">
    <w:name w:val="Num Continue"/>
    <w:basedOn w:val="Textoindependiente"/>
    <w:rsid w:val="004E5076"/>
    <w:pPr>
      <w:widowControl/>
      <w:adjustRightInd w:val="0"/>
      <w:spacing w:line="312" w:lineRule="auto"/>
      <w:ind w:firstLine="720"/>
      <w:jc w:val="center"/>
    </w:pPr>
    <w:rPr>
      <w:rFonts w:ascii="Times New Roman" w:eastAsiaTheme="minorEastAsia" w:hAnsi="Times New Roman" w:cs="Times New Roman"/>
      <w:sz w:val="24"/>
      <w:szCs w:val="20"/>
      <w:lang w:eastAsia="es-PE"/>
    </w:rPr>
  </w:style>
  <w:style w:type="paragraph" w:customStyle="1" w:styleId="JOSE1">
    <w:name w:val="JOSE1"/>
    <w:basedOn w:val="Textosinformato"/>
    <w:autoRedefine/>
    <w:rsid w:val="004E5076"/>
    <w:pPr>
      <w:widowControl/>
      <w:tabs>
        <w:tab w:val="num" w:pos="360"/>
        <w:tab w:val="num" w:pos="720"/>
      </w:tabs>
      <w:spacing w:line="300" w:lineRule="exact"/>
      <w:jc w:val="both"/>
    </w:pPr>
    <w:rPr>
      <w:rFonts w:ascii="Arial" w:eastAsiaTheme="minorEastAsia" w:hAnsi="Arial" w:cs="Arial"/>
      <w:b/>
      <w:color w:val="0000FF"/>
      <w:sz w:val="24"/>
    </w:rPr>
  </w:style>
  <w:style w:type="paragraph" w:customStyle="1" w:styleId="JOSE3">
    <w:name w:val="JOSE3"/>
    <w:basedOn w:val="Textosinformato"/>
    <w:rsid w:val="004E5076"/>
    <w:pPr>
      <w:keepNext/>
      <w:widowControl/>
      <w:tabs>
        <w:tab w:val="num" w:pos="360"/>
        <w:tab w:val="num" w:pos="2160"/>
      </w:tabs>
      <w:spacing w:line="300" w:lineRule="exact"/>
      <w:jc w:val="both"/>
    </w:pPr>
    <w:rPr>
      <w:rFonts w:ascii="Arial" w:eastAsiaTheme="minorEastAsia" w:hAnsi="Arial" w:cs="Arial"/>
      <w:b/>
      <w:color w:val="0000FF"/>
      <w:sz w:val="24"/>
    </w:rPr>
  </w:style>
  <w:style w:type="paragraph" w:customStyle="1" w:styleId="JOSEANEXO">
    <w:name w:val="JOSEANEXO"/>
    <w:basedOn w:val="Normal"/>
    <w:rsid w:val="004E5076"/>
    <w:pPr>
      <w:widowControl/>
      <w:autoSpaceDE w:val="0"/>
      <w:autoSpaceDN w:val="0"/>
      <w:adjustRightInd w:val="0"/>
      <w:spacing w:line="300" w:lineRule="exact"/>
      <w:jc w:val="center"/>
    </w:pPr>
    <w:rPr>
      <w:rFonts w:eastAsiaTheme="minorEastAsia"/>
      <w:b/>
      <w:sz w:val="24"/>
      <w:szCs w:val="20"/>
    </w:rPr>
  </w:style>
  <w:style w:type="paragraph" w:customStyle="1" w:styleId="Lneadeasunto">
    <w:name w:val="Línea de asunto"/>
    <w:basedOn w:val="Normal"/>
    <w:rsid w:val="004E5076"/>
    <w:pPr>
      <w:widowControl/>
      <w:autoSpaceDE w:val="0"/>
      <w:autoSpaceDN w:val="0"/>
      <w:adjustRightInd w:val="0"/>
    </w:pPr>
    <w:rPr>
      <w:rFonts w:ascii="Times New Roman" w:eastAsiaTheme="minorEastAsia" w:hAnsi="Times New Roman" w:cs="Times New Roman"/>
      <w:sz w:val="20"/>
      <w:szCs w:val="20"/>
    </w:rPr>
  </w:style>
  <w:style w:type="character" w:customStyle="1" w:styleId="FirmaCar1">
    <w:name w:val="Firma Car1"/>
    <w:basedOn w:val="Fuentedeprrafopredeter"/>
    <w:rsid w:val="004E5076"/>
    <w:rPr>
      <w:rFonts w:cs="Times New Roman"/>
    </w:rPr>
  </w:style>
  <w:style w:type="paragraph" w:customStyle="1" w:styleId="Ttulo211pt">
    <w:name w:val="Título 2 + 11 pt"/>
    <w:aliases w:val="5 líneas,Interlineado:  1,Justificado"/>
    <w:basedOn w:val="Ttulo1"/>
    <w:rsid w:val="004E5076"/>
    <w:pPr>
      <w:keepLines w:val="0"/>
      <w:tabs>
        <w:tab w:val="num" w:pos="1440"/>
      </w:tabs>
      <w:autoSpaceDE w:val="0"/>
      <w:autoSpaceDN w:val="0"/>
      <w:adjustRightInd w:val="0"/>
      <w:spacing w:before="240" w:after="60" w:line="360" w:lineRule="auto"/>
      <w:ind w:left="1440" w:hanging="720"/>
      <w:jc w:val="both"/>
    </w:pPr>
    <w:rPr>
      <w:rFonts w:ascii="Arial" w:eastAsiaTheme="minorEastAsia" w:hAnsi="Arial" w:cs="Arial"/>
      <w:b/>
      <w:color w:val="auto"/>
      <w:kern w:val="32"/>
      <w:sz w:val="22"/>
      <w:szCs w:val="22"/>
    </w:rPr>
  </w:style>
  <w:style w:type="paragraph" w:customStyle="1" w:styleId="Infodocumentosadjuntos">
    <w:name w:val="Info documentos adjuntos"/>
    <w:basedOn w:val="Normal"/>
    <w:rsid w:val="004E5076"/>
    <w:pPr>
      <w:widowControl/>
      <w:autoSpaceDE w:val="0"/>
      <w:autoSpaceDN w:val="0"/>
      <w:adjustRightInd w:val="0"/>
      <w:spacing w:after="200" w:line="276" w:lineRule="auto"/>
    </w:pPr>
    <w:rPr>
      <w:rFonts w:ascii="Calibri" w:eastAsia="Times New Roman" w:hAnsi="Calibri" w:cs="Times New Roman"/>
      <w:lang w:val="es-PE"/>
    </w:rPr>
  </w:style>
  <w:style w:type="paragraph" w:customStyle="1" w:styleId="ecxmsonormal">
    <w:name w:val="ecxmsonormal"/>
    <w:basedOn w:val="Normal"/>
    <w:rsid w:val="004E5076"/>
    <w:pPr>
      <w:widowControl/>
      <w:autoSpaceDE w:val="0"/>
      <w:autoSpaceDN w:val="0"/>
      <w:adjustRightInd w:val="0"/>
      <w:spacing w:after="324"/>
    </w:pPr>
    <w:rPr>
      <w:rFonts w:ascii="Times New Roman" w:eastAsiaTheme="minorEastAsia" w:hAnsi="Times New Roman" w:cs="Times New Roman"/>
      <w:sz w:val="24"/>
      <w:szCs w:val="24"/>
    </w:rPr>
  </w:style>
  <w:style w:type="paragraph" w:customStyle="1" w:styleId="font6">
    <w:name w:val="font6"/>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7">
    <w:name w:val="font7"/>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8">
    <w:name w:val="font8"/>
    <w:basedOn w:val="Normal"/>
    <w:rsid w:val="004E5076"/>
    <w:pPr>
      <w:widowControl/>
      <w:autoSpaceDE w:val="0"/>
      <w:autoSpaceDN w:val="0"/>
      <w:adjustRightInd w:val="0"/>
      <w:spacing w:before="100" w:beforeAutospacing="1" w:after="100" w:afterAutospacing="1"/>
    </w:pPr>
    <w:rPr>
      <w:rFonts w:ascii="Tahoma" w:eastAsiaTheme="minorEastAsia" w:hAnsi="Tahoma" w:cs="Tahoma"/>
      <w:color w:val="000000"/>
      <w:sz w:val="16"/>
      <w:szCs w:val="16"/>
      <w:lang w:val="es-PE"/>
    </w:rPr>
  </w:style>
  <w:style w:type="paragraph" w:customStyle="1" w:styleId="font9">
    <w:name w:val="font9"/>
    <w:basedOn w:val="Normal"/>
    <w:rsid w:val="004E5076"/>
    <w:pPr>
      <w:widowControl/>
      <w:autoSpaceDE w:val="0"/>
      <w:autoSpaceDN w:val="0"/>
      <w:adjustRightInd w:val="0"/>
      <w:spacing w:before="100" w:beforeAutospacing="1" w:after="100" w:afterAutospacing="1"/>
    </w:pPr>
    <w:rPr>
      <w:rFonts w:ascii="Tahoma" w:eastAsiaTheme="minorEastAsia" w:hAnsi="Tahoma" w:cs="Tahoma"/>
      <w:b/>
      <w:color w:val="000000"/>
      <w:sz w:val="16"/>
      <w:szCs w:val="16"/>
      <w:lang w:val="es-PE"/>
    </w:rPr>
  </w:style>
  <w:style w:type="character" w:customStyle="1" w:styleId="Ttulo9Car1">
    <w:name w:val="Título 9 Car1"/>
    <w:aliases w:val="( Inactivo ) Car1"/>
    <w:basedOn w:val="Fuentedeprrafopredeter"/>
    <w:rsid w:val="004E5076"/>
    <w:rPr>
      <w:rFonts w:ascii="Calibri Light" w:eastAsia="Yu Gothic Light" w:hAnsi="Calibri Light" w:cs="Times New Roman"/>
      <w:i/>
      <w:color w:val="272727"/>
      <w:sz w:val="21"/>
      <w:szCs w:val="21"/>
    </w:rPr>
  </w:style>
  <w:style w:type="character" w:customStyle="1" w:styleId="TextodegloboCar1">
    <w:name w:val="Texto de globo Car1"/>
    <w:basedOn w:val="Fuentedeprrafopredeter"/>
    <w:uiPriority w:val="99"/>
    <w:rsid w:val="004E5076"/>
    <w:rPr>
      <w:rFonts w:ascii="Segoe UI" w:hAnsi="Segoe UI" w:cs="Segoe UI"/>
      <w:sz w:val="18"/>
      <w:szCs w:val="18"/>
    </w:rPr>
  </w:style>
  <w:style w:type="character" w:customStyle="1" w:styleId="AsuntodelcomentarioCar1">
    <w:name w:val="Asunto del comentario Car1"/>
    <w:basedOn w:val="TextocomentarioCar1"/>
    <w:uiPriority w:val="99"/>
    <w:rsid w:val="004E5076"/>
    <w:rPr>
      <w:rFonts w:cs="Times New Roman"/>
      <w:b/>
      <w:sz w:val="20"/>
      <w:szCs w:val="20"/>
    </w:rPr>
  </w:style>
  <w:style w:type="character" w:customStyle="1" w:styleId="Sangra2detindependienteCar1">
    <w:name w:val="Sangría 2 de t. independiente Car1"/>
    <w:basedOn w:val="Fuentedeprrafopredeter"/>
    <w:rsid w:val="004E5076"/>
    <w:rPr>
      <w:rFonts w:cs="Times New Roman"/>
    </w:rPr>
  </w:style>
  <w:style w:type="character" w:customStyle="1" w:styleId="Textoindependiente3Car1">
    <w:name w:val="Texto independiente 3 Car1"/>
    <w:basedOn w:val="Fuentedeprrafopredeter"/>
    <w:uiPriority w:val="99"/>
    <w:rsid w:val="004E5076"/>
    <w:rPr>
      <w:rFonts w:cs="Times New Roman"/>
      <w:sz w:val="16"/>
      <w:szCs w:val="16"/>
    </w:rPr>
  </w:style>
  <w:style w:type="character" w:customStyle="1" w:styleId="TextonotaalfinalCar1">
    <w:name w:val="Texto nota al final Car1"/>
    <w:basedOn w:val="Fuentedeprrafopredeter"/>
    <w:rsid w:val="004E5076"/>
    <w:rPr>
      <w:rFonts w:cs="Times New Roman"/>
      <w:sz w:val="20"/>
      <w:szCs w:val="20"/>
    </w:rPr>
  </w:style>
  <w:style w:type="character" w:customStyle="1" w:styleId="CierreCar1">
    <w:name w:val="Cierre Car1"/>
    <w:basedOn w:val="Fuentedeprrafopredeter"/>
    <w:rsid w:val="004E5076"/>
    <w:rPr>
      <w:rFonts w:cs="Times New Roman"/>
    </w:rPr>
  </w:style>
  <w:style w:type="character" w:customStyle="1" w:styleId="CitaCar1">
    <w:name w:val="Cita Car1"/>
    <w:basedOn w:val="Fuentedeprrafopredeter"/>
    <w:uiPriority w:val="29"/>
    <w:rsid w:val="004E5076"/>
    <w:rPr>
      <w:rFonts w:cs="Times New Roman"/>
      <w:i/>
      <w:color w:val="404040"/>
    </w:rPr>
  </w:style>
  <w:style w:type="character" w:customStyle="1" w:styleId="CitadestacadaCar1">
    <w:name w:val="Cita destacada Car1"/>
    <w:basedOn w:val="Fuentedeprrafopredeter"/>
    <w:uiPriority w:val="30"/>
    <w:rsid w:val="004E5076"/>
    <w:rPr>
      <w:rFonts w:cs="Times New Roman"/>
      <w:i/>
      <w:color w:val="4472C4"/>
    </w:rPr>
  </w:style>
  <w:style w:type="character" w:customStyle="1" w:styleId="EncabezadodemensajeCar1">
    <w:name w:val="Encabezado de mensaje Car1"/>
    <w:basedOn w:val="Fuentedeprrafopredeter"/>
    <w:rsid w:val="004E5076"/>
    <w:rPr>
      <w:rFonts w:ascii="Calibri Light" w:eastAsia="Yu Gothic Light" w:hAnsi="Calibri Light" w:cs="Times New Roman"/>
      <w:sz w:val="24"/>
      <w:szCs w:val="24"/>
      <w:shd w:val="pct20" w:color="auto" w:fill="auto"/>
    </w:rPr>
  </w:style>
  <w:style w:type="character" w:customStyle="1" w:styleId="EncabezadodenotaCar1">
    <w:name w:val="Encabezado de nota Car1"/>
    <w:basedOn w:val="Fuentedeprrafopredeter"/>
    <w:rsid w:val="004E5076"/>
    <w:rPr>
      <w:rFonts w:cs="Times New Roman"/>
    </w:rPr>
  </w:style>
  <w:style w:type="character" w:customStyle="1" w:styleId="FechaCar1">
    <w:name w:val="Fecha Car1"/>
    <w:basedOn w:val="Fuentedeprrafopredeter"/>
    <w:rsid w:val="004E5076"/>
    <w:rPr>
      <w:rFonts w:cs="Times New Roman"/>
    </w:rPr>
  </w:style>
  <w:style w:type="character" w:customStyle="1" w:styleId="FirmadecorreoelectrnicoCar1">
    <w:name w:val="Firma de correo electrónico Car1"/>
    <w:basedOn w:val="Fuentedeprrafopredeter"/>
    <w:uiPriority w:val="99"/>
    <w:rsid w:val="004E5076"/>
    <w:rPr>
      <w:rFonts w:cs="Times New Roman"/>
    </w:rPr>
  </w:style>
  <w:style w:type="character" w:customStyle="1" w:styleId="MapadeldocumentoCar1">
    <w:name w:val="Mapa del documento Car1"/>
    <w:basedOn w:val="Fuentedeprrafopredeter"/>
    <w:uiPriority w:val="99"/>
    <w:rsid w:val="004E5076"/>
    <w:rPr>
      <w:rFonts w:ascii="Segoe UI" w:hAnsi="Segoe UI" w:cs="Segoe UI"/>
      <w:sz w:val="16"/>
      <w:szCs w:val="16"/>
    </w:rPr>
  </w:style>
  <w:style w:type="character" w:customStyle="1" w:styleId="SaludoCar1">
    <w:name w:val="Saludo Car1"/>
    <w:basedOn w:val="Fuentedeprrafopredeter"/>
    <w:uiPriority w:val="99"/>
    <w:rsid w:val="004E5076"/>
    <w:rPr>
      <w:rFonts w:cs="Times New Roman"/>
    </w:rPr>
  </w:style>
  <w:style w:type="character" w:customStyle="1" w:styleId="Sangra3detindependienteCar1">
    <w:name w:val="Sangría 3 de t. independiente Car1"/>
    <w:basedOn w:val="Fuentedeprrafopredeter"/>
    <w:uiPriority w:val="99"/>
    <w:rsid w:val="004E5076"/>
    <w:rPr>
      <w:rFonts w:cs="Times New Roman"/>
      <w:sz w:val="16"/>
      <w:szCs w:val="16"/>
    </w:rPr>
  </w:style>
  <w:style w:type="character" w:customStyle="1" w:styleId="SubttuloCar1">
    <w:name w:val="Subtítulo Car1"/>
    <w:basedOn w:val="Fuentedeprrafopredeter"/>
    <w:uiPriority w:val="11"/>
    <w:rsid w:val="004E5076"/>
    <w:rPr>
      <w:rFonts w:eastAsia="Yu Mincho" w:cs="Times New Roman"/>
      <w:color w:val="5A5A5A"/>
      <w:spacing w:val="15"/>
    </w:rPr>
  </w:style>
  <w:style w:type="character" w:customStyle="1" w:styleId="Textoindependiente2Car1">
    <w:name w:val="Texto independiente 2 Car1"/>
    <w:basedOn w:val="Fuentedeprrafopredeter"/>
    <w:rsid w:val="004E5076"/>
    <w:rPr>
      <w:rFonts w:cs="Times New Roman"/>
    </w:rPr>
  </w:style>
  <w:style w:type="character" w:customStyle="1" w:styleId="TextoindependienteprimerasangraCar1">
    <w:name w:val="Texto independiente primera sangría Car1"/>
    <w:basedOn w:val="TextoindependienteCar1"/>
    <w:rsid w:val="004E5076"/>
    <w:rPr>
      <w:rFonts w:ascii="Arial" w:eastAsia="Batang" w:hAnsi="Arial" w:cs="Times New Roman"/>
      <w:sz w:val="22"/>
      <w:lang w:val="es-ES"/>
    </w:rPr>
  </w:style>
  <w:style w:type="character" w:customStyle="1" w:styleId="Textoindependienteprimerasangra2Car1">
    <w:name w:val="Texto independiente primera sangría 2 Car1"/>
    <w:basedOn w:val="SangradetextonormalCar1"/>
    <w:rsid w:val="004E5076"/>
    <w:rPr>
      <w:rFonts w:ascii="Arial" w:eastAsia="Batang" w:hAnsi="Arial" w:cs="Times New Roman"/>
      <w:sz w:val="22"/>
      <w:lang w:val="es-ES"/>
    </w:rPr>
  </w:style>
  <w:style w:type="character" w:customStyle="1" w:styleId="TextomacroCar1">
    <w:name w:val="Texto macro Car1"/>
    <w:basedOn w:val="Fuentedeprrafopredeter"/>
    <w:uiPriority w:val="99"/>
    <w:rsid w:val="004E5076"/>
    <w:rPr>
      <w:rFonts w:ascii="Consolas" w:hAnsi="Consolas" w:cs="Times New Roman"/>
      <w:sz w:val="20"/>
      <w:szCs w:val="20"/>
    </w:rPr>
  </w:style>
  <w:style w:type="character" w:customStyle="1" w:styleId="TtuloCar1">
    <w:name w:val="Título Car1"/>
    <w:basedOn w:val="Fuentedeprrafopredeter"/>
    <w:uiPriority w:val="10"/>
    <w:rsid w:val="004E5076"/>
    <w:rPr>
      <w:rFonts w:ascii="Calibri Light" w:eastAsia="Yu Gothic Light" w:hAnsi="Calibri Light" w:cs="Times New Roman"/>
      <w:spacing w:val="-10"/>
      <w:kern w:val="28"/>
      <w:sz w:val="56"/>
      <w:szCs w:val="56"/>
    </w:rPr>
  </w:style>
  <w:style w:type="character" w:customStyle="1" w:styleId="Encabezado1CarCar">
    <w:name w:val="Encabezado1 Car Car"/>
    <w:rsid w:val="004E5076"/>
    <w:rPr>
      <w:lang w:val="es-ES_tradnl"/>
    </w:rPr>
  </w:style>
  <w:style w:type="paragraph" w:styleId="z-Principiodelformulario">
    <w:name w:val="HTML Top of Form"/>
    <w:basedOn w:val="Normal"/>
    <w:next w:val="Normal"/>
    <w:link w:val="z-PrincipiodelformularioCar"/>
    <w:hidden/>
    <w:uiPriority w:val="99"/>
    <w:rsid w:val="004E5076"/>
    <w:pPr>
      <w:widowControl/>
      <w:pBdr>
        <w:bottom w:val="single" w:sz="6" w:space="1" w:color="auto"/>
      </w:pBdr>
      <w:autoSpaceDE w:val="0"/>
      <w:autoSpaceDN w:val="0"/>
      <w:adjustRightInd w:val="0"/>
      <w:jc w:val="center"/>
    </w:pPr>
    <w:rPr>
      <w:rFonts w:eastAsia="Times New Roman"/>
      <w:vanish/>
      <w:sz w:val="16"/>
      <w:szCs w:val="16"/>
      <w:lang w:val="es-ES_tradnl"/>
    </w:rPr>
  </w:style>
  <w:style w:type="character" w:customStyle="1" w:styleId="z-PrincipiodelformularioCar">
    <w:name w:val="z-Principio del formulario Car"/>
    <w:basedOn w:val="Fuentedeprrafopredeter"/>
    <w:link w:val="z-Principiodelformulario"/>
    <w:uiPriority w:val="99"/>
    <w:rsid w:val="004E5076"/>
    <w:rPr>
      <w:rFonts w:ascii="Arial" w:eastAsia="Times New Roman" w:hAnsi="Arial" w:cs="Arial"/>
      <w:vanish/>
      <w:kern w:val="0"/>
      <w:sz w:val="16"/>
      <w:szCs w:val="16"/>
      <w:lang w:val="es-ES_tradnl" w:eastAsia="es-PE"/>
    </w:rPr>
  </w:style>
  <w:style w:type="paragraph" w:styleId="z-Finaldelformulario">
    <w:name w:val="HTML Bottom of Form"/>
    <w:basedOn w:val="Normal"/>
    <w:next w:val="Normal"/>
    <w:link w:val="z-FinaldelformularioCar"/>
    <w:hidden/>
    <w:uiPriority w:val="99"/>
    <w:rsid w:val="004E5076"/>
    <w:pPr>
      <w:widowControl/>
      <w:pBdr>
        <w:top w:val="single" w:sz="6" w:space="1" w:color="auto"/>
      </w:pBdr>
      <w:autoSpaceDE w:val="0"/>
      <w:autoSpaceDN w:val="0"/>
      <w:adjustRightInd w:val="0"/>
      <w:jc w:val="center"/>
    </w:pPr>
    <w:rPr>
      <w:rFonts w:eastAsia="Times New Roman"/>
      <w:vanish/>
      <w:sz w:val="16"/>
      <w:szCs w:val="16"/>
      <w:lang w:val="es-ES_tradnl"/>
    </w:rPr>
  </w:style>
  <w:style w:type="character" w:customStyle="1" w:styleId="z-FinaldelformularioCar">
    <w:name w:val="z-Final del formulario Car"/>
    <w:basedOn w:val="Fuentedeprrafopredeter"/>
    <w:link w:val="z-Finaldelformulario"/>
    <w:uiPriority w:val="99"/>
    <w:rsid w:val="004E5076"/>
    <w:rPr>
      <w:rFonts w:ascii="Arial" w:eastAsia="Times New Roman" w:hAnsi="Arial" w:cs="Arial"/>
      <w:vanish/>
      <w:kern w:val="0"/>
      <w:sz w:val="16"/>
      <w:szCs w:val="16"/>
      <w:lang w:val="es-ES_tradnl" w:eastAsia="es-PE"/>
    </w:rPr>
  </w:style>
  <w:style w:type="character" w:customStyle="1" w:styleId="txtcontenido1">
    <w:name w:val="txtcontenido1"/>
    <w:rsid w:val="004E5076"/>
    <w:rPr>
      <w:rFonts w:ascii="Arial" w:hAnsi="Arial"/>
      <w:color w:val="3B3B3B"/>
      <w:sz w:val="17"/>
    </w:rPr>
  </w:style>
  <w:style w:type="table" w:styleId="Listaclara-nfasis5">
    <w:name w:val="Light List Accent 5"/>
    <w:basedOn w:val="Tablanormal"/>
    <w:uiPriority w:val="61"/>
    <w:unhideWhenUsed/>
    <w:rsid w:val="004E5076"/>
    <w:rPr>
      <w:rFonts w:ascii="Calibri" w:eastAsia="Calibri" w:hAnsi="Calibri" w:cs="Calibri"/>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Cuadrculamedia3-nfasis5">
    <w:name w:val="Medium Grid 3 Accent 5"/>
    <w:basedOn w:val="Tablanormal"/>
    <w:uiPriority w:val="69"/>
    <w:unhideWhenUsed/>
    <w:rsid w:val="004E5076"/>
    <w:rPr>
      <w:rFonts w:ascii="Calibri" w:eastAsia="Calibri" w:hAnsi="Calibri" w:cs="Calibr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paragraph" w:customStyle="1" w:styleId="Textoconbullets">
    <w:name w:val="Texto con bullets"/>
    <w:basedOn w:val="Normal"/>
    <w:rsid w:val="004E5076"/>
    <w:pPr>
      <w:widowControl/>
      <w:tabs>
        <w:tab w:val="num" w:pos="720"/>
      </w:tabs>
      <w:autoSpaceDE w:val="0"/>
      <w:autoSpaceDN w:val="0"/>
      <w:adjustRightInd w:val="0"/>
      <w:spacing w:after="160" w:line="259" w:lineRule="auto"/>
      <w:ind w:left="720" w:hanging="720"/>
    </w:pPr>
    <w:rPr>
      <w:rFonts w:ascii="Calibri" w:eastAsia="Times New Roman" w:hAnsi="Calibri"/>
    </w:rPr>
  </w:style>
  <w:style w:type="character" w:customStyle="1" w:styleId="Estilo2Car">
    <w:name w:val="Estilo2 Car"/>
    <w:basedOn w:val="Fuentedeprrafopredeter"/>
    <w:rsid w:val="004E5076"/>
    <w:rPr>
      <w:rFonts w:ascii="Arial" w:hAnsi="Arial" w:cs="Arial"/>
      <w:b/>
      <w:u w:val="single"/>
      <w:lang w:val="es-ES"/>
    </w:rPr>
  </w:style>
  <w:style w:type="character" w:customStyle="1" w:styleId="Mencinsinresolver14">
    <w:name w:val="Mención sin resolver14"/>
    <w:basedOn w:val="Fuentedeprrafopredeter"/>
    <w:uiPriority w:val="99"/>
    <w:rsid w:val="004E5076"/>
    <w:rPr>
      <w:rFonts w:cs="Times New Roman"/>
      <w:color w:val="605E5C"/>
      <w:shd w:val="clear" w:color="auto" w:fill="E1DFDD"/>
    </w:rPr>
  </w:style>
  <w:style w:type="character" w:customStyle="1" w:styleId="Mencinsinresolver16">
    <w:name w:val="Mención sin resolver16"/>
    <w:basedOn w:val="Fuentedeprrafopredeter"/>
    <w:uiPriority w:val="99"/>
    <w:rsid w:val="004E5076"/>
    <w:rPr>
      <w:rFonts w:cs="Times New Roman"/>
      <w:color w:val="605E5C"/>
      <w:shd w:val="clear" w:color="auto" w:fill="E1DFDD"/>
    </w:rPr>
  </w:style>
  <w:style w:type="paragraph" w:customStyle="1" w:styleId="Char2">
    <w:name w:val="Char2"/>
    <w:basedOn w:val="Normal"/>
    <w:uiPriority w:val="99"/>
    <w:rsid w:val="004E5076"/>
    <w:pPr>
      <w:widowControl/>
      <w:autoSpaceDE w:val="0"/>
      <w:autoSpaceDN w:val="0"/>
      <w:adjustRightInd w:val="0"/>
      <w:spacing w:after="160" w:line="240" w:lineRule="exact"/>
    </w:pPr>
    <w:rPr>
      <w:rFonts w:ascii="Calibri" w:eastAsia="Times New Roman" w:hAnsi="Calibri" w:cs="Calibri"/>
      <w:vertAlign w:val="superscript"/>
      <w:lang w:val="es-PE"/>
    </w:rPr>
  </w:style>
  <w:style w:type="character" w:customStyle="1" w:styleId="UnresolvedMention6">
    <w:name w:val="Unresolved Mention6"/>
    <w:basedOn w:val="Fuentedeprrafopredeter"/>
    <w:uiPriority w:val="99"/>
    <w:rsid w:val="004E5076"/>
    <w:rPr>
      <w:rFonts w:cs="Times New Roman"/>
      <w:color w:val="605E5C"/>
      <w:shd w:val="clear" w:color="auto" w:fill="E1DFDD"/>
    </w:rPr>
  </w:style>
  <w:style w:type="character" w:customStyle="1" w:styleId="Mencinsinresolver17">
    <w:name w:val="Mención sin resolver17"/>
    <w:basedOn w:val="Fuentedeprrafopredeter"/>
    <w:uiPriority w:val="99"/>
    <w:rsid w:val="004E5076"/>
    <w:rPr>
      <w:rFonts w:cs="Times New Roman"/>
      <w:color w:val="605E5C"/>
      <w:shd w:val="clear" w:color="auto" w:fill="E1DFDD"/>
    </w:rPr>
  </w:style>
  <w:style w:type="character" w:customStyle="1" w:styleId="Mencinsinresolver18">
    <w:name w:val="Mención sin resolver18"/>
    <w:basedOn w:val="Fuentedeprrafopredeter"/>
    <w:uiPriority w:val="99"/>
    <w:rsid w:val="004E5076"/>
    <w:rPr>
      <w:rFonts w:cs="Times New Roman"/>
      <w:color w:val="605E5C"/>
      <w:shd w:val="clear" w:color="auto" w:fill="E1DFDD"/>
    </w:rPr>
  </w:style>
  <w:style w:type="paragraph" w:customStyle="1" w:styleId="ui-chatitem">
    <w:name w:val="ui-chat__item"/>
    <w:basedOn w:val="Normal"/>
    <w:rsid w:val="004E5076"/>
    <w:pPr>
      <w:widowControl/>
      <w:autoSpaceDE w:val="0"/>
      <w:autoSpaceDN w:val="0"/>
      <w:adjustRightInd w:val="0"/>
      <w:spacing w:before="100" w:beforeAutospacing="1" w:after="100" w:afterAutospacing="1"/>
    </w:pPr>
    <w:rPr>
      <w:rFonts w:ascii="Times New Roman" w:eastAsiaTheme="minorEastAsia" w:hAnsi="Times New Roman" w:cs="Times New Roman"/>
      <w:sz w:val="24"/>
      <w:szCs w:val="24"/>
      <w:lang w:val="es-PE"/>
    </w:rPr>
  </w:style>
  <w:style w:type="character" w:customStyle="1" w:styleId="Ttulo3Car2">
    <w:name w:val="Título 3 Car2"/>
    <w:aliases w:val="Hdg 3 Car2,Heading 3a Car2"/>
    <w:uiPriority w:val="9"/>
    <w:rsid w:val="004E5076"/>
    <w:rPr>
      <w:rFonts w:ascii="Arial" w:hAnsi="Arial"/>
      <w:sz w:val="26"/>
    </w:rPr>
  </w:style>
  <w:style w:type="character" w:customStyle="1" w:styleId="Ttulo4Car2">
    <w:name w:val="Título 4 Car2"/>
    <w:aliases w:val="Título 4amb Car2"/>
    <w:uiPriority w:val="9"/>
    <w:rsid w:val="004E5076"/>
    <w:rPr>
      <w:rFonts w:ascii="Times New Roman" w:hAnsi="Times New Roman"/>
      <w:b/>
      <w:sz w:val="28"/>
      <w:lang w:val="x-none"/>
    </w:rPr>
  </w:style>
  <w:style w:type="character" w:customStyle="1" w:styleId="TextoindependienteCar4">
    <w:name w:val="Texto independiente Car4"/>
    <w:aliases w:val="BODY TEXT Car2,Block text Car2,Corpo testo Car3,Ctrl+1 Car4,Testo.t2 Car3,body text Car2,bt Car4,descriptionbullets Car2"/>
    <w:rsid w:val="004E5076"/>
    <w:rPr>
      <w:rFonts w:ascii="Calibri" w:hAnsi="Calibri"/>
    </w:rPr>
  </w:style>
  <w:style w:type="character" w:customStyle="1" w:styleId="PiedepginaCar11">
    <w:name w:val="Pie de página Car11"/>
    <w:aliases w:val="Pie de página ALG Car11"/>
    <w:uiPriority w:val="99"/>
    <w:rsid w:val="004E5076"/>
    <w:rPr>
      <w:rFonts w:ascii="Arial" w:eastAsia="Batang" w:hAnsi="Arial"/>
      <w:sz w:val="22"/>
      <w:lang w:val="es-ES"/>
    </w:rPr>
  </w:style>
  <w:style w:type="character" w:customStyle="1" w:styleId="DescripcinCar1">
    <w:name w:val="Descripción Car1"/>
    <w:aliases w:val="Legend Car1,Map1 Car1"/>
    <w:uiPriority w:val="99"/>
    <w:rsid w:val="004E5076"/>
    <w:rPr>
      <w:rFonts w:ascii="Times New Roman" w:hAnsi="Times New Roman"/>
      <w:b/>
      <w:caps/>
      <w:sz w:val="18"/>
      <w:lang w:val="x-none"/>
    </w:rPr>
  </w:style>
  <w:style w:type="character" w:customStyle="1" w:styleId="TextoindependienteCar11">
    <w:name w:val="Texto independiente Car11"/>
    <w:aliases w:val="Ctrl+1 Car11,bt Car11"/>
    <w:rsid w:val="004E5076"/>
    <w:rPr>
      <w:rFonts w:ascii="Arial" w:eastAsia="Batang" w:hAnsi="Arial"/>
      <w:sz w:val="22"/>
      <w:lang w:val="es-ES"/>
    </w:rPr>
  </w:style>
  <w:style w:type="character" w:customStyle="1" w:styleId="TextoindependienteCar21">
    <w:name w:val="Texto independiente Car21"/>
    <w:aliases w:val="Texto de bloque1 Car1,Corpo testo Car11,Ctrl+1 Car21,Testo.t2 Car11,bt Car21,descriptionbullets Car11"/>
    <w:uiPriority w:val="99"/>
    <w:rsid w:val="004E5076"/>
    <w:rPr>
      <w:rFonts w:ascii="Calibri" w:hAnsi="Calibri"/>
    </w:rPr>
  </w:style>
  <w:style w:type="character" w:customStyle="1" w:styleId="FootnoteTextChar2">
    <w:name w:val="Footnote Text Char2"/>
    <w:aliases w:val="Car Char1,Car1 Car Car Char1"/>
    <w:rsid w:val="004E5076"/>
    <w:rPr>
      <w:rFonts w:ascii="Times New Roman" w:hAnsi="Times New Roman"/>
      <w:sz w:val="20"/>
      <w:lang w:val="x-none"/>
    </w:rPr>
  </w:style>
  <w:style w:type="character" w:customStyle="1" w:styleId="ListParagraphChar11">
    <w:name w:val="List Paragraph Char11"/>
    <w:rsid w:val="004E5076"/>
    <w:rPr>
      <w:rFonts w:ascii="Calibri" w:hAnsi="Calibri"/>
    </w:rPr>
  </w:style>
  <w:style w:type="paragraph" w:customStyle="1" w:styleId="Epgrafetablas1">
    <w:name w:val="Epígrafe tablas1"/>
    <w:aliases w:val="Car Car Car1,25 cm + ....1,25 cm + Left:  21,5 cm1,5 cm...1,BildBeschriftung1,Caption Char1,Caption21,CaptionCFMU1,Car Car Car + Left1,FigureCaption1,First line:  11,Left:  21,Titulo tabla2,ft_figure_title1,label1"/>
    <w:basedOn w:val="Normal0"/>
    <w:next w:val="Normal0"/>
    <w:rsid w:val="004E5076"/>
    <w:pPr>
      <w:spacing w:after="40" w:line="360" w:lineRule="auto"/>
      <w:ind w:left="1021"/>
      <w:jc w:val="center"/>
    </w:pPr>
    <w:rPr>
      <w:rFonts w:ascii="Arial" w:hAnsi="Arial"/>
      <w:i/>
      <w:color w:val="4F81BD"/>
      <w:sz w:val="18"/>
      <w:szCs w:val="20"/>
      <w:lang w:val="es-ES_tradnl"/>
    </w:rPr>
  </w:style>
  <w:style w:type="character" w:customStyle="1" w:styleId="EpgrafeCar1">
    <w:name w:val="Epígrafe Car1"/>
    <w:aliases w:val="Car Car Car Car1,5 cm Car1,5 cm... Car1,BildBeschriftung Car1,Caption2 Car1,Car Car Car + Left Car1,Epígrafe tablas Car1,FigureCaption Car1,First line:  1 Car1,Left:  2 Car1,Legend Car2,Titulo tabla Car1,ft_figure_title Car1,label Car1"/>
    <w:rsid w:val="004E5076"/>
    <w:rPr>
      <w:rFonts w:ascii="Arial" w:hAnsi="Arial"/>
      <w:i/>
      <w:color w:val="4F81BD"/>
      <w:sz w:val="20"/>
      <w:lang w:val="es-ES_tradnl"/>
    </w:rPr>
  </w:style>
  <w:style w:type="character" w:customStyle="1" w:styleId="TtuloCar11">
    <w:name w:val="Título Car11"/>
    <w:aliases w:val="Título3 Car1"/>
    <w:uiPriority w:val="10"/>
    <w:rsid w:val="004E5076"/>
    <w:rPr>
      <w:rFonts w:ascii="Arial" w:hAnsi="Arial"/>
      <w:b/>
      <w:lang w:val="es-ES_tradnl"/>
    </w:rPr>
  </w:style>
  <w:style w:type="character" w:customStyle="1" w:styleId="Mencionsinresolver10">
    <w:name w:val="Mencion sin resolver1_0"/>
    <w:uiPriority w:val="99"/>
    <w:rsid w:val="004E5076"/>
    <w:rPr>
      <w:color w:val="808080"/>
      <w:shd w:val="clear" w:color="auto" w:fill="E6E6E6"/>
    </w:rPr>
  </w:style>
  <w:style w:type="character" w:customStyle="1" w:styleId="Mencionsinresolver2">
    <w:name w:val="Mencion sin resolver2"/>
    <w:uiPriority w:val="99"/>
    <w:rsid w:val="004E5076"/>
    <w:rPr>
      <w:color w:val="808080"/>
      <w:shd w:val="clear" w:color="auto" w:fill="E6E6E6"/>
    </w:rPr>
  </w:style>
  <w:style w:type="character" w:customStyle="1" w:styleId="Mencionsinresolver3">
    <w:name w:val="Mencion sin resolver3"/>
    <w:uiPriority w:val="99"/>
    <w:rsid w:val="004E5076"/>
    <w:rPr>
      <w:color w:val="808080"/>
      <w:shd w:val="clear" w:color="auto" w:fill="E6E6E6"/>
    </w:rPr>
  </w:style>
  <w:style w:type="character" w:customStyle="1" w:styleId="Mencionsinresolver4">
    <w:name w:val="Mencion sin resolver4"/>
    <w:uiPriority w:val="99"/>
    <w:rsid w:val="004E5076"/>
    <w:rPr>
      <w:color w:val="808080"/>
      <w:shd w:val="clear" w:color="auto" w:fill="E6E6E6"/>
    </w:rPr>
  </w:style>
  <w:style w:type="character" w:customStyle="1" w:styleId="Mencionsinresolver5">
    <w:name w:val="Mencion sin resolver5"/>
    <w:uiPriority w:val="99"/>
    <w:rsid w:val="004E5076"/>
    <w:rPr>
      <w:color w:val="808080"/>
      <w:shd w:val="clear" w:color="auto" w:fill="E6E6E6"/>
    </w:rPr>
  </w:style>
  <w:style w:type="character" w:customStyle="1" w:styleId="Mencionsinresolver6">
    <w:name w:val="Mencion sin resolver6"/>
    <w:uiPriority w:val="99"/>
    <w:rsid w:val="004E5076"/>
    <w:rPr>
      <w:color w:val="808080"/>
      <w:shd w:val="clear" w:color="auto" w:fill="E6E6E6"/>
    </w:rPr>
  </w:style>
  <w:style w:type="paragraph" w:customStyle="1" w:styleId="DeltaViewTableHeading">
    <w:name w:val="DeltaView Table Heading"/>
    <w:basedOn w:val="Normal"/>
    <w:uiPriority w:val="99"/>
    <w:rsid w:val="004E5076"/>
    <w:pPr>
      <w:widowControl/>
      <w:autoSpaceDE w:val="0"/>
      <w:autoSpaceDN w:val="0"/>
      <w:adjustRightInd w:val="0"/>
      <w:spacing w:after="120"/>
    </w:pPr>
    <w:rPr>
      <w:rFonts w:eastAsiaTheme="minorEastAsia" w:cs="Times New Roman"/>
      <w:b/>
      <w:sz w:val="24"/>
      <w:szCs w:val="24"/>
      <w:lang w:val="en-US"/>
    </w:rPr>
  </w:style>
  <w:style w:type="paragraph" w:customStyle="1" w:styleId="DeltaViewTableBody">
    <w:name w:val="DeltaView Table Body"/>
    <w:basedOn w:val="Normal"/>
    <w:uiPriority w:val="99"/>
    <w:rsid w:val="004E5076"/>
    <w:pPr>
      <w:widowControl/>
      <w:autoSpaceDE w:val="0"/>
      <w:autoSpaceDN w:val="0"/>
      <w:adjustRightInd w:val="0"/>
    </w:pPr>
    <w:rPr>
      <w:rFonts w:eastAsiaTheme="minorEastAsia" w:cs="Times New Roman"/>
      <w:sz w:val="24"/>
      <w:szCs w:val="24"/>
      <w:lang w:val="en-US"/>
    </w:rPr>
  </w:style>
  <w:style w:type="paragraph" w:customStyle="1" w:styleId="DeltaViewAnnounce">
    <w:name w:val="DeltaView Announce"/>
    <w:uiPriority w:val="99"/>
    <w:rsid w:val="004E5076"/>
    <w:pPr>
      <w:autoSpaceDE w:val="0"/>
      <w:autoSpaceDN w:val="0"/>
      <w:adjustRightInd w:val="0"/>
      <w:spacing w:before="100" w:beforeAutospacing="1" w:after="100" w:afterAutospacing="1"/>
    </w:pPr>
    <w:rPr>
      <w:rFonts w:eastAsia="Calibri" w:cs="Times New Roman"/>
      <w:sz w:val="24"/>
      <w:szCs w:val="24"/>
      <w:lang w:val="en-GB"/>
    </w:rPr>
  </w:style>
  <w:style w:type="character" w:customStyle="1" w:styleId="DeltaViewMoveSource">
    <w:name w:val="DeltaView Move Source"/>
    <w:uiPriority w:val="99"/>
    <w:rsid w:val="004E5076"/>
    <w:rPr>
      <w:strike/>
      <w:color w:val="00C000"/>
    </w:rPr>
  </w:style>
  <w:style w:type="character" w:customStyle="1" w:styleId="DeltaViewMoveDestination">
    <w:name w:val="DeltaView Move Destination"/>
    <w:uiPriority w:val="99"/>
    <w:rsid w:val="004E5076"/>
    <w:rPr>
      <w:color w:val="00C000"/>
      <w:u w:val="double"/>
    </w:rPr>
  </w:style>
  <w:style w:type="character" w:customStyle="1" w:styleId="DeltaViewChangeNumber">
    <w:name w:val="DeltaView Change Number"/>
    <w:uiPriority w:val="99"/>
    <w:rsid w:val="004E5076"/>
    <w:rPr>
      <w:color w:val="000000"/>
      <w:vertAlign w:val="superscript"/>
    </w:rPr>
  </w:style>
  <w:style w:type="character" w:customStyle="1" w:styleId="DeltaViewDelimiter">
    <w:name w:val="DeltaView Delimiter"/>
    <w:uiPriority w:val="99"/>
    <w:rsid w:val="004E5076"/>
  </w:style>
  <w:style w:type="character" w:customStyle="1" w:styleId="DeltaViewFormatChange">
    <w:name w:val="DeltaView Format Change"/>
    <w:uiPriority w:val="99"/>
    <w:rsid w:val="004E5076"/>
    <w:rPr>
      <w:color w:val="000000"/>
    </w:rPr>
  </w:style>
  <w:style w:type="character" w:customStyle="1" w:styleId="DeltaViewMovedDeletion">
    <w:name w:val="DeltaView Moved Deletion"/>
    <w:uiPriority w:val="99"/>
    <w:rsid w:val="004E5076"/>
    <w:rPr>
      <w:strike/>
      <w:color w:val="C08080"/>
    </w:rPr>
  </w:style>
  <w:style w:type="character" w:customStyle="1" w:styleId="DeltaViewComment">
    <w:name w:val="DeltaView Comment"/>
    <w:basedOn w:val="Fuentedeprrafopredeter"/>
    <w:uiPriority w:val="99"/>
    <w:rsid w:val="004E5076"/>
    <w:rPr>
      <w:color w:val="000000"/>
    </w:rPr>
  </w:style>
  <w:style w:type="character" w:customStyle="1" w:styleId="DeltaViewStyleChangeText">
    <w:name w:val="DeltaView Style Change Text"/>
    <w:uiPriority w:val="99"/>
    <w:rsid w:val="004E5076"/>
    <w:rPr>
      <w:color w:val="000000"/>
      <w:u w:val="double"/>
    </w:rPr>
  </w:style>
  <w:style w:type="character" w:customStyle="1" w:styleId="DeltaViewStyleChangeLabel">
    <w:name w:val="DeltaView Style Change Label"/>
    <w:uiPriority w:val="99"/>
    <w:rsid w:val="004E5076"/>
    <w:rPr>
      <w:color w:val="000000"/>
    </w:rPr>
  </w:style>
  <w:style w:type="character" w:customStyle="1" w:styleId="DeltaViewInsertedComment">
    <w:name w:val="DeltaView Inserted Comment"/>
    <w:basedOn w:val="DeltaViewComment"/>
    <w:uiPriority w:val="99"/>
    <w:rsid w:val="004E5076"/>
    <w:rPr>
      <w:color w:val="0000FF"/>
      <w:u w:val="double"/>
    </w:rPr>
  </w:style>
  <w:style w:type="character" w:customStyle="1" w:styleId="DeltaViewDeletedComment">
    <w:name w:val="DeltaView Deleted Comment"/>
    <w:basedOn w:val="DeltaViewComment"/>
    <w:uiPriority w:val="99"/>
    <w:rsid w:val="004E5076"/>
    <w:rPr>
      <w:strike/>
      <w:color w:val="FF0000"/>
    </w:rPr>
  </w:style>
  <w:style w:type="table" w:customStyle="1" w:styleId="TableGrid1">
    <w:name w:val="Table Grid1"/>
    <w:basedOn w:val="Tablanormal"/>
    <w:next w:val="Tablaconcuadrcula"/>
    <w:uiPriority w:val="59"/>
    <w:rsid w:val="004E5076"/>
    <w:rPr>
      <w:rFonts w:ascii="Calibri" w:hAnsi="Calibri" w:cs="Calibri"/>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ltaviewinsertion">
    <w:name w:val="gmail-deltaviewinsertion"/>
    <w:basedOn w:val="Fuentedeprrafopredeter"/>
    <w:rsid w:val="004E5076"/>
  </w:style>
  <w:style w:type="character" w:customStyle="1" w:styleId="gmail-deltaviewmovedestination">
    <w:name w:val="gmail-deltaviewmovedestination"/>
    <w:basedOn w:val="Fuentedeprrafopredeter"/>
    <w:rsid w:val="004E5076"/>
  </w:style>
  <w:style w:type="table" w:customStyle="1" w:styleId="26">
    <w:name w:val="26"/>
    <w:basedOn w:val="TableNormal5"/>
    <w:rsid w:val="004E5076"/>
    <w:tblPr>
      <w:tblStyleRowBandSize w:val="1"/>
      <w:tblStyleColBandSize w:val="1"/>
      <w:tblCellMar>
        <w:left w:w="115" w:type="dxa"/>
        <w:right w:w="115" w:type="dxa"/>
      </w:tblCellMar>
    </w:tblPr>
  </w:style>
  <w:style w:type="table" w:customStyle="1" w:styleId="25">
    <w:name w:val="25"/>
    <w:basedOn w:val="TableNormal5"/>
    <w:rsid w:val="004E5076"/>
    <w:pPr>
      <w:spacing w:after="0" w:line="240" w:lineRule="auto"/>
    </w:pPr>
    <w:rPr>
      <w:color w:val="2F5496"/>
    </w:rPr>
    <w:tblPr>
      <w:tblStyleRowBandSize w:val="1"/>
      <w:tblStyleColBandSize w:val="1"/>
      <w:tblCellMar>
        <w:left w:w="108" w:type="dxa"/>
        <w:right w:w="108" w:type="dxa"/>
      </w:tblCellMar>
    </w:tblPr>
    <w:tcPr>
      <w:shd w:val="clear" w:color="auto" w:fill="D6E6F4"/>
    </w:tcPr>
  </w:style>
  <w:style w:type="table" w:customStyle="1" w:styleId="24">
    <w:name w:val="24"/>
    <w:basedOn w:val="TableNormal5"/>
    <w:rsid w:val="004E5076"/>
    <w:pPr>
      <w:spacing w:after="0" w:line="240" w:lineRule="auto"/>
    </w:pPr>
    <w:rPr>
      <w:color w:val="2F5496"/>
    </w:rPr>
    <w:tblPr>
      <w:tblStyleRowBandSize w:val="1"/>
      <w:tblStyleColBandSize w:val="1"/>
      <w:tblCellMar>
        <w:left w:w="108" w:type="dxa"/>
        <w:right w:w="108" w:type="dxa"/>
      </w:tblCellMar>
    </w:tblPr>
    <w:tcPr>
      <w:shd w:val="clear" w:color="auto" w:fill="D6E6F4"/>
    </w:tcPr>
  </w:style>
  <w:style w:type="table" w:customStyle="1" w:styleId="23">
    <w:name w:val="23"/>
    <w:basedOn w:val="TableNormal5"/>
    <w:rsid w:val="004E5076"/>
    <w:tblPr>
      <w:tblStyleRowBandSize w:val="1"/>
      <w:tblStyleColBandSize w:val="1"/>
      <w:tblCellMar>
        <w:left w:w="115" w:type="dxa"/>
        <w:right w:w="115" w:type="dxa"/>
      </w:tblCellMar>
    </w:tblPr>
  </w:style>
  <w:style w:type="table" w:customStyle="1" w:styleId="22">
    <w:name w:val="22"/>
    <w:basedOn w:val="TableNormal5"/>
    <w:rsid w:val="004E5076"/>
    <w:tblPr>
      <w:tblStyleRowBandSize w:val="1"/>
      <w:tblStyleColBandSize w:val="1"/>
      <w:tblCellMar>
        <w:left w:w="115" w:type="dxa"/>
        <w:right w:w="115" w:type="dxa"/>
      </w:tblCellMar>
    </w:tblPr>
  </w:style>
  <w:style w:type="table" w:customStyle="1" w:styleId="21">
    <w:name w:val="2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20">
    <w:name w:val="20"/>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9">
    <w:name w:val="19"/>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8">
    <w:name w:val="18"/>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7">
    <w:name w:val="17"/>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6">
    <w:name w:val="16"/>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5">
    <w:name w:val="15"/>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4">
    <w:name w:val="14"/>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3">
    <w:name w:val="13"/>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2">
    <w:name w:val="12"/>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1">
    <w:name w:val="1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0">
    <w:name w:val="10"/>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9">
    <w:name w:val="9"/>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8">
    <w:name w:val="8"/>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6">
    <w:name w:val="6"/>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5">
    <w:name w:val="5"/>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4">
    <w:name w:val="4"/>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3">
    <w:name w:val="3"/>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2">
    <w:name w:val="2"/>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table" w:customStyle="1" w:styleId="1">
    <w:name w:val="1"/>
    <w:basedOn w:val="TableNormal5"/>
    <w:rsid w:val="004E5076"/>
    <w:pPr>
      <w:spacing w:after="0" w:line="240" w:lineRule="auto"/>
    </w:pPr>
    <w:rPr>
      <w:color w:val="2F5496"/>
    </w:rPr>
    <w:tblPr>
      <w:tblStyleRowBandSize w:val="1"/>
      <w:tblStyleColBandSize w:val="1"/>
      <w:tblCellMar>
        <w:left w:w="115" w:type="dxa"/>
        <w:right w:w="115" w:type="dxa"/>
      </w:tblCellMar>
    </w:tblPr>
    <w:tcPr>
      <w:shd w:val="clear" w:color="auto" w:fill="D6E6F4"/>
    </w:tcPr>
  </w:style>
  <w:style w:type="character" w:customStyle="1" w:styleId="Mencinsinresolver19">
    <w:name w:val="Mención sin resolver19"/>
    <w:basedOn w:val="Fuentedeprrafopredeter"/>
    <w:uiPriority w:val="99"/>
    <w:semiHidden/>
    <w:unhideWhenUsed/>
    <w:rsid w:val="004E5076"/>
    <w:rPr>
      <w:color w:val="605E5C"/>
      <w:shd w:val="clear" w:color="auto" w:fill="E1DFDD"/>
    </w:rPr>
  </w:style>
  <w:style w:type="character" w:customStyle="1" w:styleId="Mencinsinresolver20">
    <w:name w:val="Mención sin resolver20"/>
    <w:basedOn w:val="Fuentedeprrafopredeter"/>
    <w:uiPriority w:val="99"/>
    <w:semiHidden/>
    <w:unhideWhenUsed/>
    <w:rsid w:val="004E5076"/>
    <w:rPr>
      <w:color w:val="605E5C"/>
      <w:shd w:val="clear" w:color="auto" w:fill="E1DFDD"/>
    </w:rPr>
  </w:style>
  <w:style w:type="character" w:customStyle="1" w:styleId="Mencinsinresolver22">
    <w:name w:val="Mención sin resolver22"/>
    <w:basedOn w:val="Fuentedeprrafopredeter"/>
    <w:uiPriority w:val="99"/>
    <w:semiHidden/>
    <w:unhideWhenUsed/>
    <w:rsid w:val="004E5076"/>
    <w:rPr>
      <w:color w:val="605E5C"/>
      <w:shd w:val="clear" w:color="auto" w:fill="E1DFDD"/>
    </w:rPr>
  </w:style>
  <w:style w:type="table" w:customStyle="1" w:styleId="Tabladelista3-nfasis51">
    <w:name w:val="Tabla de lista 3 - Énfasis 5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
    <w:name w:val="Tabla con cuadrícula1"/>
    <w:basedOn w:val="Tablanormal"/>
    <w:next w:val="Tablaconcuadrcula"/>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7">
    <w:name w:val="List 7"/>
    <w:basedOn w:val="Sinlista"/>
    <w:rsid w:val="004E5076"/>
  </w:style>
  <w:style w:type="numbering" w:customStyle="1" w:styleId="List8">
    <w:name w:val="List 8"/>
    <w:basedOn w:val="Sinlista"/>
    <w:rsid w:val="004E5076"/>
  </w:style>
  <w:style w:type="table" w:customStyle="1" w:styleId="Tabladecuadrcula4-nfasis51">
    <w:name w:val="Tabla de cuadrícula 4 - Énfasis 51"/>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
    <w:name w:val="Tabla de lista 3 - Énfasis 52"/>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
    <w:name w:val="Tabla con cuadrícula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
    <w:name w:val="Tabla de lista 3 - Énfasis 5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
    <w:name w:val="Tabla con cuadrícula2"/>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
    <w:name w:val="Tabla de lista 3 - Énfasis 51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
    <w:name w:val="Tabla con cuadrícula3"/>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1">
    <w:name w:val="Tabla de cuadrícula 4 - Énfasis 511"/>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
    <w:name w:val="Tabla de lista 3 - Énfasis 521"/>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
    <w:name w:val="Tabla con cuadrícula5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ar">
    <w:name w:val="Normal (Web) Car"/>
    <w:aliases w:val="Car Car Car Car Car Car Car,Car Car Car Car Car Car Car Car Car Car,Normal (Web) Car Car Car1,Normal (Web) Car Car Car Car,Normal (Web) Char Car,Normal (Web) Char Car Car Car,Normal (Web) Char Char Char Car, Car Car Car Car Car Car Car"/>
    <w:link w:val="NormalWeb"/>
    <w:uiPriority w:val="99"/>
    <w:locked/>
    <w:rsid w:val="004E5076"/>
    <w:rPr>
      <w:rFonts w:ascii="Times New Roman" w:eastAsia="Times New Roman" w:hAnsi="Times New Roman" w:cs="Times New Roman"/>
      <w:kern w:val="0"/>
      <w:sz w:val="24"/>
      <w:szCs w:val="24"/>
      <w:lang w:eastAsia="es-PE"/>
    </w:rPr>
  </w:style>
  <w:style w:type="numbering" w:customStyle="1" w:styleId="ESSALUD">
    <w:name w:val="ESSALUD"/>
    <w:uiPriority w:val="99"/>
    <w:rsid w:val="004E5076"/>
  </w:style>
  <w:style w:type="character" w:customStyle="1" w:styleId="TtuloCar3">
    <w:name w:val="Título Car3"/>
    <w:basedOn w:val="Fuentedeprrafopredeter"/>
    <w:uiPriority w:val="10"/>
    <w:rsid w:val="004E5076"/>
    <w:rPr>
      <w:rFonts w:asciiTheme="majorHAnsi" w:eastAsiaTheme="majorEastAsia" w:hAnsiTheme="majorHAnsi" w:cstheme="majorBidi"/>
      <w:color w:val="323E4F" w:themeColor="text2" w:themeShade="BF"/>
      <w:spacing w:val="5"/>
      <w:kern w:val="28"/>
      <w:sz w:val="52"/>
      <w:szCs w:val="52"/>
      <w:lang w:val="es-ES"/>
    </w:rPr>
  </w:style>
  <w:style w:type="paragraph" w:customStyle="1" w:styleId="Ttulo4CTE">
    <w:name w:val="Título4CTE"/>
    <w:basedOn w:val="Normal"/>
    <w:next w:val="Normal"/>
    <w:autoRedefine/>
    <w:rsid w:val="004E5076"/>
    <w:pPr>
      <w:widowControl/>
      <w:autoSpaceDE w:val="0"/>
      <w:autoSpaceDN w:val="0"/>
      <w:adjustRightInd w:val="0"/>
    </w:pPr>
    <w:rPr>
      <w:rFonts w:eastAsia="Times New Roman" w:cs="Times New Roman"/>
      <w:b/>
      <w:sz w:val="16"/>
      <w:szCs w:val="16"/>
      <w:lang w:val="es-ES_tradnl" w:eastAsia="es-ES"/>
    </w:rPr>
  </w:style>
  <w:style w:type="paragraph" w:customStyle="1" w:styleId="Prrafo">
    <w:name w:val="Párrafo"/>
    <w:basedOn w:val="Normal"/>
    <w:link w:val="PrrafoCar"/>
    <w:rsid w:val="004E5076"/>
    <w:pPr>
      <w:widowControl/>
      <w:spacing w:after="480" w:line="288" w:lineRule="auto"/>
      <w:jc w:val="both"/>
    </w:pPr>
    <w:rPr>
      <w:rFonts w:ascii="Tahoma" w:eastAsia="Times New Roman" w:hAnsi="Tahoma" w:cs="Times New Roman"/>
      <w:szCs w:val="20"/>
      <w:lang w:val="es-ES_tradnl" w:eastAsia="x-none"/>
    </w:rPr>
  </w:style>
  <w:style w:type="character" w:customStyle="1" w:styleId="PrrafoCar">
    <w:name w:val="Párrafo Car"/>
    <w:link w:val="Prrafo"/>
    <w:rsid w:val="004E5076"/>
    <w:rPr>
      <w:rFonts w:ascii="Tahoma" w:eastAsia="Times New Roman" w:hAnsi="Tahoma" w:cs="Times New Roman"/>
      <w:kern w:val="0"/>
      <w:szCs w:val="20"/>
      <w:lang w:val="es-ES_tradnl" w:eastAsia="x-none"/>
    </w:rPr>
  </w:style>
  <w:style w:type="paragraph" w:customStyle="1" w:styleId="Vieta11">
    <w:name w:val="Viñeta1ª"/>
    <w:basedOn w:val="Normal"/>
    <w:link w:val="Vieta1Car0"/>
    <w:rsid w:val="004E5076"/>
    <w:pPr>
      <w:widowControl/>
      <w:tabs>
        <w:tab w:val="num" w:pos="720"/>
      </w:tabs>
      <w:spacing w:after="240" w:line="288" w:lineRule="auto"/>
      <w:ind w:left="720" w:hanging="720"/>
      <w:jc w:val="both"/>
    </w:pPr>
    <w:rPr>
      <w:rFonts w:ascii="Tahoma" w:eastAsia="Times New Roman" w:hAnsi="Tahoma" w:cs="Times New Roman"/>
      <w:szCs w:val="20"/>
      <w:lang w:val="es-ES_tradnl" w:eastAsia="x-none"/>
    </w:rPr>
  </w:style>
  <w:style w:type="character" w:customStyle="1" w:styleId="Vieta1Car0">
    <w:name w:val="Viñeta1ª Car"/>
    <w:link w:val="Vieta11"/>
    <w:rsid w:val="004E5076"/>
    <w:rPr>
      <w:rFonts w:ascii="Tahoma" w:eastAsia="Times New Roman" w:hAnsi="Tahoma" w:cs="Times New Roman"/>
      <w:kern w:val="0"/>
      <w:szCs w:val="20"/>
      <w:lang w:val="es-ES_tradnl" w:eastAsia="x-none"/>
    </w:rPr>
  </w:style>
  <w:style w:type="paragraph" w:customStyle="1" w:styleId="Vieta2">
    <w:name w:val="Viñeta2ª"/>
    <w:basedOn w:val="Normal"/>
    <w:rsid w:val="004E5076"/>
    <w:pPr>
      <w:widowControl/>
      <w:tabs>
        <w:tab w:val="num" w:pos="720"/>
      </w:tabs>
      <w:spacing w:after="240" w:line="288" w:lineRule="auto"/>
      <w:ind w:left="720" w:hanging="720"/>
      <w:jc w:val="both"/>
    </w:pPr>
    <w:rPr>
      <w:rFonts w:ascii="Tahoma" w:eastAsia="Times New Roman" w:hAnsi="Tahoma" w:cs="Times New Roman"/>
      <w:szCs w:val="20"/>
      <w:lang w:val="es-ES_tradnl" w:eastAsia="es-ES"/>
    </w:rPr>
  </w:style>
  <w:style w:type="paragraph" w:customStyle="1" w:styleId="TextoNormal10ptoa8d8pxInt1">
    <w:name w:val="Texto Normal 10 pto a.8 d.8px Int.1"/>
    <w:basedOn w:val="Normal"/>
    <w:qFormat/>
    <w:rsid w:val="004E5076"/>
    <w:pPr>
      <w:widowControl/>
      <w:spacing w:before="120" w:after="120" w:line="312" w:lineRule="auto"/>
    </w:pPr>
    <w:rPr>
      <w:rFonts w:eastAsia="Times New Roman" w:cs="Times New Roman"/>
      <w:sz w:val="20"/>
      <w:szCs w:val="20"/>
      <w:lang w:eastAsia="es-ES"/>
    </w:rPr>
  </w:style>
  <w:style w:type="table" w:customStyle="1" w:styleId="Tablaconcuadrcula6">
    <w:name w:val="Tabla con cuadrícula6"/>
    <w:basedOn w:val="Tablanormal"/>
    <w:next w:val="Tablaconcuadrcula"/>
    <w:uiPriority w:val="59"/>
    <w:rsid w:val="004E5076"/>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etas">
    <w:name w:val="Viñetas"/>
    <w:basedOn w:val="Normal"/>
    <w:rsid w:val="004E5076"/>
    <w:pPr>
      <w:keepLines/>
      <w:widowControl/>
      <w:tabs>
        <w:tab w:val="num" w:pos="720"/>
      </w:tabs>
      <w:spacing w:after="80" w:line="288" w:lineRule="auto"/>
      <w:ind w:left="720" w:hanging="720"/>
      <w:jc w:val="both"/>
    </w:pPr>
    <w:rPr>
      <w:rFonts w:ascii="Tahoma" w:eastAsia="Times New Roman" w:hAnsi="Tahoma" w:cs="Times New Roman"/>
      <w:sz w:val="20"/>
      <w:szCs w:val="20"/>
      <w:lang w:val="es-ES_tradnl" w:eastAsia="es-ES"/>
    </w:rPr>
  </w:style>
  <w:style w:type="paragraph" w:customStyle="1" w:styleId="Normal11a8d8pxInt13">
    <w:name w:val="Normal 11 a.8 d.8px Int.1.3"/>
    <w:basedOn w:val="Normal"/>
    <w:rsid w:val="004E5076"/>
    <w:pPr>
      <w:widowControl/>
      <w:spacing w:before="120" w:after="120" w:line="312" w:lineRule="auto"/>
    </w:pPr>
    <w:rPr>
      <w:rFonts w:eastAsia="Times New Roman" w:cs="Times New Roman"/>
      <w:szCs w:val="20"/>
      <w:lang w:eastAsia="es-ES"/>
    </w:rPr>
  </w:style>
  <w:style w:type="paragraph" w:customStyle="1" w:styleId="EstiloTtulo111pto">
    <w:name w:val="Estilo Título 1 + 11 pto"/>
    <w:basedOn w:val="Ttulo1"/>
    <w:next w:val="Normal11a8d8pxInt13"/>
    <w:rsid w:val="004E5076"/>
    <w:pPr>
      <w:keepLines w:val="0"/>
      <w:tabs>
        <w:tab w:val="left" w:pos="851"/>
      </w:tabs>
      <w:spacing w:before="120" w:after="120"/>
      <w:ind w:left="432" w:hanging="432"/>
      <w:jc w:val="both"/>
    </w:pPr>
    <w:rPr>
      <w:rFonts w:ascii="Arial" w:eastAsia="Times New Roman" w:hAnsi="Arial" w:cs="Arial"/>
      <w:b/>
      <w:bCs/>
      <w:caps/>
      <w:color w:val="333399"/>
      <w:sz w:val="22"/>
      <w:szCs w:val="20"/>
      <w:lang w:eastAsia="es-ES"/>
    </w:rPr>
  </w:style>
  <w:style w:type="paragraph" w:customStyle="1" w:styleId="EstiloTtulo211pto">
    <w:name w:val="Estilo Título 2 + 11 pto"/>
    <w:basedOn w:val="Ttulo2"/>
    <w:next w:val="Normal11a8d8pxInt13"/>
    <w:autoRedefine/>
    <w:qFormat/>
    <w:rsid w:val="004E5076"/>
    <w:pPr>
      <w:keepLines w:val="0"/>
      <w:tabs>
        <w:tab w:val="left" w:pos="851"/>
        <w:tab w:val="num" w:pos="1410"/>
      </w:tabs>
      <w:spacing w:before="120" w:after="120"/>
      <w:ind w:left="851" w:hanging="851"/>
      <w:jc w:val="both"/>
    </w:pPr>
    <w:rPr>
      <w:rFonts w:ascii="Arial" w:eastAsia="Times New Roman" w:hAnsi="Arial" w:cs="Times New Roman"/>
      <w:b/>
      <w:bCs/>
      <w:color w:val="333399"/>
      <w:sz w:val="22"/>
      <w:szCs w:val="24"/>
      <w:lang w:eastAsia="fr-FR"/>
    </w:rPr>
  </w:style>
  <w:style w:type="paragraph" w:customStyle="1" w:styleId="EpgrafeArial10ptoNegrita">
    <w:name w:val="Epígrafe + Arial 10 pto Negrita"/>
    <w:basedOn w:val="Normal"/>
    <w:next w:val="Normal"/>
    <w:qFormat/>
    <w:rsid w:val="004E5076"/>
    <w:pPr>
      <w:widowControl/>
      <w:spacing w:before="120" w:after="120" w:line="288" w:lineRule="auto"/>
      <w:jc w:val="center"/>
    </w:pPr>
    <w:rPr>
      <w:rFonts w:eastAsia="Times New Roman" w:cs="Times New Roman"/>
      <w:b/>
      <w:bCs/>
      <w:i/>
      <w:iCs/>
      <w:sz w:val="20"/>
      <w:szCs w:val="20"/>
      <w:lang w:val="es-ES_tradnl" w:eastAsia="es-ES"/>
    </w:rPr>
  </w:style>
  <w:style w:type="paragraph" w:customStyle="1" w:styleId="Sobre-Titulo18ptoNegritaAilDerecha">
    <w:name w:val="Sobre-Titulo 18 pto Negrita Añil Derecha"/>
    <w:basedOn w:val="Normal"/>
    <w:rsid w:val="004E5076"/>
    <w:pPr>
      <w:widowControl/>
      <w:jc w:val="right"/>
    </w:pPr>
    <w:rPr>
      <w:rFonts w:ascii="Times New Roman" w:eastAsia="Times New Roman" w:hAnsi="Times New Roman" w:cs="Times New Roman"/>
      <w:b/>
      <w:bCs/>
      <w:color w:val="333399"/>
      <w:sz w:val="36"/>
      <w:szCs w:val="20"/>
      <w:lang w:eastAsia="es-ES"/>
    </w:rPr>
  </w:style>
  <w:style w:type="character" w:customStyle="1" w:styleId="primera1">
    <w:name w:val="primera1"/>
    <w:rsid w:val="004E5076"/>
    <w:rPr>
      <w:b/>
      <w:bCs/>
      <w:color w:val="0000FF"/>
      <w:sz w:val="30"/>
      <w:szCs w:val="30"/>
    </w:rPr>
  </w:style>
  <w:style w:type="paragraph" w:customStyle="1" w:styleId="Anexo3">
    <w:name w:val="Anexo 3"/>
    <w:basedOn w:val="Normal"/>
    <w:rsid w:val="004E5076"/>
    <w:pPr>
      <w:widowControl/>
      <w:spacing w:before="120" w:after="120" w:line="288" w:lineRule="auto"/>
      <w:jc w:val="center"/>
    </w:pPr>
    <w:rPr>
      <w:rFonts w:ascii="Tahoma" w:eastAsia="Times New Roman" w:hAnsi="Tahoma" w:cs="Times New Roman"/>
      <w:b/>
      <w:bCs/>
      <w:caps/>
      <w:szCs w:val="20"/>
      <w:lang w:val="es-ES_tradnl" w:eastAsia="es-ES"/>
    </w:rPr>
  </w:style>
  <w:style w:type="paragraph" w:customStyle="1" w:styleId="Anexo2">
    <w:name w:val="Anexo 2"/>
    <w:basedOn w:val="Normal"/>
    <w:rsid w:val="004E5076"/>
    <w:pPr>
      <w:widowControl/>
      <w:tabs>
        <w:tab w:val="left" w:pos="567"/>
        <w:tab w:val="num" w:pos="623"/>
      </w:tabs>
      <w:spacing w:before="120" w:after="120" w:line="288" w:lineRule="auto"/>
      <w:ind w:left="623" w:hanging="907"/>
      <w:jc w:val="both"/>
    </w:pPr>
    <w:rPr>
      <w:rFonts w:ascii="Tahoma" w:eastAsia="Times New Roman" w:hAnsi="Tahoma" w:cs="Times New Roman"/>
      <w:b/>
      <w:sz w:val="28"/>
      <w:szCs w:val="20"/>
      <w:lang w:val="es-ES_tradnl" w:eastAsia="es-ES"/>
    </w:rPr>
  </w:style>
  <w:style w:type="paragraph" w:customStyle="1" w:styleId="Anexo4">
    <w:name w:val="Anexo 4"/>
    <w:basedOn w:val="Normal"/>
    <w:rsid w:val="004E5076"/>
    <w:pPr>
      <w:widowControl/>
      <w:tabs>
        <w:tab w:val="num" w:pos="1474"/>
      </w:tabs>
      <w:spacing w:before="120" w:after="120" w:line="288" w:lineRule="auto"/>
      <w:ind w:left="1474" w:hanging="1645"/>
      <w:jc w:val="both"/>
    </w:pPr>
    <w:rPr>
      <w:rFonts w:ascii="Tahoma" w:eastAsia="Times New Roman" w:hAnsi="Tahoma" w:cs="Times New Roman"/>
      <w:sz w:val="20"/>
      <w:szCs w:val="20"/>
      <w:lang w:val="es-ES_tradnl" w:eastAsia="es-ES"/>
    </w:rPr>
  </w:style>
  <w:style w:type="paragraph" w:customStyle="1" w:styleId="Textodocumento">
    <w:name w:val="Texto documento"/>
    <w:basedOn w:val="Normal"/>
    <w:rsid w:val="004E5076"/>
    <w:pPr>
      <w:widowControl/>
      <w:jc w:val="both"/>
    </w:pPr>
    <w:rPr>
      <w:rFonts w:eastAsia="Times New Roman" w:cs="Times New Roman"/>
      <w:szCs w:val="24"/>
      <w:lang w:eastAsia="es-ES"/>
    </w:rPr>
  </w:style>
  <w:style w:type="paragraph" w:styleId="Textodebloque">
    <w:name w:val="Block Text"/>
    <w:basedOn w:val="Normal"/>
    <w:rsid w:val="004E5076"/>
    <w:pPr>
      <w:widowControl/>
      <w:spacing w:line="312" w:lineRule="auto"/>
      <w:ind w:left="709" w:right="-1" w:firstLine="707"/>
      <w:jc w:val="both"/>
    </w:pPr>
    <w:rPr>
      <w:rFonts w:ascii="Times New Roman" w:eastAsia="Times New Roman" w:hAnsi="Times New Roman" w:cs="Times New Roman"/>
      <w:color w:val="FF0000"/>
      <w:sz w:val="24"/>
      <w:szCs w:val="20"/>
      <w:lang w:val="es-ES_tradnl" w:eastAsia="es-ES"/>
    </w:rPr>
  </w:style>
  <w:style w:type="paragraph" w:customStyle="1" w:styleId="1AutoList192">
    <w:name w:val="1AutoList192"/>
    <w:rsid w:val="004E5076"/>
    <w:pPr>
      <w:autoSpaceDE w:val="0"/>
      <w:autoSpaceDN w:val="0"/>
      <w:adjustRightInd w:val="0"/>
    </w:pPr>
    <w:rPr>
      <w:rFonts w:eastAsia="Times New Roman"/>
      <w:sz w:val="24"/>
      <w:szCs w:val="24"/>
      <w:lang w:val="es-ES_tradnl" w:eastAsia="es-ES_tradnl"/>
    </w:rPr>
  </w:style>
  <w:style w:type="paragraph" w:customStyle="1" w:styleId="2AutoList192">
    <w:name w:val="2AutoList19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2">
    <w:name w:val="3AutoList19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2">
    <w:name w:val="4AutoList19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2">
    <w:name w:val="5AutoList19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2">
    <w:name w:val="6AutoList19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2">
    <w:name w:val="7AutoList19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2">
    <w:name w:val="8AutoList19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1">
    <w:name w:val="1AutoList191"/>
    <w:rsid w:val="004E5076"/>
    <w:pPr>
      <w:autoSpaceDE w:val="0"/>
      <w:autoSpaceDN w:val="0"/>
      <w:adjustRightInd w:val="0"/>
    </w:pPr>
    <w:rPr>
      <w:rFonts w:eastAsia="Times New Roman"/>
      <w:sz w:val="24"/>
      <w:szCs w:val="24"/>
      <w:lang w:val="es-ES_tradnl" w:eastAsia="es-ES_tradnl"/>
    </w:rPr>
  </w:style>
  <w:style w:type="paragraph" w:customStyle="1" w:styleId="2AutoList191">
    <w:name w:val="2AutoList19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1">
    <w:name w:val="3AutoList19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1">
    <w:name w:val="4AutoList19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1">
    <w:name w:val="5AutoList19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1">
    <w:name w:val="6AutoList19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1">
    <w:name w:val="7AutoList19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1">
    <w:name w:val="8AutoList19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0">
    <w:name w:val="1AutoList190"/>
    <w:rsid w:val="004E5076"/>
    <w:pPr>
      <w:autoSpaceDE w:val="0"/>
      <w:autoSpaceDN w:val="0"/>
      <w:adjustRightInd w:val="0"/>
    </w:pPr>
    <w:rPr>
      <w:rFonts w:eastAsia="Times New Roman"/>
      <w:sz w:val="24"/>
      <w:szCs w:val="24"/>
      <w:lang w:val="es-ES_tradnl" w:eastAsia="es-ES_tradnl"/>
    </w:rPr>
  </w:style>
  <w:style w:type="paragraph" w:customStyle="1" w:styleId="2AutoList190">
    <w:name w:val="2AutoList19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0">
    <w:name w:val="3AutoList19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0">
    <w:name w:val="4AutoList19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0">
    <w:name w:val="5AutoList19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0">
    <w:name w:val="6AutoList19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0">
    <w:name w:val="7AutoList19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0">
    <w:name w:val="8AutoList19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9">
    <w:name w:val="1AutoList189"/>
    <w:rsid w:val="004E5076"/>
    <w:pPr>
      <w:autoSpaceDE w:val="0"/>
      <w:autoSpaceDN w:val="0"/>
      <w:adjustRightInd w:val="0"/>
    </w:pPr>
    <w:rPr>
      <w:rFonts w:eastAsia="Times New Roman"/>
      <w:sz w:val="24"/>
      <w:szCs w:val="24"/>
      <w:lang w:val="es-ES_tradnl" w:eastAsia="es-ES_tradnl"/>
    </w:rPr>
  </w:style>
  <w:style w:type="paragraph" w:customStyle="1" w:styleId="2AutoList189">
    <w:name w:val="2AutoList18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9">
    <w:name w:val="3AutoList18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9">
    <w:name w:val="4AutoList18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9">
    <w:name w:val="5AutoList18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9">
    <w:name w:val="6AutoList18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9">
    <w:name w:val="7AutoList18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9">
    <w:name w:val="8AutoList18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8">
    <w:name w:val="1AutoList188"/>
    <w:rsid w:val="004E5076"/>
    <w:pPr>
      <w:autoSpaceDE w:val="0"/>
      <w:autoSpaceDN w:val="0"/>
      <w:adjustRightInd w:val="0"/>
    </w:pPr>
    <w:rPr>
      <w:rFonts w:eastAsia="Times New Roman"/>
      <w:sz w:val="24"/>
      <w:szCs w:val="24"/>
      <w:lang w:val="es-ES_tradnl" w:eastAsia="es-ES_tradnl"/>
    </w:rPr>
  </w:style>
  <w:style w:type="paragraph" w:customStyle="1" w:styleId="2AutoList188">
    <w:name w:val="2AutoList18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8">
    <w:name w:val="3AutoList18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8">
    <w:name w:val="4AutoList18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8">
    <w:name w:val="5AutoList18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8">
    <w:name w:val="6AutoList18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8">
    <w:name w:val="7AutoList18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8">
    <w:name w:val="8AutoList18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7">
    <w:name w:val="1AutoList187"/>
    <w:rsid w:val="004E5076"/>
    <w:pPr>
      <w:autoSpaceDE w:val="0"/>
      <w:autoSpaceDN w:val="0"/>
      <w:adjustRightInd w:val="0"/>
    </w:pPr>
    <w:rPr>
      <w:rFonts w:eastAsia="Times New Roman"/>
      <w:sz w:val="24"/>
      <w:szCs w:val="24"/>
      <w:lang w:val="es-ES_tradnl" w:eastAsia="es-ES_tradnl"/>
    </w:rPr>
  </w:style>
  <w:style w:type="paragraph" w:customStyle="1" w:styleId="2AutoList187">
    <w:name w:val="2AutoList18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7">
    <w:name w:val="3AutoList18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7">
    <w:name w:val="4AutoList18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7">
    <w:name w:val="5AutoList18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7">
    <w:name w:val="6AutoList18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7">
    <w:name w:val="7AutoList18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7">
    <w:name w:val="8AutoList18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6">
    <w:name w:val="1AutoList186"/>
    <w:rsid w:val="004E5076"/>
    <w:pPr>
      <w:autoSpaceDE w:val="0"/>
      <w:autoSpaceDN w:val="0"/>
      <w:adjustRightInd w:val="0"/>
    </w:pPr>
    <w:rPr>
      <w:rFonts w:eastAsia="Times New Roman"/>
      <w:sz w:val="24"/>
      <w:szCs w:val="24"/>
      <w:lang w:val="es-ES_tradnl" w:eastAsia="es-ES_tradnl"/>
    </w:rPr>
  </w:style>
  <w:style w:type="paragraph" w:customStyle="1" w:styleId="2AutoList186">
    <w:name w:val="2AutoList18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6">
    <w:name w:val="3AutoList18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6">
    <w:name w:val="4AutoList18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6">
    <w:name w:val="5AutoList18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6">
    <w:name w:val="6AutoList18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6">
    <w:name w:val="7AutoList18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6">
    <w:name w:val="8AutoList18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5">
    <w:name w:val="1AutoList185"/>
    <w:rsid w:val="004E5076"/>
    <w:pPr>
      <w:autoSpaceDE w:val="0"/>
      <w:autoSpaceDN w:val="0"/>
      <w:adjustRightInd w:val="0"/>
    </w:pPr>
    <w:rPr>
      <w:rFonts w:eastAsia="Times New Roman"/>
      <w:sz w:val="24"/>
      <w:szCs w:val="24"/>
      <w:lang w:val="es-ES_tradnl" w:eastAsia="es-ES_tradnl"/>
    </w:rPr>
  </w:style>
  <w:style w:type="paragraph" w:customStyle="1" w:styleId="2AutoList185">
    <w:name w:val="2AutoList18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5">
    <w:name w:val="3AutoList18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5">
    <w:name w:val="4AutoList18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5">
    <w:name w:val="5AutoList18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5">
    <w:name w:val="6AutoList18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5">
    <w:name w:val="7AutoList18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5">
    <w:name w:val="8AutoList18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4">
    <w:name w:val="1AutoList184"/>
    <w:rsid w:val="004E5076"/>
    <w:pPr>
      <w:autoSpaceDE w:val="0"/>
      <w:autoSpaceDN w:val="0"/>
      <w:adjustRightInd w:val="0"/>
    </w:pPr>
    <w:rPr>
      <w:rFonts w:eastAsia="Times New Roman"/>
      <w:sz w:val="24"/>
      <w:szCs w:val="24"/>
      <w:lang w:val="es-ES_tradnl" w:eastAsia="es-ES_tradnl"/>
    </w:rPr>
  </w:style>
  <w:style w:type="paragraph" w:customStyle="1" w:styleId="2AutoList184">
    <w:name w:val="2AutoList18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4">
    <w:name w:val="3AutoList18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4">
    <w:name w:val="4AutoList18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4">
    <w:name w:val="5AutoList18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4">
    <w:name w:val="6AutoList18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4">
    <w:name w:val="7AutoList18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4">
    <w:name w:val="8AutoList18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3">
    <w:name w:val="1AutoList183"/>
    <w:rsid w:val="004E5076"/>
    <w:pPr>
      <w:autoSpaceDE w:val="0"/>
      <w:autoSpaceDN w:val="0"/>
      <w:adjustRightInd w:val="0"/>
    </w:pPr>
    <w:rPr>
      <w:rFonts w:eastAsia="Times New Roman"/>
      <w:sz w:val="24"/>
      <w:szCs w:val="24"/>
      <w:lang w:val="es-ES_tradnl" w:eastAsia="es-ES_tradnl"/>
    </w:rPr>
  </w:style>
  <w:style w:type="paragraph" w:customStyle="1" w:styleId="2AutoList183">
    <w:name w:val="2AutoList18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3">
    <w:name w:val="3AutoList18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3">
    <w:name w:val="4AutoList18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3">
    <w:name w:val="5AutoList18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3">
    <w:name w:val="6AutoList18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3">
    <w:name w:val="7AutoList18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3">
    <w:name w:val="8AutoList18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2">
    <w:name w:val="1AutoList182"/>
    <w:rsid w:val="004E5076"/>
    <w:pPr>
      <w:autoSpaceDE w:val="0"/>
      <w:autoSpaceDN w:val="0"/>
      <w:adjustRightInd w:val="0"/>
    </w:pPr>
    <w:rPr>
      <w:rFonts w:eastAsia="Times New Roman"/>
      <w:sz w:val="24"/>
      <w:szCs w:val="24"/>
      <w:lang w:val="es-ES_tradnl" w:eastAsia="es-ES_tradnl"/>
    </w:rPr>
  </w:style>
  <w:style w:type="paragraph" w:customStyle="1" w:styleId="2AutoList182">
    <w:name w:val="2AutoList18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2">
    <w:name w:val="3AutoList18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2">
    <w:name w:val="4AutoList18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2">
    <w:name w:val="5AutoList18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2">
    <w:name w:val="6AutoList18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2">
    <w:name w:val="7AutoList18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2">
    <w:name w:val="8AutoList18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1">
    <w:name w:val="1AutoList181"/>
    <w:rsid w:val="004E5076"/>
    <w:pPr>
      <w:autoSpaceDE w:val="0"/>
      <w:autoSpaceDN w:val="0"/>
      <w:adjustRightInd w:val="0"/>
    </w:pPr>
    <w:rPr>
      <w:rFonts w:eastAsia="Times New Roman"/>
      <w:sz w:val="24"/>
      <w:szCs w:val="24"/>
      <w:lang w:val="es-ES_tradnl" w:eastAsia="es-ES_tradnl"/>
    </w:rPr>
  </w:style>
  <w:style w:type="paragraph" w:customStyle="1" w:styleId="2AutoList181">
    <w:name w:val="2AutoList18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1">
    <w:name w:val="3AutoList18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1">
    <w:name w:val="4AutoList18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1">
    <w:name w:val="5AutoList18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1">
    <w:name w:val="6AutoList18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1">
    <w:name w:val="7AutoList18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1">
    <w:name w:val="8AutoList18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0">
    <w:name w:val="1AutoList180"/>
    <w:rsid w:val="004E5076"/>
    <w:pPr>
      <w:autoSpaceDE w:val="0"/>
      <w:autoSpaceDN w:val="0"/>
      <w:adjustRightInd w:val="0"/>
    </w:pPr>
    <w:rPr>
      <w:rFonts w:eastAsia="Times New Roman"/>
      <w:sz w:val="24"/>
      <w:szCs w:val="24"/>
      <w:lang w:val="es-ES_tradnl" w:eastAsia="es-ES_tradnl"/>
    </w:rPr>
  </w:style>
  <w:style w:type="paragraph" w:customStyle="1" w:styleId="2AutoList180">
    <w:name w:val="2AutoList18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0">
    <w:name w:val="3AutoList18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0">
    <w:name w:val="4AutoList18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0">
    <w:name w:val="5AutoList18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0">
    <w:name w:val="6AutoList18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0">
    <w:name w:val="7AutoList18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0">
    <w:name w:val="8AutoList18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9">
    <w:name w:val="1AutoList179"/>
    <w:rsid w:val="004E5076"/>
    <w:pPr>
      <w:autoSpaceDE w:val="0"/>
      <w:autoSpaceDN w:val="0"/>
      <w:adjustRightInd w:val="0"/>
    </w:pPr>
    <w:rPr>
      <w:rFonts w:eastAsia="Times New Roman"/>
      <w:sz w:val="24"/>
      <w:szCs w:val="24"/>
      <w:lang w:val="es-ES_tradnl" w:eastAsia="es-ES_tradnl"/>
    </w:rPr>
  </w:style>
  <w:style w:type="paragraph" w:customStyle="1" w:styleId="2AutoList179">
    <w:name w:val="2AutoList17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9">
    <w:name w:val="3AutoList17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9">
    <w:name w:val="4AutoList17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9">
    <w:name w:val="5AutoList17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9">
    <w:name w:val="6AutoList17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9">
    <w:name w:val="7AutoList17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9">
    <w:name w:val="8AutoList17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8">
    <w:name w:val="1AutoList178"/>
    <w:rsid w:val="004E5076"/>
    <w:pPr>
      <w:autoSpaceDE w:val="0"/>
      <w:autoSpaceDN w:val="0"/>
      <w:adjustRightInd w:val="0"/>
    </w:pPr>
    <w:rPr>
      <w:rFonts w:eastAsia="Times New Roman"/>
      <w:sz w:val="24"/>
      <w:szCs w:val="24"/>
      <w:lang w:val="es-ES_tradnl" w:eastAsia="es-ES_tradnl"/>
    </w:rPr>
  </w:style>
  <w:style w:type="paragraph" w:customStyle="1" w:styleId="2AutoList178">
    <w:name w:val="2AutoList17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8">
    <w:name w:val="3AutoList17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8">
    <w:name w:val="4AutoList17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8">
    <w:name w:val="5AutoList17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8">
    <w:name w:val="6AutoList17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8">
    <w:name w:val="7AutoList17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8">
    <w:name w:val="8AutoList17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7">
    <w:name w:val="1AutoList177"/>
    <w:rsid w:val="004E5076"/>
    <w:pPr>
      <w:autoSpaceDE w:val="0"/>
      <w:autoSpaceDN w:val="0"/>
      <w:adjustRightInd w:val="0"/>
    </w:pPr>
    <w:rPr>
      <w:rFonts w:eastAsia="Times New Roman"/>
      <w:sz w:val="24"/>
      <w:szCs w:val="24"/>
      <w:lang w:val="es-ES_tradnl" w:eastAsia="es-ES_tradnl"/>
    </w:rPr>
  </w:style>
  <w:style w:type="paragraph" w:customStyle="1" w:styleId="2AutoList177">
    <w:name w:val="2AutoList17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7">
    <w:name w:val="3AutoList17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7">
    <w:name w:val="4AutoList17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7">
    <w:name w:val="5AutoList17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7">
    <w:name w:val="6AutoList17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7">
    <w:name w:val="7AutoList17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7">
    <w:name w:val="8AutoList17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6">
    <w:name w:val="1AutoList176"/>
    <w:rsid w:val="004E5076"/>
    <w:pPr>
      <w:autoSpaceDE w:val="0"/>
      <w:autoSpaceDN w:val="0"/>
      <w:adjustRightInd w:val="0"/>
    </w:pPr>
    <w:rPr>
      <w:rFonts w:eastAsia="Times New Roman"/>
      <w:sz w:val="24"/>
      <w:szCs w:val="24"/>
      <w:lang w:val="es-ES_tradnl" w:eastAsia="es-ES_tradnl"/>
    </w:rPr>
  </w:style>
  <w:style w:type="paragraph" w:customStyle="1" w:styleId="2AutoList176">
    <w:name w:val="2AutoList17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6">
    <w:name w:val="3AutoList17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6">
    <w:name w:val="4AutoList17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6">
    <w:name w:val="5AutoList17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6">
    <w:name w:val="6AutoList17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6">
    <w:name w:val="7AutoList17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6">
    <w:name w:val="8AutoList17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5">
    <w:name w:val="1AutoList175"/>
    <w:rsid w:val="004E5076"/>
    <w:pPr>
      <w:autoSpaceDE w:val="0"/>
      <w:autoSpaceDN w:val="0"/>
      <w:adjustRightInd w:val="0"/>
    </w:pPr>
    <w:rPr>
      <w:rFonts w:eastAsia="Times New Roman"/>
      <w:sz w:val="24"/>
      <w:szCs w:val="24"/>
      <w:lang w:val="es-ES_tradnl" w:eastAsia="es-ES_tradnl"/>
    </w:rPr>
  </w:style>
  <w:style w:type="paragraph" w:customStyle="1" w:styleId="2AutoList175">
    <w:name w:val="2AutoList17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5">
    <w:name w:val="3AutoList17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5">
    <w:name w:val="4AutoList17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5">
    <w:name w:val="5AutoList17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5">
    <w:name w:val="6AutoList17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5">
    <w:name w:val="7AutoList17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5">
    <w:name w:val="8AutoList17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4">
    <w:name w:val="1AutoList174"/>
    <w:rsid w:val="004E5076"/>
    <w:pPr>
      <w:autoSpaceDE w:val="0"/>
      <w:autoSpaceDN w:val="0"/>
      <w:adjustRightInd w:val="0"/>
    </w:pPr>
    <w:rPr>
      <w:rFonts w:eastAsia="Times New Roman"/>
      <w:sz w:val="24"/>
      <w:szCs w:val="24"/>
      <w:lang w:val="es-ES_tradnl" w:eastAsia="es-ES_tradnl"/>
    </w:rPr>
  </w:style>
  <w:style w:type="paragraph" w:customStyle="1" w:styleId="2AutoList174">
    <w:name w:val="2AutoList17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4">
    <w:name w:val="3AutoList17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4">
    <w:name w:val="4AutoList17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4">
    <w:name w:val="5AutoList17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4">
    <w:name w:val="6AutoList17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4">
    <w:name w:val="7AutoList17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4">
    <w:name w:val="8AutoList17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3">
    <w:name w:val="1AutoList173"/>
    <w:rsid w:val="004E5076"/>
    <w:pPr>
      <w:autoSpaceDE w:val="0"/>
      <w:autoSpaceDN w:val="0"/>
      <w:adjustRightInd w:val="0"/>
    </w:pPr>
    <w:rPr>
      <w:rFonts w:eastAsia="Times New Roman"/>
      <w:sz w:val="24"/>
      <w:szCs w:val="24"/>
      <w:lang w:val="es-ES_tradnl" w:eastAsia="es-ES_tradnl"/>
    </w:rPr>
  </w:style>
  <w:style w:type="paragraph" w:customStyle="1" w:styleId="2AutoList173">
    <w:name w:val="2AutoList17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3">
    <w:name w:val="3AutoList17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3">
    <w:name w:val="4AutoList17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3">
    <w:name w:val="5AutoList17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3">
    <w:name w:val="6AutoList17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3">
    <w:name w:val="7AutoList17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3">
    <w:name w:val="8AutoList17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2">
    <w:name w:val="1AutoList172"/>
    <w:rsid w:val="004E5076"/>
    <w:pPr>
      <w:autoSpaceDE w:val="0"/>
      <w:autoSpaceDN w:val="0"/>
      <w:adjustRightInd w:val="0"/>
    </w:pPr>
    <w:rPr>
      <w:rFonts w:eastAsia="Times New Roman"/>
      <w:sz w:val="24"/>
      <w:szCs w:val="24"/>
      <w:lang w:val="es-ES_tradnl" w:eastAsia="es-ES_tradnl"/>
    </w:rPr>
  </w:style>
  <w:style w:type="paragraph" w:customStyle="1" w:styleId="2AutoList172">
    <w:name w:val="2AutoList17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2">
    <w:name w:val="3AutoList17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2">
    <w:name w:val="4AutoList17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2">
    <w:name w:val="5AutoList17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2">
    <w:name w:val="6AutoList17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2">
    <w:name w:val="7AutoList17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2">
    <w:name w:val="8AutoList17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1">
    <w:name w:val="1AutoList171"/>
    <w:rsid w:val="004E5076"/>
    <w:pPr>
      <w:autoSpaceDE w:val="0"/>
      <w:autoSpaceDN w:val="0"/>
      <w:adjustRightInd w:val="0"/>
    </w:pPr>
    <w:rPr>
      <w:rFonts w:eastAsia="Times New Roman"/>
      <w:sz w:val="24"/>
      <w:szCs w:val="24"/>
      <w:lang w:val="es-ES_tradnl" w:eastAsia="es-ES_tradnl"/>
    </w:rPr>
  </w:style>
  <w:style w:type="paragraph" w:customStyle="1" w:styleId="2AutoList171">
    <w:name w:val="2AutoList17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1">
    <w:name w:val="3AutoList17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1">
    <w:name w:val="4AutoList17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1">
    <w:name w:val="5AutoList17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1">
    <w:name w:val="6AutoList17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1">
    <w:name w:val="7AutoList17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1">
    <w:name w:val="8AutoList17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0">
    <w:name w:val="1AutoList170"/>
    <w:rsid w:val="004E5076"/>
    <w:pPr>
      <w:autoSpaceDE w:val="0"/>
      <w:autoSpaceDN w:val="0"/>
      <w:adjustRightInd w:val="0"/>
    </w:pPr>
    <w:rPr>
      <w:rFonts w:eastAsia="Times New Roman"/>
      <w:sz w:val="24"/>
      <w:szCs w:val="24"/>
      <w:lang w:val="es-ES_tradnl" w:eastAsia="es-ES_tradnl"/>
    </w:rPr>
  </w:style>
  <w:style w:type="paragraph" w:customStyle="1" w:styleId="2AutoList170">
    <w:name w:val="2AutoList17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0">
    <w:name w:val="3AutoList17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0">
    <w:name w:val="4AutoList17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0">
    <w:name w:val="5AutoList17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0">
    <w:name w:val="6AutoList17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0">
    <w:name w:val="7AutoList17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0">
    <w:name w:val="8AutoList17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4">
    <w:name w:val="1AutoList164"/>
    <w:rsid w:val="004E5076"/>
    <w:pPr>
      <w:autoSpaceDE w:val="0"/>
      <w:autoSpaceDN w:val="0"/>
      <w:adjustRightInd w:val="0"/>
    </w:pPr>
    <w:rPr>
      <w:rFonts w:eastAsia="Times New Roman"/>
      <w:sz w:val="24"/>
      <w:szCs w:val="24"/>
      <w:lang w:val="es-ES_tradnl" w:eastAsia="es-ES_tradnl"/>
    </w:rPr>
  </w:style>
  <w:style w:type="paragraph" w:customStyle="1" w:styleId="2AutoList164">
    <w:name w:val="2AutoList16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4">
    <w:name w:val="3AutoList16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4">
    <w:name w:val="4AutoList16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4">
    <w:name w:val="5AutoList16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4">
    <w:name w:val="6AutoList16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4">
    <w:name w:val="7AutoList16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4">
    <w:name w:val="8AutoList16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3">
    <w:name w:val="1AutoList163"/>
    <w:rsid w:val="004E5076"/>
    <w:pPr>
      <w:autoSpaceDE w:val="0"/>
      <w:autoSpaceDN w:val="0"/>
      <w:adjustRightInd w:val="0"/>
    </w:pPr>
    <w:rPr>
      <w:rFonts w:eastAsia="Times New Roman"/>
      <w:sz w:val="24"/>
      <w:szCs w:val="24"/>
      <w:lang w:val="es-ES_tradnl" w:eastAsia="es-ES_tradnl"/>
    </w:rPr>
  </w:style>
  <w:style w:type="paragraph" w:customStyle="1" w:styleId="2AutoList163">
    <w:name w:val="2AutoList16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3">
    <w:name w:val="3AutoList16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3">
    <w:name w:val="4AutoList16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3">
    <w:name w:val="5AutoList16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3">
    <w:name w:val="6AutoList16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3">
    <w:name w:val="7AutoList16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3">
    <w:name w:val="8AutoList16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2">
    <w:name w:val="1AutoList162"/>
    <w:rsid w:val="004E5076"/>
    <w:pPr>
      <w:autoSpaceDE w:val="0"/>
      <w:autoSpaceDN w:val="0"/>
      <w:adjustRightInd w:val="0"/>
    </w:pPr>
    <w:rPr>
      <w:rFonts w:eastAsia="Times New Roman"/>
      <w:sz w:val="24"/>
      <w:szCs w:val="24"/>
      <w:lang w:val="es-ES_tradnl" w:eastAsia="es-ES_tradnl"/>
    </w:rPr>
  </w:style>
  <w:style w:type="paragraph" w:customStyle="1" w:styleId="2AutoList162">
    <w:name w:val="2AutoList16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2">
    <w:name w:val="3AutoList16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2">
    <w:name w:val="4AutoList16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2">
    <w:name w:val="5AutoList16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2">
    <w:name w:val="6AutoList16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2">
    <w:name w:val="7AutoList16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2">
    <w:name w:val="8AutoList16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9">
    <w:name w:val="1AutoList159"/>
    <w:rsid w:val="004E5076"/>
    <w:pPr>
      <w:autoSpaceDE w:val="0"/>
      <w:autoSpaceDN w:val="0"/>
      <w:adjustRightInd w:val="0"/>
    </w:pPr>
    <w:rPr>
      <w:rFonts w:eastAsia="Times New Roman"/>
      <w:sz w:val="24"/>
      <w:szCs w:val="24"/>
      <w:lang w:val="es-ES_tradnl" w:eastAsia="es-ES_tradnl"/>
    </w:rPr>
  </w:style>
  <w:style w:type="paragraph" w:customStyle="1" w:styleId="2AutoList159">
    <w:name w:val="2AutoList15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9">
    <w:name w:val="3AutoList15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9">
    <w:name w:val="4AutoList15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9">
    <w:name w:val="5AutoList15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9">
    <w:name w:val="6AutoList15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9">
    <w:name w:val="7AutoList15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9">
    <w:name w:val="8AutoList15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8">
    <w:name w:val="1AutoList158"/>
    <w:rsid w:val="004E5076"/>
    <w:pPr>
      <w:autoSpaceDE w:val="0"/>
      <w:autoSpaceDN w:val="0"/>
      <w:adjustRightInd w:val="0"/>
    </w:pPr>
    <w:rPr>
      <w:rFonts w:eastAsia="Times New Roman"/>
      <w:sz w:val="24"/>
      <w:szCs w:val="24"/>
      <w:lang w:val="es-ES_tradnl" w:eastAsia="es-ES_tradnl"/>
    </w:rPr>
  </w:style>
  <w:style w:type="paragraph" w:customStyle="1" w:styleId="2AutoList158">
    <w:name w:val="2AutoList15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8">
    <w:name w:val="3AutoList15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8">
    <w:name w:val="4AutoList15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8">
    <w:name w:val="5AutoList15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8">
    <w:name w:val="6AutoList15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8">
    <w:name w:val="7AutoList15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8">
    <w:name w:val="8AutoList15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7">
    <w:name w:val="1AutoList157"/>
    <w:rsid w:val="004E5076"/>
    <w:pPr>
      <w:autoSpaceDE w:val="0"/>
      <w:autoSpaceDN w:val="0"/>
      <w:adjustRightInd w:val="0"/>
    </w:pPr>
    <w:rPr>
      <w:rFonts w:eastAsia="Times New Roman"/>
      <w:sz w:val="24"/>
      <w:szCs w:val="24"/>
      <w:lang w:val="es-ES_tradnl" w:eastAsia="es-ES_tradnl"/>
    </w:rPr>
  </w:style>
  <w:style w:type="paragraph" w:customStyle="1" w:styleId="2AutoList157">
    <w:name w:val="2AutoList15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7">
    <w:name w:val="3AutoList15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7">
    <w:name w:val="4AutoList15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7">
    <w:name w:val="5AutoList15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7">
    <w:name w:val="6AutoList15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7">
    <w:name w:val="7AutoList15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7">
    <w:name w:val="8AutoList15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6">
    <w:name w:val="1AutoList156"/>
    <w:rsid w:val="004E5076"/>
    <w:pPr>
      <w:autoSpaceDE w:val="0"/>
      <w:autoSpaceDN w:val="0"/>
      <w:adjustRightInd w:val="0"/>
    </w:pPr>
    <w:rPr>
      <w:rFonts w:eastAsia="Times New Roman"/>
      <w:sz w:val="24"/>
      <w:szCs w:val="24"/>
      <w:lang w:val="es-ES_tradnl" w:eastAsia="es-ES_tradnl"/>
    </w:rPr>
  </w:style>
  <w:style w:type="paragraph" w:customStyle="1" w:styleId="2AutoList156">
    <w:name w:val="2AutoList15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6">
    <w:name w:val="3AutoList15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6">
    <w:name w:val="4AutoList15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6">
    <w:name w:val="5AutoList15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6">
    <w:name w:val="6AutoList15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6">
    <w:name w:val="7AutoList15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6">
    <w:name w:val="8AutoList15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3">
    <w:name w:val="1AutoList153"/>
    <w:rsid w:val="004E5076"/>
    <w:pPr>
      <w:autoSpaceDE w:val="0"/>
      <w:autoSpaceDN w:val="0"/>
      <w:adjustRightInd w:val="0"/>
    </w:pPr>
    <w:rPr>
      <w:rFonts w:eastAsia="Times New Roman"/>
      <w:sz w:val="24"/>
      <w:szCs w:val="24"/>
      <w:lang w:val="es-ES_tradnl" w:eastAsia="es-ES_tradnl"/>
    </w:rPr>
  </w:style>
  <w:style w:type="paragraph" w:customStyle="1" w:styleId="2AutoList153">
    <w:name w:val="2AutoList15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3">
    <w:name w:val="3AutoList15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3">
    <w:name w:val="4AutoList15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3">
    <w:name w:val="5AutoList15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3">
    <w:name w:val="6AutoList15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3">
    <w:name w:val="7AutoList15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3">
    <w:name w:val="8AutoList15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2">
    <w:name w:val="1AutoList152"/>
    <w:rsid w:val="004E5076"/>
    <w:pPr>
      <w:autoSpaceDE w:val="0"/>
      <w:autoSpaceDN w:val="0"/>
      <w:adjustRightInd w:val="0"/>
    </w:pPr>
    <w:rPr>
      <w:rFonts w:eastAsia="Times New Roman"/>
      <w:sz w:val="24"/>
      <w:szCs w:val="24"/>
      <w:lang w:val="es-ES_tradnl" w:eastAsia="es-ES_tradnl"/>
    </w:rPr>
  </w:style>
  <w:style w:type="paragraph" w:customStyle="1" w:styleId="2AutoList152">
    <w:name w:val="2AutoList15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2">
    <w:name w:val="3AutoList15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2">
    <w:name w:val="4AutoList15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2">
    <w:name w:val="5AutoList15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2">
    <w:name w:val="6AutoList15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2">
    <w:name w:val="7AutoList15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2">
    <w:name w:val="8AutoList15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1">
    <w:name w:val="1AutoList151"/>
    <w:rsid w:val="004E5076"/>
    <w:pPr>
      <w:autoSpaceDE w:val="0"/>
      <w:autoSpaceDN w:val="0"/>
      <w:adjustRightInd w:val="0"/>
    </w:pPr>
    <w:rPr>
      <w:rFonts w:eastAsia="Times New Roman"/>
      <w:sz w:val="24"/>
      <w:szCs w:val="24"/>
      <w:lang w:val="es-ES_tradnl" w:eastAsia="es-ES_tradnl"/>
    </w:rPr>
  </w:style>
  <w:style w:type="paragraph" w:customStyle="1" w:styleId="2AutoList151">
    <w:name w:val="2AutoList15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1">
    <w:name w:val="3AutoList15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1">
    <w:name w:val="4AutoList15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1">
    <w:name w:val="5AutoList15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1">
    <w:name w:val="6AutoList15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1">
    <w:name w:val="7AutoList15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1">
    <w:name w:val="8AutoList15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5">
    <w:name w:val="1AutoList165"/>
    <w:rsid w:val="004E5076"/>
    <w:pPr>
      <w:autoSpaceDE w:val="0"/>
      <w:autoSpaceDN w:val="0"/>
      <w:adjustRightInd w:val="0"/>
    </w:pPr>
    <w:rPr>
      <w:rFonts w:eastAsia="Times New Roman"/>
      <w:sz w:val="24"/>
      <w:szCs w:val="24"/>
      <w:lang w:val="es-ES_tradnl" w:eastAsia="es-ES_tradnl"/>
    </w:rPr>
  </w:style>
  <w:style w:type="paragraph" w:customStyle="1" w:styleId="2AutoList165">
    <w:name w:val="2AutoList16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5">
    <w:name w:val="3AutoList16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5">
    <w:name w:val="4AutoList16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5">
    <w:name w:val="5AutoList16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5">
    <w:name w:val="6AutoList16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5">
    <w:name w:val="7AutoList16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5">
    <w:name w:val="8AutoList16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9">
    <w:name w:val="1AutoList169"/>
    <w:rsid w:val="004E5076"/>
    <w:pPr>
      <w:autoSpaceDE w:val="0"/>
      <w:autoSpaceDN w:val="0"/>
      <w:adjustRightInd w:val="0"/>
    </w:pPr>
    <w:rPr>
      <w:rFonts w:eastAsia="Times New Roman"/>
      <w:sz w:val="24"/>
      <w:szCs w:val="24"/>
      <w:lang w:val="es-ES_tradnl" w:eastAsia="es-ES_tradnl"/>
    </w:rPr>
  </w:style>
  <w:style w:type="paragraph" w:customStyle="1" w:styleId="2AutoList169">
    <w:name w:val="2AutoList16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9">
    <w:name w:val="3AutoList16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9">
    <w:name w:val="4AutoList16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9">
    <w:name w:val="5AutoList16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9">
    <w:name w:val="6AutoList16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9">
    <w:name w:val="7AutoList16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9">
    <w:name w:val="8AutoList16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8">
    <w:name w:val="1AutoList168"/>
    <w:rsid w:val="004E5076"/>
    <w:pPr>
      <w:autoSpaceDE w:val="0"/>
      <w:autoSpaceDN w:val="0"/>
      <w:adjustRightInd w:val="0"/>
    </w:pPr>
    <w:rPr>
      <w:rFonts w:eastAsia="Times New Roman"/>
      <w:sz w:val="24"/>
      <w:szCs w:val="24"/>
      <w:lang w:val="es-ES_tradnl" w:eastAsia="es-ES_tradnl"/>
    </w:rPr>
  </w:style>
  <w:style w:type="paragraph" w:customStyle="1" w:styleId="2AutoList168">
    <w:name w:val="2AutoList16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8">
    <w:name w:val="3AutoList16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8">
    <w:name w:val="4AutoList16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8">
    <w:name w:val="5AutoList16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8">
    <w:name w:val="6AutoList16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8">
    <w:name w:val="7AutoList16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8">
    <w:name w:val="8AutoList16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2">
    <w:name w:val="1AutoList142"/>
    <w:rsid w:val="004E5076"/>
    <w:pPr>
      <w:autoSpaceDE w:val="0"/>
      <w:autoSpaceDN w:val="0"/>
      <w:adjustRightInd w:val="0"/>
    </w:pPr>
    <w:rPr>
      <w:rFonts w:eastAsia="Times New Roman"/>
      <w:sz w:val="24"/>
      <w:szCs w:val="24"/>
      <w:lang w:val="es-ES_tradnl" w:eastAsia="es-ES_tradnl"/>
    </w:rPr>
  </w:style>
  <w:style w:type="paragraph" w:customStyle="1" w:styleId="2AutoList142">
    <w:name w:val="2AutoList14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2">
    <w:name w:val="3AutoList14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2">
    <w:name w:val="4AutoList14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2">
    <w:name w:val="5AutoList14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2">
    <w:name w:val="6AutoList14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2">
    <w:name w:val="7AutoList14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2">
    <w:name w:val="8AutoList14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1">
    <w:name w:val="1AutoList141"/>
    <w:rsid w:val="004E5076"/>
    <w:pPr>
      <w:autoSpaceDE w:val="0"/>
      <w:autoSpaceDN w:val="0"/>
      <w:adjustRightInd w:val="0"/>
    </w:pPr>
    <w:rPr>
      <w:rFonts w:eastAsia="Times New Roman"/>
      <w:sz w:val="24"/>
      <w:szCs w:val="24"/>
      <w:lang w:val="es-ES_tradnl" w:eastAsia="es-ES_tradnl"/>
    </w:rPr>
  </w:style>
  <w:style w:type="paragraph" w:customStyle="1" w:styleId="2AutoList141">
    <w:name w:val="2AutoList14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1">
    <w:name w:val="3AutoList14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1">
    <w:name w:val="4AutoList14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1">
    <w:name w:val="5AutoList14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1">
    <w:name w:val="6AutoList14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1">
    <w:name w:val="7AutoList14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1">
    <w:name w:val="8AutoList14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0">
    <w:name w:val="1AutoList140"/>
    <w:rsid w:val="004E5076"/>
    <w:pPr>
      <w:autoSpaceDE w:val="0"/>
      <w:autoSpaceDN w:val="0"/>
      <w:adjustRightInd w:val="0"/>
    </w:pPr>
    <w:rPr>
      <w:rFonts w:eastAsia="Times New Roman"/>
      <w:sz w:val="24"/>
      <w:szCs w:val="24"/>
      <w:lang w:val="es-ES_tradnl" w:eastAsia="es-ES_tradnl"/>
    </w:rPr>
  </w:style>
  <w:style w:type="paragraph" w:customStyle="1" w:styleId="2AutoList140">
    <w:name w:val="2AutoList14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0">
    <w:name w:val="3AutoList14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0">
    <w:name w:val="4AutoList14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0">
    <w:name w:val="5AutoList14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0">
    <w:name w:val="6AutoList14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0">
    <w:name w:val="7AutoList14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0">
    <w:name w:val="8AutoList14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9">
    <w:name w:val="1AutoList139"/>
    <w:rsid w:val="004E5076"/>
    <w:pPr>
      <w:autoSpaceDE w:val="0"/>
      <w:autoSpaceDN w:val="0"/>
      <w:adjustRightInd w:val="0"/>
    </w:pPr>
    <w:rPr>
      <w:rFonts w:eastAsia="Times New Roman"/>
      <w:sz w:val="24"/>
      <w:szCs w:val="24"/>
      <w:lang w:val="es-ES_tradnl" w:eastAsia="es-ES_tradnl"/>
    </w:rPr>
  </w:style>
  <w:style w:type="paragraph" w:customStyle="1" w:styleId="2AutoList139">
    <w:name w:val="2AutoList13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9">
    <w:name w:val="3AutoList13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9">
    <w:name w:val="4AutoList13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9">
    <w:name w:val="5AutoList13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9">
    <w:name w:val="6AutoList13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9">
    <w:name w:val="7AutoList13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9">
    <w:name w:val="8AutoList13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8">
    <w:name w:val="1AutoList138"/>
    <w:rsid w:val="004E5076"/>
    <w:pPr>
      <w:autoSpaceDE w:val="0"/>
      <w:autoSpaceDN w:val="0"/>
      <w:adjustRightInd w:val="0"/>
    </w:pPr>
    <w:rPr>
      <w:rFonts w:eastAsia="Times New Roman"/>
      <w:sz w:val="24"/>
      <w:szCs w:val="24"/>
      <w:lang w:val="es-ES_tradnl" w:eastAsia="es-ES_tradnl"/>
    </w:rPr>
  </w:style>
  <w:style w:type="paragraph" w:customStyle="1" w:styleId="2AutoList138">
    <w:name w:val="2AutoList13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8">
    <w:name w:val="3AutoList13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8">
    <w:name w:val="4AutoList13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8">
    <w:name w:val="5AutoList13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8">
    <w:name w:val="6AutoList13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8">
    <w:name w:val="7AutoList13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8">
    <w:name w:val="8AutoList13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7">
    <w:name w:val="1AutoList137"/>
    <w:rsid w:val="004E5076"/>
    <w:pPr>
      <w:autoSpaceDE w:val="0"/>
      <w:autoSpaceDN w:val="0"/>
      <w:adjustRightInd w:val="0"/>
    </w:pPr>
    <w:rPr>
      <w:rFonts w:eastAsia="Times New Roman"/>
      <w:sz w:val="24"/>
      <w:szCs w:val="24"/>
      <w:lang w:val="es-ES_tradnl" w:eastAsia="es-ES_tradnl"/>
    </w:rPr>
  </w:style>
  <w:style w:type="paragraph" w:customStyle="1" w:styleId="2AutoList137">
    <w:name w:val="2AutoList13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7">
    <w:name w:val="3AutoList13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7">
    <w:name w:val="4AutoList13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7">
    <w:name w:val="5AutoList13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7">
    <w:name w:val="6AutoList13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7">
    <w:name w:val="7AutoList13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7">
    <w:name w:val="8AutoList13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6">
    <w:name w:val="1AutoList136"/>
    <w:rsid w:val="004E5076"/>
    <w:pPr>
      <w:autoSpaceDE w:val="0"/>
      <w:autoSpaceDN w:val="0"/>
      <w:adjustRightInd w:val="0"/>
    </w:pPr>
    <w:rPr>
      <w:rFonts w:eastAsia="Times New Roman"/>
      <w:sz w:val="24"/>
      <w:szCs w:val="24"/>
      <w:lang w:val="es-ES_tradnl" w:eastAsia="es-ES_tradnl"/>
    </w:rPr>
  </w:style>
  <w:style w:type="paragraph" w:customStyle="1" w:styleId="2AutoList136">
    <w:name w:val="2AutoList13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6">
    <w:name w:val="3AutoList13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6">
    <w:name w:val="4AutoList13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6">
    <w:name w:val="5AutoList13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6">
    <w:name w:val="6AutoList13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6">
    <w:name w:val="7AutoList13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6">
    <w:name w:val="8AutoList13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5">
    <w:name w:val="1AutoList135"/>
    <w:rsid w:val="004E5076"/>
    <w:pPr>
      <w:autoSpaceDE w:val="0"/>
      <w:autoSpaceDN w:val="0"/>
      <w:adjustRightInd w:val="0"/>
    </w:pPr>
    <w:rPr>
      <w:rFonts w:eastAsia="Times New Roman"/>
      <w:sz w:val="24"/>
      <w:szCs w:val="24"/>
      <w:lang w:val="es-ES_tradnl" w:eastAsia="es-ES_tradnl"/>
    </w:rPr>
  </w:style>
  <w:style w:type="paragraph" w:customStyle="1" w:styleId="2AutoList135">
    <w:name w:val="2AutoList13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5">
    <w:name w:val="3AutoList13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5">
    <w:name w:val="4AutoList13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5">
    <w:name w:val="5AutoList13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5">
    <w:name w:val="6AutoList13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5">
    <w:name w:val="7AutoList13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5">
    <w:name w:val="8AutoList13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1">
    <w:name w:val="1AutoList161"/>
    <w:rsid w:val="004E5076"/>
    <w:pPr>
      <w:autoSpaceDE w:val="0"/>
      <w:autoSpaceDN w:val="0"/>
      <w:adjustRightInd w:val="0"/>
    </w:pPr>
    <w:rPr>
      <w:rFonts w:eastAsia="Times New Roman"/>
      <w:sz w:val="24"/>
      <w:szCs w:val="24"/>
      <w:lang w:val="es-ES_tradnl" w:eastAsia="es-ES_tradnl"/>
    </w:rPr>
  </w:style>
  <w:style w:type="paragraph" w:customStyle="1" w:styleId="2AutoList161">
    <w:name w:val="2AutoList16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1">
    <w:name w:val="3AutoList16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1">
    <w:name w:val="4AutoList16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1">
    <w:name w:val="5AutoList16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1">
    <w:name w:val="6AutoList16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1">
    <w:name w:val="7AutoList16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1">
    <w:name w:val="8AutoList16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0">
    <w:name w:val="1AutoList160"/>
    <w:rsid w:val="004E5076"/>
    <w:pPr>
      <w:autoSpaceDE w:val="0"/>
      <w:autoSpaceDN w:val="0"/>
      <w:adjustRightInd w:val="0"/>
    </w:pPr>
    <w:rPr>
      <w:rFonts w:eastAsia="Times New Roman"/>
      <w:sz w:val="24"/>
      <w:szCs w:val="24"/>
      <w:lang w:val="es-ES_tradnl" w:eastAsia="es-ES_tradnl"/>
    </w:rPr>
  </w:style>
  <w:style w:type="paragraph" w:customStyle="1" w:styleId="2AutoList160">
    <w:name w:val="2AutoList16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0">
    <w:name w:val="3AutoList16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0">
    <w:name w:val="4AutoList16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0">
    <w:name w:val="5AutoList16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0">
    <w:name w:val="6AutoList16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0">
    <w:name w:val="7AutoList16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0">
    <w:name w:val="8AutoList16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0">
    <w:name w:val="1AutoList150"/>
    <w:rsid w:val="004E5076"/>
    <w:pPr>
      <w:autoSpaceDE w:val="0"/>
      <w:autoSpaceDN w:val="0"/>
      <w:adjustRightInd w:val="0"/>
    </w:pPr>
    <w:rPr>
      <w:rFonts w:eastAsia="Times New Roman"/>
      <w:sz w:val="24"/>
      <w:szCs w:val="24"/>
      <w:lang w:val="es-ES_tradnl" w:eastAsia="es-ES_tradnl"/>
    </w:rPr>
  </w:style>
  <w:style w:type="paragraph" w:customStyle="1" w:styleId="2AutoList150">
    <w:name w:val="2AutoList15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0">
    <w:name w:val="3AutoList15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0">
    <w:name w:val="4AutoList15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0">
    <w:name w:val="5AutoList15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0">
    <w:name w:val="6AutoList15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0">
    <w:name w:val="7AutoList15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0">
    <w:name w:val="8AutoList15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8">
    <w:name w:val="1AutoList148"/>
    <w:rsid w:val="004E5076"/>
    <w:pPr>
      <w:autoSpaceDE w:val="0"/>
      <w:autoSpaceDN w:val="0"/>
      <w:adjustRightInd w:val="0"/>
    </w:pPr>
    <w:rPr>
      <w:rFonts w:eastAsia="Times New Roman"/>
      <w:sz w:val="24"/>
      <w:szCs w:val="24"/>
      <w:lang w:val="es-ES_tradnl" w:eastAsia="es-ES_tradnl"/>
    </w:rPr>
  </w:style>
  <w:style w:type="paragraph" w:customStyle="1" w:styleId="2AutoList148">
    <w:name w:val="2AutoList14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8">
    <w:name w:val="3AutoList14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8">
    <w:name w:val="4AutoList14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8">
    <w:name w:val="5AutoList14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8">
    <w:name w:val="6AutoList14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8">
    <w:name w:val="7AutoList14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8">
    <w:name w:val="8AutoList14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7">
    <w:name w:val="1AutoList147"/>
    <w:rsid w:val="004E5076"/>
    <w:pPr>
      <w:autoSpaceDE w:val="0"/>
      <w:autoSpaceDN w:val="0"/>
      <w:adjustRightInd w:val="0"/>
    </w:pPr>
    <w:rPr>
      <w:rFonts w:eastAsia="Times New Roman"/>
      <w:sz w:val="24"/>
      <w:szCs w:val="24"/>
      <w:lang w:val="es-ES_tradnl" w:eastAsia="es-ES_tradnl"/>
    </w:rPr>
  </w:style>
  <w:style w:type="paragraph" w:customStyle="1" w:styleId="2AutoList147">
    <w:name w:val="2AutoList14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7">
    <w:name w:val="3AutoList14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7">
    <w:name w:val="4AutoList14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7">
    <w:name w:val="5AutoList14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7">
    <w:name w:val="6AutoList14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7">
    <w:name w:val="7AutoList14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7">
    <w:name w:val="8AutoList14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1">
    <w:name w:val="1AutoList131"/>
    <w:rsid w:val="004E5076"/>
    <w:pPr>
      <w:autoSpaceDE w:val="0"/>
      <w:autoSpaceDN w:val="0"/>
      <w:adjustRightInd w:val="0"/>
    </w:pPr>
    <w:rPr>
      <w:rFonts w:eastAsia="Times New Roman"/>
      <w:sz w:val="24"/>
      <w:szCs w:val="24"/>
      <w:lang w:val="es-ES_tradnl" w:eastAsia="es-ES_tradnl"/>
    </w:rPr>
  </w:style>
  <w:style w:type="paragraph" w:customStyle="1" w:styleId="2AutoList131">
    <w:name w:val="2AutoList13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1">
    <w:name w:val="3AutoList13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1">
    <w:name w:val="4AutoList13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1">
    <w:name w:val="5AutoList13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1">
    <w:name w:val="6AutoList13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1">
    <w:name w:val="7AutoList13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1">
    <w:name w:val="8AutoList13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0">
    <w:name w:val="1AutoList130"/>
    <w:rsid w:val="004E5076"/>
    <w:pPr>
      <w:autoSpaceDE w:val="0"/>
      <w:autoSpaceDN w:val="0"/>
      <w:adjustRightInd w:val="0"/>
    </w:pPr>
    <w:rPr>
      <w:rFonts w:eastAsia="Times New Roman"/>
      <w:sz w:val="24"/>
      <w:szCs w:val="24"/>
      <w:lang w:val="es-ES_tradnl" w:eastAsia="es-ES_tradnl"/>
    </w:rPr>
  </w:style>
  <w:style w:type="paragraph" w:customStyle="1" w:styleId="2AutoList130">
    <w:name w:val="2AutoList13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0">
    <w:name w:val="3AutoList13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0">
    <w:name w:val="4AutoList13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0">
    <w:name w:val="5AutoList13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0">
    <w:name w:val="6AutoList13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0">
    <w:name w:val="7AutoList13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0">
    <w:name w:val="8AutoList13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9">
    <w:name w:val="1AutoList129"/>
    <w:rsid w:val="004E5076"/>
    <w:pPr>
      <w:autoSpaceDE w:val="0"/>
      <w:autoSpaceDN w:val="0"/>
      <w:adjustRightInd w:val="0"/>
    </w:pPr>
    <w:rPr>
      <w:rFonts w:eastAsia="Times New Roman"/>
      <w:sz w:val="24"/>
      <w:szCs w:val="24"/>
      <w:lang w:val="es-ES_tradnl" w:eastAsia="es-ES_tradnl"/>
    </w:rPr>
  </w:style>
  <w:style w:type="paragraph" w:customStyle="1" w:styleId="2AutoList129">
    <w:name w:val="2AutoList12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9">
    <w:name w:val="3AutoList12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9">
    <w:name w:val="4AutoList12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9">
    <w:name w:val="5AutoList12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9">
    <w:name w:val="6AutoList12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9">
    <w:name w:val="7AutoList12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9">
    <w:name w:val="8AutoList12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8">
    <w:name w:val="1AutoList128"/>
    <w:rsid w:val="004E5076"/>
    <w:pPr>
      <w:autoSpaceDE w:val="0"/>
      <w:autoSpaceDN w:val="0"/>
      <w:adjustRightInd w:val="0"/>
    </w:pPr>
    <w:rPr>
      <w:rFonts w:eastAsia="Times New Roman"/>
      <w:sz w:val="24"/>
      <w:szCs w:val="24"/>
      <w:lang w:val="es-ES_tradnl" w:eastAsia="es-ES_tradnl"/>
    </w:rPr>
  </w:style>
  <w:style w:type="paragraph" w:customStyle="1" w:styleId="2AutoList128">
    <w:name w:val="2AutoList12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8">
    <w:name w:val="3AutoList12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8">
    <w:name w:val="4AutoList12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8">
    <w:name w:val="5AutoList12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8">
    <w:name w:val="6AutoList12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8">
    <w:name w:val="7AutoList12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8">
    <w:name w:val="8AutoList12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7">
    <w:name w:val="1AutoList127"/>
    <w:rsid w:val="004E5076"/>
    <w:pPr>
      <w:autoSpaceDE w:val="0"/>
      <w:autoSpaceDN w:val="0"/>
      <w:adjustRightInd w:val="0"/>
    </w:pPr>
    <w:rPr>
      <w:rFonts w:eastAsia="Times New Roman"/>
      <w:sz w:val="24"/>
      <w:szCs w:val="24"/>
      <w:lang w:val="es-ES_tradnl" w:eastAsia="es-ES_tradnl"/>
    </w:rPr>
  </w:style>
  <w:style w:type="paragraph" w:customStyle="1" w:styleId="2AutoList127">
    <w:name w:val="2AutoList12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7">
    <w:name w:val="3AutoList12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7">
    <w:name w:val="4AutoList12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7">
    <w:name w:val="5AutoList12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7">
    <w:name w:val="6AutoList12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7">
    <w:name w:val="7AutoList12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7">
    <w:name w:val="8AutoList12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6">
    <w:name w:val="1AutoList126"/>
    <w:rsid w:val="004E5076"/>
    <w:pPr>
      <w:autoSpaceDE w:val="0"/>
      <w:autoSpaceDN w:val="0"/>
      <w:adjustRightInd w:val="0"/>
    </w:pPr>
    <w:rPr>
      <w:rFonts w:eastAsia="Times New Roman"/>
      <w:sz w:val="24"/>
      <w:szCs w:val="24"/>
      <w:lang w:val="es-ES_tradnl" w:eastAsia="es-ES_tradnl"/>
    </w:rPr>
  </w:style>
  <w:style w:type="paragraph" w:customStyle="1" w:styleId="2AutoList126">
    <w:name w:val="2AutoList12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6">
    <w:name w:val="3AutoList12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6">
    <w:name w:val="4AutoList12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6">
    <w:name w:val="5AutoList12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6">
    <w:name w:val="6AutoList12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6">
    <w:name w:val="7AutoList12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6">
    <w:name w:val="8AutoList12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5">
    <w:name w:val="1AutoList125"/>
    <w:rsid w:val="004E5076"/>
    <w:pPr>
      <w:autoSpaceDE w:val="0"/>
      <w:autoSpaceDN w:val="0"/>
      <w:adjustRightInd w:val="0"/>
    </w:pPr>
    <w:rPr>
      <w:rFonts w:eastAsia="Times New Roman"/>
      <w:sz w:val="24"/>
      <w:szCs w:val="24"/>
      <w:lang w:val="es-ES_tradnl" w:eastAsia="es-ES_tradnl"/>
    </w:rPr>
  </w:style>
  <w:style w:type="paragraph" w:customStyle="1" w:styleId="2AutoList125">
    <w:name w:val="2AutoList12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5">
    <w:name w:val="3AutoList12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5">
    <w:name w:val="4AutoList12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5">
    <w:name w:val="5AutoList12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5">
    <w:name w:val="6AutoList12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5">
    <w:name w:val="7AutoList12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5">
    <w:name w:val="8AutoList12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6">
    <w:name w:val="1AutoList146"/>
    <w:rsid w:val="004E5076"/>
    <w:pPr>
      <w:autoSpaceDE w:val="0"/>
      <w:autoSpaceDN w:val="0"/>
      <w:adjustRightInd w:val="0"/>
    </w:pPr>
    <w:rPr>
      <w:rFonts w:eastAsia="Times New Roman"/>
      <w:sz w:val="24"/>
      <w:szCs w:val="24"/>
      <w:lang w:val="es-ES_tradnl" w:eastAsia="es-ES_tradnl"/>
    </w:rPr>
  </w:style>
  <w:style w:type="paragraph" w:customStyle="1" w:styleId="2AutoList146">
    <w:name w:val="2AutoList14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6">
    <w:name w:val="3AutoList14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6">
    <w:name w:val="4AutoList14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6">
    <w:name w:val="5AutoList14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6">
    <w:name w:val="6AutoList14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6">
    <w:name w:val="7AutoList14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6">
    <w:name w:val="8AutoList14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4">
    <w:name w:val="1AutoList134"/>
    <w:rsid w:val="004E5076"/>
    <w:pPr>
      <w:autoSpaceDE w:val="0"/>
      <w:autoSpaceDN w:val="0"/>
      <w:adjustRightInd w:val="0"/>
    </w:pPr>
    <w:rPr>
      <w:rFonts w:eastAsia="Times New Roman"/>
      <w:sz w:val="24"/>
      <w:szCs w:val="24"/>
      <w:lang w:val="es-ES_tradnl" w:eastAsia="es-ES_tradnl"/>
    </w:rPr>
  </w:style>
  <w:style w:type="paragraph" w:customStyle="1" w:styleId="2AutoList134">
    <w:name w:val="2AutoList13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4">
    <w:name w:val="3AutoList13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4">
    <w:name w:val="4AutoList13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4">
    <w:name w:val="5AutoList13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4">
    <w:name w:val="6AutoList13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4">
    <w:name w:val="7AutoList13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4">
    <w:name w:val="8AutoList13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3">
    <w:name w:val="1AutoList133"/>
    <w:rsid w:val="004E5076"/>
    <w:pPr>
      <w:autoSpaceDE w:val="0"/>
      <w:autoSpaceDN w:val="0"/>
      <w:adjustRightInd w:val="0"/>
    </w:pPr>
    <w:rPr>
      <w:rFonts w:eastAsia="Times New Roman"/>
      <w:sz w:val="24"/>
      <w:szCs w:val="24"/>
      <w:lang w:val="es-ES_tradnl" w:eastAsia="es-ES_tradnl"/>
    </w:rPr>
  </w:style>
  <w:style w:type="paragraph" w:customStyle="1" w:styleId="2AutoList133">
    <w:name w:val="2AutoList13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3">
    <w:name w:val="3AutoList13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3">
    <w:name w:val="4AutoList13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3">
    <w:name w:val="5AutoList13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3">
    <w:name w:val="6AutoList13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3">
    <w:name w:val="7AutoList13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3">
    <w:name w:val="8AutoList13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5">
    <w:name w:val="1AutoList145"/>
    <w:rsid w:val="004E5076"/>
    <w:pPr>
      <w:autoSpaceDE w:val="0"/>
      <w:autoSpaceDN w:val="0"/>
      <w:adjustRightInd w:val="0"/>
    </w:pPr>
    <w:rPr>
      <w:rFonts w:eastAsia="Times New Roman"/>
      <w:sz w:val="24"/>
      <w:szCs w:val="24"/>
      <w:lang w:val="es-ES_tradnl" w:eastAsia="es-ES_tradnl"/>
    </w:rPr>
  </w:style>
  <w:style w:type="paragraph" w:customStyle="1" w:styleId="2AutoList145">
    <w:name w:val="2AutoList14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5">
    <w:name w:val="3AutoList14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5">
    <w:name w:val="4AutoList14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5">
    <w:name w:val="5AutoList14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5">
    <w:name w:val="6AutoList14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5">
    <w:name w:val="7AutoList14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5">
    <w:name w:val="8AutoList14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2">
    <w:name w:val="1AutoList122"/>
    <w:rsid w:val="004E5076"/>
    <w:pPr>
      <w:autoSpaceDE w:val="0"/>
      <w:autoSpaceDN w:val="0"/>
      <w:adjustRightInd w:val="0"/>
    </w:pPr>
    <w:rPr>
      <w:rFonts w:eastAsia="Times New Roman"/>
      <w:sz w:val="24"/>
      <w:szCs w:val="24"/>
      <w:lang w:val="es-ES_tradnl" w:eastAsia="es-ES_tradnl"/>
    </w:rPr>
  </w:style>
  <w:style w:type="paragraph" w:customStyle="1" w:styleId="2AutoList122">
    <w:name w:val="2AutoList12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2">
    <w:name w:val="3AutoList12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2">
    <w:name w:val="4AutoList12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2">
    <w:name w:val="5AutoList12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2">
    <w:name w:val="6AutoList12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2">
    <w:name w:val="7AutoList12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2">
    <w:name w:val="8AutoList12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1">
    <w:name w:val="1AutoList121"/>
    <w:rsid w:val="004E5076"/>
    <w:pPr>
      <w:autoSpaceDE w:val="0"/>
      <w:autoSpaceDN w:val="0"/>
      <w:adjustRightInd w:val="0"/>
    </w:pPr>
    <w:rPr>
      <w:rFonts w:eastAsia="Times New Roman"/>
      <w:sz w:val="24"/>
      <w:szCs w:val="24"/>
      <w:lang w:val="es-ES_tradnl" w:eastAsia="es-ES_tradnl"/>
    </w:rPr>
  </w:style>
  <w:style w:type="paragraph" w:customStyle="1" w:styleId="2AutoList121">
    <w:name w:val="2AutoList12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1">
    <w:name w:val="3AutoList12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1">
    <w:name w:val="4AutoList12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1">
    <w:name w:val="5AutoList12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1">
    <w:name w:val="6AutoList12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1">
    <w:name w:val="7AutoList12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1">
    <w:name w:val="8AutoList12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0">
    <w:name w:val="1AutoList120"/>
    <w:rsid w:val="004E5076"/>
    <w:pPr>
      <w:autoSpaceDE w:val="0"/>
      <w:autoSpaceDN w:val="0"/>
      <w:adjustRightInd w:val="0"/>
    </w:pPr>
    <w:rPr>
      <w:rFonts w:eastAsia="Times New Roman"/>
      <w:sz w:val="24"/>
      <w:szCs w:val="24"/>
      <w:lang w:val="es-ES_tradnl" w:eastAsia="es-ES_tradnl"/>
    </w:rPr>
  </w:style>
  <w:style w:type="paragraph" w:customStyle="1" w:styleId="2AutoList120">
    <w:name w:val="2AutoList12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0">
    <w:name w:val="3AutoList12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0">
    <w:name w:val="4AutoList12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0">
    <w:name w:val="5AutoList12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0">
    <w:name w:val="6AutoList12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0">
    <w:name w:val="7AutoList12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0">
    <w:name w:val="8AutoList12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9">
    <w:name w:val="1AutoList119"/>
    <w:rsid w:val="004E5076"/>
    <w:pPr>
      <w:autoSpaceDE w:val="0"/>
      <w:autoSpaceDN w:val="0"/>
      <w:adjustRightInd w:val="0"/>
    </w:pPr>
    <w:rPr>
      <w:rFonts w:eastAsia="Times New Roman"/>
      <w:sz w:val="24"/>
      <w:szCs w:val="24"/>
      <w:lang w:val="es-ES_tradnl" w:eastAsia="es-ES_tradnl"/>
    </w:rPr>
  </w:style>
  <w:style w:type="paragraph" w:customStyle="1" w:styleId="2AutoList119">
    <w:name w:val="2AutoList11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9">
    <w:name w:val="3AutoList11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9">
    <w:name w:val="4AutoList11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9">
    <w:name w:val="5AutoList11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9">
    <w:name w:val="6AutoList11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9">
    <w:name w:val="7AutoList11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9">
    <w:name w:val="8AutoList11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8">
    <w:name w:val="1AutoList118"/>
    <w:rsid w:val="004E5076"/>
    <w:pPr>
      <w:autoSpaceDE w:val="0"/>
      <w:autoSpaceDN w:val="0"/>
      <w:adjustRightInd w:val="0"/>
    </w:pPr>
    <w:rPr>
      <w:rFonts w:eastAsia="Times New Roman"/>
      <w:sz w:val="24"/>
      <w:szCs w:val="24"/>
      <w:lang w:val="es-ES_tradnl" w:eastAsia="es-ES_tradnl"/>
    </w:rPr>
  </w:style>
  <w:style w:type="paragraph" w:customStyle="1" w:styleId="2AutoList118">
    <w:name w:val="2AutoList11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8">
    <w:name w:val="3AutoList11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8">
    <w:name w:val="4AutoList11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8">
    <w:name w:val="5AutoList11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8">
    <w:name w:val="6AutoList11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8">
    <w:name w:val="7AutoList11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8">
    <w:name w:val="8AutoList11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7">
    <w:name w:val="1AutoList117"/>
    <w:rsid w:val="004E5076"/>
    <w:pPr>
      <w:autoSpaceDE w:val="0"/>
      <w:autoSpaceDN w:val="0"/>
      <w:adjustRightInd w:val="0"/>
    </w:pPr>
    <w:rPr>
      <w:rFonts w:eastAsia="Times New Roman"/>
      <w:sz w:val="24"/>
      <w:szCs w:val="24"/>
      <w:lang w:val="es-ES_tradnl" w:eastAsia="es-ES_tradnl"/>
    </w:rPr>
  </w:style>
  <w:style w:type="paragraph" w:customStyle="1" w:styleId="2AutoList117">
    <w:name w:val="2AutoList11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7">
    <w:name w:val="3AutoList11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7">
    <w:name w:val="4AutoList11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7">
    <w:name w:val="5AutoList11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7">
    <w:name w:val="6AutoList11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7">
    <w:name w:val="7AutoList11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7">
    <w:name w:val="8AutoList11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6">
    <w:name w:val="1AutoList116"/>
    <w:rsid w:val="004E5076"/>
    <w:pPr>
      <w:autoSpaceDE w:val="0"/>
      <w:autoSpaceDN w:val="0"/>
      <w:adjustRightInd w:val="0"/>
    </w:pPr>
    <w:rPr>
      <w:rFonts w:eastAsia="Times New Roman"/>
      <w:sz w:val="24"/>
      <w:szCs w:val="24"/>
      <w:lang w:val="es-ES_tradnl" w:eastAsia="es-ES_tradnl"/>
    </w:rPr>
  </w:style>
  <w:style w:type="paragraph" w:customStyle="1" w:styleId="2AutoList116">
    <w:name w:val="2AutoList11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6">
    <w:name w:val="3AutoList11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6">
    <w:name w:val="4AutoList11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6">
    <w:name w:val="5AutoList11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6">
    <w:name w:val="6AutoList11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6">
    <w:name w:val="7AutoList11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6">
    <w:name w:val="8AutoList11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5">
    <w:name w:val="1AutoList115"/>
    <w:rsid w:val="004E5076"/>
    <w:pPr>
      <w:autoSpaceDE w:val="0"/>
      <w:autoSpaceDN w:val="0"/>
      <w:adjustRightInd w:val="0"/>
    </w:pPr>
    <w:rPr>
      <w:rFonts w:eastAsia="Times New Roman"/>
      <w:sz w:val="24"/>
      <w:szCs w:val="24"/>
      <w:lang w:val="es-ES_tradnl" w:eastAsia="es-ES_tradnl"/>
    </w:rPr>
  </w:style>
  <w:style w:type="paragraph" w:customStyle="1" w:styleId="2AutoList115">
    <w:name w:val="2AutoList11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5">
    <w:name w:val="3AutoList11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5">
    <w:name w:val="4AutoList11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5">
    <w:name w:val="5AutoList11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5">
    <w:name w:val="6AutoList11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5">
    <w:name w:val="7AutoList11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5">
    <w:name w:val="8AutoList11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6">
    <w:name w:val="1AutoList106"/>
    <w:rsid w:val="004E5076"/>
    <w:pPr>
      <w:autoSpaceDE w:val="0"/>
      <w:autoSpaceDN w:val="0"/>
      <w:adjustRightInd w:val="0"/>
    </w:pPr>
    <w:rPr>
      <w:rFonts w:eastAsia="Times New Roman"/>
      <w:sz w:val="24"/>
      <w:szCs w:val="24"/>
      <w:lang w:val="es-ES_tradnl" w:eastAsia="es-ES_tradnl"/>
    </w:rPr>
  </w:style>
  <w:style w:type="paragraph" w:customStyle="1" w:styleId="2AutoList106">
    <w:name w:val="2AutoList10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6">
    <w:name w:val="3AutoList10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6">
    <w:name w:val="4AutoList10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6">
    <w:name w:val="5AutoList10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6">
    <w:name w:val="6AutoList10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6">
    <w:name w:val="7AutoList10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6">
    <w:name w:val="8AutoList10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5">
    <w:name w:val="1AutoList105"/>
    <w:rsid w:val="004E5076"/>
    <w:pPr>
      <w:autoSpaceDE w:val="0"/>
      <w:autoSpaceDN w:val="0"/>
      <w:adjustRightInd w:val="0"/>
    </w:pPr>
    <w:rPr>
      <w:rFonts w:eastAsia="Times New Roman"/>
      <w:sz w:val="24"/>
      <w:szCs w:val="24"/>
      <w:lang w:val="es-ES_tradnl" w:eastAsia="es-ES_tradnl"/>
    </w:rPr>
  </w:style>
  <w:style w:type="paragraph" w:customStyle="1" w:styleId="2AutoList105">
    <w:name w:val="2AutoList10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5">
    <w:name w:val="3AutoList10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5">
    <w:name w:val="4AutoList10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5">
    <w:name w:val="5AutoList10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5">
    <w:name w:val="6AutoList10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5">
    <w:name w:val="7AutoList10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5">
    <w:name w:val="8AutoList10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4">
    <w:name w:val="1AutoList104"/>
    <w:rsid w:val="004E5076"/>
    <w:pPr>
      <w:autoSpaceDE w:val="0"/>
      <w:autoSpaceDN w:val="0"/>
      <w:adjustRightInd w:val="0"/>
    </w:pPr>
    <w:rPr>
      <w:rFonts w:eastAsia="Times New Roman"/>
      <w:sz w:val="24"/>
      <w:szCs w:val="24"/>
      <w:lang w:val="es-ES_tradnl" w:eastAsia="es-ES_tradnl"/>
    </w:rPr>
  </w:style>
  <w:style w:type="paragraph" w:customStyle="1" w:styleId="2AutoList104">
    <w:name w:val="2AutoList10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4">
    <w:name w:val="3AutoList10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4">
    <w:name w:val="4AutoList10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4">
    <w:name w:val="5AutoList10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4">
    <w:name w:val="6AutoList10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4">
    <w:name w:val="7AutoList10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4">
    <w:name w:val="8AutoList10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3">
    <w:name w:val="1AutoList103"/>
    <w:rsid w:val="004E5076"/>
    <w:pPr>
      <w:autoSpaceDE w:val="0"/>
      <w:autoSpaceDN w:val="0"/>
      <w:adjustRightInd w:val="0"/>
    </w:pPr>
    <w:rPr>
      <w:rFonts w:eastAsia="Times New Roman"/>
      <w:sz w:val="24"/>
      <w:szCs w:val="24"/>
      <w:lang w:val="es-ES_tradnl" w:eastAsia="es-ES_tradnl"/>
    </w:rPr>
  </w:style>
  <w:style w:type="paragraph" w:customStyle="1" w:styleId="2AutoList103">
    <w:name w:val="2AutoList10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3">
    <w:name w:val="3AutoList10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3">
    <w:name w:val="4AutoList10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3">
    <w:name w:val="5AutoList10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3">
    <w:name w:val="6AutoList10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3">
    <w:name w:val="7AutoList10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3">
    <w:name w:val="8AutoList10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2">
    <w:name w:val="1AutoList102"/>
    <w:rsid w:val="004E5076"/>
    <w:pPr>
      <w:autoSpaceDE w:val="0"/>
      <w:autoSpaceDN w:val="0"/>
      <w:adjustRightInd w:val="0"/>
    </w:pPr>
    <w:rPr>
      <w:rFonts w:eastAsia="Times New Roman"/>
      <w:sz w:val="24"/>
      <w:szCs w:val="24"/>
      <w:lang w:val="es-ES_tradnl" w:eastAsia="es-ES_tradnl"/>
    </w:rPr>
  </w:style>
  <w:style w:type="paragraph" w:customStyle="1" w:styleId="2AutoList102">
    <w:name w:val="2AutoList10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2">
    <w:name w:val="3AutoList10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2">
    <w:name w:val="4AutoList10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2">
    <w:name w:val="5AutoList10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2">
    <w:name w:val="6AutoList10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2">
    <w:name w:val="7AutoList10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2">
    <w:name w:val="8AutoList10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1">
    <w:name w:val="1AutoList101"/>
    <w:rsid w:val="004E5076"/>
    <w:pPr>
      <w:autoSpaceDE w:val="0"/>
      <w:autoSpaceDN w:val="0"/>
      <w:adjustRightInd w:val="0"/>
    </w:pPr>
    <w:rPr>
      <w:rFonts w:eastAsia="Times New Roman"/>
      <w:sz w:val="24"/>
      <w:szCs w:val="24"/>
      <w:lang w:val="es-ES_tradnl" w:eastAsia="es-ES_tradnl"/>
    </w:rPr>
  </w:style>
  <w:style w:type="paragraph" w:customStyle="1" w:styleId="2AutoList101">
    <w:name w:val="2AutoList10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1">
    <w:name w:val="3AutoList10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1">
    <w:name w:val="4AutoList10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1">
    <w:name w:val="5AutoList10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1">
    <w:name w:val="6AutoList10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1">
    <w:name w:val="7AutoList10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1">
    <w:name w:val="8AutoList10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0">
    <w:name w:val="1AutoList100"/>
    <w:rsid w:val="004E5076"/>
    <w:pPr>
      <w:autoSpaceDE w:val="0"/>
      <w:autoSpaceDN w:val="0"/>
      <w:adjustRightInd w:val="0"/>
    </w:pPr>
    <w:rPr>
      <w:rFonts w:eastAsia="Times New Roman"/>
      <w:sz w:val="24"/>
      <w:szCs w:val="24"/>
      <w:lang w:val="es-ES_tradnl" w:eastAsia="es-ES_tradnl"/>
    </w:rPr>
  </w:style>
  <w:style w:type="paragraph" w:customStyle="1" w:styleId="2AutoList100">
    <w:name w:val="2AutoList10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0">
    <w:name w:val="3AutoList10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0">
    <w:name w:val="4AutoList10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0">
    <w:name w:val="5AutoList10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0">
    <w:name w:val="6AutoList10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0">
    <w:name w:val="7AutoList10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0">
    <w:name w:val="8AutoList10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9">
    <w:name w:val="1AutoList99"/>
    <w:rsid w:val="004E5076"/>
    <w:pPr>
      <w:autoSpaceDE w:val="0"/>
      <w:autoSpaceDN w:val="0"/>
      <w:adjustRightInd w:val="0"/>
    </w:pPr>
    <w:rPr>
      <w:rFonts w:eastAsia="Times New Roman"/>
      <w:sz w:val="24"/>
      <w:szCs w:val="24"/>
      <w:lang w:val="es-ES_tradnl" w:eastAsia="es-ES_tradnl"/>
    </w:rPr>
  </w:style>
  <w:style w:type="paragraph" w:customStyle="1" w:styleId="2AutoList99">
    <w:name w:val="2AutoList9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9">
    <w:name w:val="3AutoList9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9">
    <w:name w:val="4AutoList9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9">
    <w:name w:val="5AutoList9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9">
    <w:name w:val="6AutoList9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9">
    <w:name w:val="7AutoList9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9">
    <w:name w:val="8AutoList9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8">
    <w:name w:val="1AutoList98"/>
    <w:rsid w:val="004E5076"/>
    <w:pPr>
      <w:autoSpaceDE w:val="0"/>
      <w:autoSpaceDN w:val="0"/>
      <w:adjustRightInd w:val="0"/>
    </w:pPr>
    <w:rPr>
      <w:rFonts w:eastAsia="Times New Roman"/>
      <w:sz w:val="24"/>
      <w:szCs w:val="24"/>
      <w:lang w:val="es-ES_tradnl" w:eastAsia="es-ES_tradnl"/>
    </w:rPr>
  </w:style>
  <w:style w:type="paragraph" w:customStyle="1" w:styleId="2AutoList98">
    <w:name w:val="2AutoList9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8">
    <w:name w:val="3AutoList9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8">
    <w:name w:val="4AutoList9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8">
    <w:name w:val="5AutoList9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8">
    <w:name w:val="6AutoList9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8">
    <w:name w:val="7AutoList9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8">
    <w:name w:val="8AutoList9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7">
    <w:name w:val="1AutoList97"/>
    <w:rsid w:val="004E5076"/>
    <w:pPr>
      <w:autoSpaceDE w:val="0"/>
      <w:autoSpaceDN w:val="0"/>
      <w:adjustRightInd w:val="0"/>
    </w:pPr>
    <w:rPr>
      <w:rFonts w:eastAsia="Times New Roman"/>
      <w:sz w:val="24"/>
      <w:szCs w:val="24"/>
      <w:lang w:val="es-ES_tradnl" w:eastAsia="es-ES_tradnl"/>
    </w:rPr>
  </w:style>
  <w:style w:type="paragraph" w:customStyle="1" w:styleId="2AutoList97">
    <w:name w:val="2AutoList9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7">
    <w:name w:val="3AutoList9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7">
    <w:name w:val="4AutoList9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7">
    <w:name w:val="5AutoList9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7">
    <w:name w:val="6AutoList9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7">
    <w:name w:val="7AutoList9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7">
    <w:name w:val="8AutoList9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2">
    <w:name w:val="1AutoList132"/>
    <w:rsid w:val="004E5076"/>
    <w:pPr>
      <w:autoSpaceDE w:val="0"/>
      <w:autoSpaceDN w:val="0"/>
      <w:adjustRightInd w:val="0"/>
    </w:pPr>
    <w:rPr>
      <w:rFonts w:eastAsia="Times New Roman"/>
      <w:sz w:val="24"/>
      <w:szCs w:val="24"/>
      <w:lang w:val="es-ES_tradnl" w:eastAsia="es-ES_tradnl"/>
    </w:rPr>
  </w:style>
  <w:style w:type="paragraph" w:customStyle="1" w:styleId="2AutoList132">
    <w:name w:val="2AutoList13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2">
    <w:name w:val="3AutoList13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2">
    <w:name w:val="4AutoList13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2">
    <w:name w:val="5AutoList13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2">
    <w:name w:val="6AutoList13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2">
    <w:name w:val="7AutoList13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2">
    <w:name w:val="8AutoList13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7">
    <w:name w:val="1AutoList167"/>
    <w:rsid w:val="004E5076"/>
    <w:pPr>
      <w:autoSpaceDE w:val="0"/>
      <w:autoSpaceDN w:val="0"/>
      <w:adjustRightInd w:val="0"/>
    </w:pPr>
    <w:rPr>
      <w:rFonts w:eastAsia="Times New Roman"/>
      <w:sz w:val="24"/>
      <w:szCs w:val="24"/>
      <w:lang w:val="es-ES_tradnl" w:eastAsia="es-ES_tradnl"/>
    </w:rPr>
  </w:style>
  <w:style w:type="paragraph" w:customStyle="1" w:styleId="2AutoList167">
    <w:name w:val="2AutoList16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7">
    <w:name w:val="3AutoList16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7">
    <w:name w:val="4AutoList16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7">
    <w:name w:val="5AutoList16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7">
    <w:name w:val="6AutoList16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7">
    <w:name w:val="7AutoList16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7">
    <w:name w:val="8AutoList16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8">
    <w:name w:val="1AutoList108"/>
    <w:rsid w:val="004E5076"/>
    <w:pPr>
      <w:autoSpaceDE w:val="0"/>
      <w:autoSpaceDN w:val="0"/>
      <w:adjustRightInd w:val="0"/>
    </w:pPr>
    <w:rPr>
      <w:rFonts w:eastAsia="Times New Roman"/>
      <w:sz w:val="24"/>
      <w:szCs w:val="24"/>
      <w:lang w:val="es-ES_tradnl" w:eastAsia="es-ES_tradnl"/>
    </w:rPr>
  </w:style>
  <w:style w:type="paragraph" w:customStyle="1" w:styleId="2AutoList108">
    <w:name w:val="2AutoList10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8">
    <w:name w:val="3AutoList10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8">
    <w:name w:val="4AutoList10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8">
    <w:name w:val="5AutoList10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8">
    <w:name w:val="6AutoList10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8">
    <w:name w:val="7AutoList10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8">
    <w:name w:val="8AutoList10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6">
    <w:name w:val="1AutoList166"/>
    <w:rsid w:val="004E5076"/>
    <w:pPr>
      <w:autoSpaceDE w:val="0"/>
      <w:autoSpaceDN w:val="0"/>
      <w:adjustRightInd w:val="0"/>
    </w:pPr>
    <w:rPr>
      <w:rFonts w:eastAsia="Times New Roman"/>
      <w:sz w:val="24"/>
      <w:szCs w:val="24"/>
      <w:lang w:val="es-ES_tradnl" w:eastAsia="es-ES_tradnl"/>
    </w:rPr>
  </w:style>
  <w:style w:type="paragraph" w:customStyle="1" w:styleId="2AutoList166">
    <w:name w:val="2AutoList16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6">
    <w:name w:val="3AutoList16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6">
    <w:name w:val="4AutoList16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6">
    <w:name w:val="5AutoList16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6">
    <w:name w:val="6AutoList16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6">
    <w:name w:val="7AutoList16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6">
    <w:name w:val="8AutoList16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4">
    <w:name w:val="1AutoList144"/>
    <w:rsid w:val="004E5076"/>
    <w:pPr>
      <w:autoSpaceDE w:val="0"/>
      <w:autoSpaceDN w:val="0"/>
      <w:adjustRightInd w:val="0"/>
    </w:pPr>
    <w:rPr>
      <w:rFonts w:eastAsia="Times New Roman"/>
      <w:sz w:val="24"/>
      <w:szCs w:val="24"/>
      <w:lang w:val="es-ES_tradnl" w:eastAsia="es-ES_tradnl"/>
    </w:rPr>
  </w:style>
  <w:style w:type="paragraph" w:customStyle="1" w:styleId="2AutoList144">
    <w:name w:val="2AutoList14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4">
    <w:name w:val="3AutoList14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4">
    <w:name w:val="4AutoList14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4">
    <w:name w:val="5AutoList14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4">
    <w:name w:val="6AutoList14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4">
    <w:name w:val="7AutoList14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4">
    <w:name w:val="8AutoList14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3">
    <w:name w:val="1AutoList143"/>
    <w:rsid w:val="004E5076"/>
    <w:pPr>
      <w:autoSpaceDE w:val="0"/>
      <w:autoSpaceDN w:val="0"/>
      <w:adjustRightInd w:val="0"/>
    </w:pPr>
    <w:rPr>
      <w:rFonts w:eastAsia="Times New Roman"/>
      <w:sz w:val="24"/>
      <w:szCs w:val="24"/>
      <w:lang w:val="es-ES_tradnl" w:eastAsia="es-ES_tradnl"/>
    </w:rPr>
  </w:style>
  <w:style w:type="paragraph" w:customStyle="1" w:styleId="2AutoList143">
    <w:name w:val="2AutoList14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3">
    <w:name w:val="3AutoList14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3">
    <w:name w:val="4AutoList14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3">
    <w:name w:val="5AutoList14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3">
    <w:name w:val="6AutoList14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3">
    <w:name w:val="7AutoList14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3">
    <w:name w:val="8AutoList14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4">
    <w:name w:val="1AutoList114"/>
    <w:rsid w:val="004E5076"/>
    <w:pPr>
      <w:autoSpaceDE w:val="0"/>
      <w:autoSpaceDN w:val="0"/>
      <w:adjustRightInd w:val="0"/>
    </w:pPr>
    <w:rPr>
      <w:rFonts w:eastAsia="Times New Roman"/>
      <w:sz w:val="24"/>
      <w:szCs w:val="24"/>
      <w:lang w:val="es-ES_tradnl" w:eastAsia="es-ES_tradnl"/>
    </w:rPr>
  </w:style>
  <w:style w:type="paragraph" w:customStyle="1" w:styleId="2AutoList114">
    <w:name w:val="2AutoList11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4">
    <w:name w:val="3AutoList11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4">
    <w:name w:val="4AutoList11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4">
    <w:name w:val="5AutoList11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4">
    <w:name w:val="6AutoList11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4">
    <w:name w:val="7AutoList11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4">
    <w:name w:val="8AutoList11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7">
    <w:name w:val="1AutoList107"/>
    <w:rsid w:val="004E5076"/>
    <w:pPr>
      <w:autoSpaceDE w:val="0"/>
      <w:autoSpaceDN w:val="0"/>
      <w:adjustRightInd w:val="0"/>
    </w:pPr>
    <w:rPr>
      <w:rFonts w:eastAsia="Times New Roman"/>
      <w:sz w:val="24"/>
      <w:szCs w:val="24"/>
      <w:lang w:val="es-ES_tradnl" w:eastAsia="es-ES_tradnl"/>
    </w:rPr>
  </w:style>
  <w:style w:type="paragraph" w:customStyle="1" w:styleId="2AutoList107">
    <w:name w:val="2AutoList10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7">
    <w:name w:val="3AutoList10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7">
    <w:name w:val="4AutoList10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7">
    <w:name w:val="5AutoList10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7">
    <w:name w:val="6AutoList10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7">
    <w:name w:val="7AutoList10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7">
    <w:name w:val="8AutoList10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4">
    <w:name w:val="1AutoList94"/>
    <w:rsid w:val="004E5076"/>
    <w:pPr>
      <w:autoSpaceDE w:val="0"/>
      <w:autoSpaceDN w:val="0"/>
      <w:adjustRightInd w:val="0"/>
    </w:pPr>
    <w:rPr>
      <w:rFonts w:eastAsia="Times New Roman"/>
      <w:sz w:val="24"/>
      <w:szCs w:val="24"/>
      <w:lang w:val="es-ES_tradnl" w:eastAsia="es-ES_tradnl"/>
    </w:rPr>
  </w:style>
  <w:style w:type="paragraph" w:customStyle="1" w:styleId="2AutoList94">
    <w:name w:val="2AutoList9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4">
    <w:name w:val="3AutoList9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4">
    <w:name w:val="4AutoList9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4">
    <w:name w:val="5AutoList9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4">
    <w:name w:val="6AutoList9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4">
    <w:name w:val="7AutoList9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4">
    <w:name w:val="8AutoList9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3">
    <w:name w:val="1AutoList93"/>
    <w:rsid w:val="004E5076"/>
    <w:pPr>
      <w:autoSpaceDE w:val="0"/>
      <w:autoSpaceDN w:val="0"/>
      <w:adjustRightInd w:val="0"/>
    </w:pPr>
    <w:rPr>
      <w:rFonts w:eastAsia="Times New Roman"/>
      <w:sz w:val="24"/>
      <w:szCs w:val="24"/>
      <w:lang w:val="es-ES_tradnl" w:eastAsia="es-ES_tradnl"/>
    </w:rPr>
  </w:style>
  <w:style w:type="paragraph" w:customStyle="1" w:styleId="2AutoList93">
    <w:name w:val="2AutoList9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3">
    <w:name w:val="3AutoList9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3">
    <w:name w:val="4AutoList9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3">
    <w:name w:val="5AutoList9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3">
    <w:name w:val="6AutoList9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3">
    <w:name w:val="7AutoList9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3">
    <w:name w:val="8AutoList9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2">
    <w:name w:val="1AutoList92"/>
    <w:rsid w:val="004E5076"/>
    <w:pPr>
      <w:autoSpaceDE w:val="0"/>
      <w:autoSpaceDN w:val="0"/>
      <w:adjustRightInd w:val="0"/>
    </w:pPr>
    <w:rPr>
      <w:rFonts w:eastAsia="Times New Roman"/>
      <w:sz w:val="24"/>
      <w:szCs w:val="24"/>
      <w:lang w:val="es-ES_tradnl" w:eastAsia="es-ES_tradnl"/>
    </w:rPr>
  </w:style>
  <w:style w:type="paragraph" w:customStyle="1" w:styleId="2AutoList92">
    <w:name w:val="2AutoList9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2">
    <w:name w:val="3AutoList9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2">
    <w:name w:val="4AutoList9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2">
    <w:name w:val="5AutoList9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2">
    <w:name w:val="6AutoList9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2">
    <w:name w:val="7AutoList9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2">
    <w:name w:val="8AutoList9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1">
    <w:name w:val="1AutoList91"/>
    <w:rsid w:val="004E5076"/>
    <w:pPr>
      <w:autoSpaceDE w:val="0"/>
      <w:autoSpaceDN w:val="0"/>
      <w:adjustRightInd w:val="0"/>
    </w:pPr>
    <w:rPr>
      <w:rFonts w:eastAsia="Times New Roman"/>
      <w:sz w:val="24"/>
      <w:szCs w:val="24"/>
      <w:lang w:val="es-ES_tradnl" w:eastAsia="es-ES_tradnl"/>
    </w:rPr>
  </w:style>
  <w:style w:type="paragraph" w:customStyle="1" w:styleId="2AutoList91">
    <w:name w:val="2AutoList9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1">
    <w:name w:val="3AutoList9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1">
    <w:name w:val="4AutoList9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1">
    <w:name w:val="5AutoList9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1">
    <w:name w:val="6AutoList9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1">
    <w:name w:val="7AutoList9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1">
    <w:name w:val="8AutoList9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3">
    <w:name w:val="1AutoList113"/>
    <w:rsid w:val="004E5076"/>
    <w:pPr>
      <w:autoSpaceDE w:val="0"/>
      <w:autoSpaceDN w:val="0"/>
      <w:adjustRightInd w:val="0"/>
    </w:pPr>
    <w:rPr>
      <w:rFonts w:eastAsia="Times New Roman"/>
      <w:sz w:val="24"/>
      <w:szCs w:val="24"/>
      <w:lang w:val="es-ES_tradnl" w:eastAsia="es-ES_tradnl"/>
    </w:rPr>
  </w:style>
  <w:style w:type="paragraph" w:customStyle="1" w:styleId="2AutoList113">
    <w:name w:val="2AutoList11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3">
    <w:name w:val="3AutoList11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3">
    <w:name w:val="4AutoList11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3">
    <w:name w:val="5AutoList11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3">
    <w:name w:val="6AutoList11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3">
    <w:name w:val="7AutoList11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3">
    <w:name w:val="8AutoList11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2">
    <w:name w:val="1AutoList112"/>
    <w:rsid w:val="004E5076"/>
    <w:pPr>
      <w:autoSpaceDE w:val="0"/>
      <w:autoSpaceDN w:val="0"/>
      <w:adjustRightInd w:val="0"/>
    </w:pPr>
    <w:rPr>
      <w:rFonts w:eastAsia="Times New Roman"/>
      <w:sz w:val="24"/>
      <w:szCs w:val="24"/>
      <w:lang w:val="es-ES_tradnl" w:eastAsia="es-ES_tradnl"/>
    </w:rPr>
  </w:style>
  <w:style w:type="paragraph" w:customStyle="1" w:styleId="2AutoList112">
    <w:name w:val="2AutoList11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2">
    <w:name w:val="3AutoList11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2">
    <w:name w:val="4AutoList11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2">
    <w:name w:val="5AutoList11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2">
    <w:name w:val="6AutoList11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2">
    <w:name w:val="7AutoList11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2">
    <w:name w:val="8AutoList11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1">
    <w:name w:val="1AutoList111"/>
    <w:rsid w:val="004E5076"/>
    <w:pPr>
      <w:autoSpaceDE w:val="0"/>
      <w:autoSpaceDN w:val="0"/>
      <w:adjustRightInd w:val="0"/>
    </w:pPr>
    <w:rPr>
      <w:rFonts w:eastAsia="Times New Roman"/>
      <w:sz w:val="24"/>
      <w:szCs w:val="24"/>
      <w:lang w:val="es-ES_tradnl" w:eastAsia="es-ES_tradnl"/>
    </w:rPr>
  </w:style>
  <w:style w:type="paragraph" w:customStyle="1" w:styleId="2AutoList111">
    <w:name w:val="2AutoList11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1">
    <w:name w:val="3AutoList11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1">
    <w:name w:val="4AutoList11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1">
    <w:name w:val="5AutoList11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1">
    <w:name w:val="6AutoList11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1">
    <w:name w:val="7AutoList11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1">
    <w:name w:val="8AutoList11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6">
    <w:name w:val="1AutoList96"/>
    <w:rsid w:val="004E5076"/>
    <w:pPr>
      <w:autoSpaceDE w:val="0"/>
      <w:autoSpaceDN w:val="0"/>
      <w:adjustRightInd w:val="0"/>
    </w:pPr>
    <w:rPr>
      <w:rFonts w:eastAsia="Times New Roman"/>
      <w:sz w:val="24"/>
      <w:szCs w:val="24"/>
      <w:lang w:val="es-ES_tradnl" w:eastAsia="es-ES_tradnl"/>
    </w:rPr>
  </w:style>
  <w:style w:type="paragraph" w:customStyle="1" w:styleId="2AutoList96">
    <w:name w:val="2AutoList9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6">
    <w:name w:val="3AutoList9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6">
    <w:name w:val="4AutoList9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6">
    <w:name w:val="5AutoList9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6">
    <w:name w:val="6AutoList9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6">
    <w:name w:val="7AutoList9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6">
    <w:name w:val="8AutoList9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0">
    <w:name w:val="1AutoList110"/>
    <w:rsid w:val="004E5076"/>
    <w:pPr>
      <w:autoSpaceDE w:val="0"/>
      <w:autoSpaceDN w:val="0"/>
      <w:adjustRightInd w:val="0"/>
    </w:pPr>
    <w:rPr>
      <w:rFonts w:eastAsia="Times New Roman"/>
      <w:sz w:val="24"/>
      <w:szCs w:val="24"/>
      <w:lang w:val="es-ES_tradnl" w:eastAsia="es-ES_tradnl"/>
    </w:rPr>
  </w:style>
  <w:style w:type="paragraph" w:customStyle="1" w:styleId="2AutoList110">
    <w:name w:val="2AutoList11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0">
    <w:name w:val="3AutoList11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0">
    <w:name w:val="4AutoList11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0">
    <w:name w:val="5AutoList11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0">
    <w:name w:val="6AutoList11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0">
    <w:name w:val="7AutoList11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0">
    <w:name w:val="8AutoList11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7">
    <w:name w:val="1AutoList87"/>
    <w:rsid w:val="004E5076"/>
    <w:pPr>
      <w:autoSpaceDE w:val="0"/>
      <w:autoSpaceDN w:val="0"/>
      <w:adjustRightInd w:val="0"/>
    </w:pPr>
    <w:rPr>
      <w:rFonts w:eastAsia="Times New Roman"/>
      <w:sz w:val="24"/>
      <w:szCs w:val="24"/>
      <w:lang w:val="es-ES_tradnl" w:eastAsia="es-ES_tradnl"/>
    </w:rPr>
  </w:style>
  <w:style w:type="paragraph" w:customStyle="1" w:styleId="2AutoList87">
    <w:name w:val="2AutoList8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7">
    <w:name w:val="3AutoList8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7">
    <w:name w:val="4AutoList8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7">
    <w:name w:val="5AutoList8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7">
    <w:name w:val="6AutoList8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7">
    <w:name w:val="7AutoList8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7">
    <w:name w:val="8AutoList8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2">
    <w:name w:val="1AutoList82"/>
    <w:rsid w:val="004E5076"/>
    <w:pPr>
      <w:autoSpaceDE w:val="0"/>
      <w:autoSpaceDN w:val="0"/>
      <w:adjustRightInd w:val="0"/>
    </w:pPr>
    <w:rPr>
      <w:rFonts w:eastAsia="Times New Roman"/>
      <w:sz w:val="24"/>
      <w:szCs w:val="24"/>
      <w:lang w:val="es-ES_tradnl" w:eastAsia="es-ES_tradnl"/>
    </w:rPr>
  </w:style>
  <w:style w:type="paragraph" w:customStyle="1" w:styleId="2AutoList82">
    <w:name w:val="2AutoList8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2">
    <w:name w:val="3AutoList8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2">
    <w:name w:val="4AutoList8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2">
    <w:name w:val="5AutoList8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2">
    <w:name w:val="6AutoList8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2">
    <w:name w:val="7AutoList8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2">
    <w:name w:val="8AutoList8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5">
    <w:name w:val="1AutoList155"/>
    <w:rsid w:val="004E5076"/>
    <w:pPr>
      <w:autoSpaceDE w:val="0"/>
      <w:autoSpaceDN w:val="0"/>
      <w:adjustRightInd w:val="0"/>
    </w:pPr>
    <w:rPr>
      <w:rFonts w:eastAsia="Times New Roman"/>
      <w:sz w:val="24"/>
      <w:szCs w:val="24"/>
      <w:lang w:val="es-ES_tradnl" w:eastAsia="es-ES_tradnl"/>
    </w:rPr>
  </w:style>
  <w:style w:type="paragraph" w:customStyle="1" w:styleId="2AutoList155">
    <w:name w:val="2AutoList15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5">
    <w:name w:val="3AutoList15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5">
    <w:name w:val="4AutoList15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5">
    <w:name w:val="5AutoList15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5">
    <w:name w:val="6AutoList15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5">
    <w:name w:val="7AutoList15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5">
    <w:name w:val="8AutoList15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5">
    <w:name w:val="1AutoList95"/>
    <w:rsid w:val="004E5076"/>
    <w:pPr>
      <w:autoSpaceDE w:val="0"/>
      <w:autoSpaceDN w:val="0"/>
      <w:adjustRightInd w:val="0"/>
    </w:pPr>
    <w:rPr>
      <w:rFonts w:eastAsia="Times New Roman"/>
      <w:sz w:val="24"/>
      <w:szCs w:val="24"/>
      <w:lang w:val="es-ES_tradnl" w:eastAsia="es-ES_tradnl"/>
    </w:rPr>
  </w:style>
  <w:style w:type="paragraph" w:customStyle="1" w:styleId="2AutoList95">
    <w:name w:val="2AutoList9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5">
    <w:name w:val="3AutoList9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5">
    <w:name w:val="4AutoList9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5">
    <w:name w:val="5AutoList9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5">
    <w:name w:val="6AutoList9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5">
    <w:name w:val="7AutoList9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5">
    <w:name w:val="8AutoList9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9">
    <w:name w:val="1AutoList89"/>
    <w:rsid w:val="004E5076"/>
    <w:pPr>
      <w:autoSpaceDE w:val="0"/>
      <w:autoSpaceDN w:val="0"/>
      <w:adjustRightInd w:val="0"/>
    </w:pPr>
    <w:rPr>
      <w:rFonts w:eastAsia="Times New Roman"/>
      <w:sz w:val="24"/>
      <w:szCs w:val="24"/>
      <w:lang w:val="es-ES_tradnl" w:eastAsia="es-ES_tradnl"/>
    </w:rPr>
  </w:style>
  <w:style w:type="paragraph" w:customStyle="1" w:styleId="2AutoList89">
    <w:name w:val="2AutoList8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9">
    <w:name w:val="3AutoList8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9">
    <w:name w:val="4AutoList8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9">
    <w:name w:val="5AutoList8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9">
    <w:name w:val="6AutoList8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9">
    <w:name w:val="7AutoList8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9">
    <w:name w:val="8AutoList8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6">
    <w:name w:val="1AutoList86"/>
    <w:rsid w:val="004E5076"/>
    <w:pPr>
      <w:autoSpaceDE w:val="0"/>
      <w:autoSpaceDN w:val="0"/>
      <w:adjustRightInd w:val="0"/>
    </w:pPr>
    <w:rPr>
      <w:rFonts w:eastAsia="Times New Roman"/>
      <w:sz w:val="24"/>
      <w:szCs w:val="24"/>
      <w:lang w:val="es-ES_tradnl" w:eastAsia="es-ES_tradnl"/>
    </w:rPr>
  </w:style>
  <w:style w:type="paragraph" w:customStyle="1" w:styleId="2AutoList86">
    <w:name w:val="2AutoList8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6">
    <w:name w:val="3AutoList8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6">
    <w:name w:val="4AutoList8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6">
    <w:name w:val="5AutoList8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6">
    <w:name w:val="6AutoList8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6">
    <w:name w:val="7AutoList8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6">
    <w:name w:val="8AutoList8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0">
    <w:name w:val="1AutoList80"/>
    <w:rsid w:val="004E5076"/>
    <w:pPr>
      <w:autoSpaceDE w:val="0"/>
      <w:autoSpaceDN w:val="0"/>
      <w:adjustRightInd w:val="0"/>
    </w:pPr>
    <w:rPr>
      <w:rFonts w:eastAsia="Times New Roman"/>
      <w:sz w:val="24"/>
      <w:szCs w:val="24"/>
      <w:lang w:val="es-ES_tradnl" w:eastAsia="es-ES_tradnl"/>
    </w:rPr>
  </w:style>
  <w:style w:type="paragraph" w:customStyle="1" w:styleId="2AutoList80">
    <w:name w:val="2AutoList8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0">
    <w:name w:val="3AutoList8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0">
    <w:name w:val="4AutoList8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0">
    <w:name w:val="5AutoList8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0">
    <w:name w:val="6AutoList8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0">
    <w:name w:val="7AutoList8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0">
    <w:name w:val="8AutoList8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1">
    <w:name w:val="1AutoList81"/>
    <w:rsid w:val="004E5076"/>
    <w:pPr>
      <w:autoSpaceDE w:val="0"/>
      <w:autoSpaceDN w:val="0"/>
      <w:adjustRightInd w:val="0"/>
    </w:pPr>
    <w:rPr>
      <w:rFonts w:eastAsia="Times New Roman"/>
      <w:sz w:val="24"/>
      <w:szCs w:val="24"/>
      <w:lang w:val="es-ES_tradnl" w:eastAsia="es-ES_tradnl"/>
    </w:rPr>
  </w:style>
  <w:style w:type="paragraph" w:customStyle="1" w:styleId="2AutoList81">
    <w:name w:val="2AutoList8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1">
    <w:name w:val="3AutoList8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1">
    <w:name w:val="4AutoList8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1">
    <w:name w:val="5AutoList8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1">
    <w:name w:val="6AutoList8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1">
    <w:name w:val="7AutoList8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1">
    <w:name w:val="8AutoList8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9">
    <w:name w:val="1AutoList79"/>
    <w:rsid w:val="004E5076"/>
    <w:pPr>
      <w:autoSpaceDE w:val="0"/>
      <w:autoSpaceDN w:val="0"/>
      <w:adjustRightInd w:val="0"/>
    </w:pPr>
    <w:rPr>
      <w:rFonts w:eastAsia="Times New Roman"/>
      <w:sz w:val="24"/>
      <w:szCs w:val="24"/>
      <w:lang w:val="es-ES_tradnl" w:eastAsia="es-ES_tradnl"/>
    </w:rPr>
  </w:style>
  <w:style w:type="paragraph" w:customStyle="1" w:styleId="2AutoList79">
    <w:name w:val="2AutoList7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9">
    <w:name w:val="3AutoList7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9">
    <w:name w:val="4AutoList7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9">
    <w:name w:val="5AutoList7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9">
    <w:name w:val="6AutoList7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9">
    <w:name w:val="7AutoList7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9">
    <w:name w:val="8AutoList7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9">
    <w:name w:val="1AutoList109"/>
    <w:rsid w:val="004E5076"/>
    <w:pPr>
      <w:autoSpaceDE w:val="0"/>
      <w:autoSpaceDN w:val="0"/>
      <w:adjustRightInd w:val="0"/>
    </w:pPr>
    <w:rPr>
      <w:rFonts w:eastAsia="Times New Roman"/>
      <w:sz w:val="24"/>
      <w:szCs w:val="24"/>
      <w:lang w:val="es-ES_tradnl" w:eastAsia="es-ES_tradnl"/>
    </w:rPr>
  </w:style>
  <w:style w:type="paragraph" w:customStyle="1" w:styleId="2AutoList109">
    <w:name w:val="2AutoList10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9">
    <w:name w:val="3AutoList10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9">
    <w:name w:val="4AutoList10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9">
    <w:name w:val="5AutoList10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9">
    <w:name w:val="6AutoList10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9">
    <w:name w:val="7AutoList10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9">
    <w:name w:val="8AutoList10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4">
    <w:name w:val="1AutoList84"/>
    <w:rsid w:val="004E5076"/>
    <w:pPr>
      <w:autoSpaceDE w:val="0"/>
      <w:autoSpaceDN w:val="0"/>
      <w:adjustRightInd w:val="0"/>
    </w:pPr>
    <w:rPr>
      <w:rFonts w:eastAsia="Times New Roman"/>
      <w:sz w:val="24"/>
      <w:szCs w:val="24"/>
      <w:lang w:val="es-ES_tradnl" w:eastAsia="es-ES_tradnl"/>
    </w:rPr>
  </w:style>
  <w:style w:type="paragraph" w:customStyle="1" w:styleId="2AutoList84">
    <w:name w:val="2AutoList8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4">
    <w:name w:val="3AutoList8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4">
    <w:name w:val="4AutoList8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4">
    <w:name w:val="5AutoList8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4">
    <w:name w:val="6AutoList8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4">
    <w:name w:val="7AutoList8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4">
    <w:name w:val="8AutoList8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8">
    <w:name w:val="1AutoList78"/>
    <w:rsid w:val="004E5076"/>
    <w:pPr>
      <w:autoSpaceDE w:val="0"/>
      <w:autoSpaceDN w:val="0"/>
      <w:adjustRightInd w:val="0"/>
    </w:pPr>
    <w:rPr>
      <w:rFonts w:eastAsia="Times New Roman"/>
      <w:sz w:val="24"/>
      <w:szCs w:val="24"/>
      <w:lang w:val="es-ES_tradnl" w:eastAsia="es-ES_tradnl"/>
    </w:rPr>
  </w:style>
  <w:style w:type="paragraph" w:customStyle="1" w:styleId="2AutoList78">
    <w:name w:val="2AutoList7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8">
    <w:name w:val="3AutoList7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8">
    <w:name w:val="4AutoList7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8">
    <w:name w:val="5AutoList7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8">
    <w:name w:val="6AutoList7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8">
    <w:name w:val="7AutoList7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8">
    <w:name w:val="8AutoList7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6">
    <w:name w:val="1AutoList76"/>
    <w:rsid w:val="004E5076"/>
    <w:pPr>
      <w:autoSpaceDE w:val="0"/>
      <w:autoSpaceDN w:val="0"/>
      <w:adjustRightInd w:val="0"/>
    </w:pPr>
    <w:rPr>
      <w:rFonts w:eastAsia="Times New Roman"/>
      <w:sz w:val="24"/>
      <w:szCs w:val="24"/>
      <w:lang w:val="es-ES_tradnl" w:eastAsia="es-ES_tradnl"/>
    </w:rPr>
  </w:style>
  <w:style w:type="paragraph" w:customStyle="1" w:styleId="2AutoList76">
    <w:name w:val="2AutoList7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6">
    <w:name w:val="3AutoList7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6">
    <w:name w:val="4AutoList7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6">
    <w:name w:val="5AutoList7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6">
    <w:name w:val="6AutoList7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6">
    <w:name w:val="7AutoList7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6">
    <w:name w:val="8AutoList7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5">
    <w:name w:val="1AutoList75"/>
    <w:rsid w:val="004E5076"/>
    <w:pPr>
      <w:autoSpaceDE w:val="0"/>
      <w:autoSpaceDN w:val="0"/>
      <w:adjustRightInd w:val="0"/>
    </w:pPr>
    <w:rPr>
      <w:rFonts w:eastAsia="Times New Roman"/>
      <w:sz w:val="24"/>
      <w:szCs w:val="24"/>
      <w:lang w:val="es-ES_tradnl" w:eastAsia="es-ES_tradnl"/>
    </w:rPr>
  </w:style>
  <w:style w:type="paragraph" w:customStyle="1" w:styleId="2AutoList75">
    <w:name w:val="2AutoList7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5">
    <w:name w:val="3AutoList7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5">
    <w:name w:val="4AutoList7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5">
    <w:name w:val="5AutoList7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5">
    <w:name w:val="6AutoList7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5">
    <w:name w:val="7AutoList7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5">
    <w:name w:val="8AutoList7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4">
    <w:name w:val="1AutoList74"/>
    <w:rsid w:val="004E5076"/>
    <w:pPr>
      <w:autoSpaceDE w:val="0"/>
      <w:autoSpaceDN w:val="0"/>
      <w:adjustRightInd w:val="0"/>
    </w:pPr>
    <w:rPr>
      <w:rFonts w:eastAsia="Times New Roman"/>
      <w:sz w:val="24"/>
      <w:szCs w:val="24"/>
      <w:lang w:val="es-ES_tradnl" w:eastAsia="es-ES_tradnl"/>
    </w:rPr>
  </w:style>
  <w:style w:type="paragraph" w:customStyle="1" w:styleId="2AutoList74">
    <w:name w:val="2AutoList7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4">
    <w:name w:val="3AutoList7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4">
    <w:name w:val="4AutoList7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4">
    <w:name w:val="5AutoList7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4">
    <w:name w:val="6AutoList7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4">
    <w:name w:val="7AutoList7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4">
    <w:name w:val="8AutoList7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3">
    <w:name w:val="1AutoList73"/>
    <w:rsid w:val="004E5076"/>
    <w:pPr>
      <w:autoSpaceDE w:val="0"/>
      <w:autoSpaceDN w:val="0"/>
      <w:adjustRightInd w:val="0"/>
    </w:pPr>
    <w:rPr>
      <w:rFonts w:eastAsia="Times New Roman"/>
      <w:sz w:val="24"/>
      <w:szCs w:val="24"/>
      <w:lang w:val="es-ES_tradnl" w:eastAsia="es-ES_tradnl"/>
    </w:rPr>
  </w:style>
  <w:style w:type="paragraph" w:customStyle="1" w:styleId="2AutoList73">
    <w:name w:val="2AutoList7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3">
    <w:name w:val="3AutoList7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3">
    <w:name w:val="4AutoList7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3">
    <w:name w:val="5AutoList7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3">
    <w:name w:val="6AutoList7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3">
    <w:name w:val="7AutoList7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3">
    <w:name w:val="8AutoList7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2">
    <w:name w:val="1AutoList72"/>
    <w:rsid w:val="004E5076"/>
    <w:pPr>
      <w:autoSpaceDE w:val="0"/>
      <w:autoSpaceDN w:val="0"/>
      <w:adjustRightInd w:val="0"/>
    </w:pPr>
    <w:rPr>
      <w:rFonts w:eastAsia="Times New Roman"/>
      <w:sz w:val="24"/>
      <w:szCs w:val="24"/>
      <w:lang w:val="es-ES_tradnl" w:eastAsia="es-ES_tradnl"/>
    </w:rPr>
  </w:style>
  <w:style w:type="paragraph" w:customStyle="1" w:styleId="2AutoList72">
    <w:name w:val="2AutoList7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2">
    <w:name w:val="3AutoList7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2">
    <w:name w:val="4AutoList7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2">
    <w:name w:val="5AutoList7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2">
    <w:name w:val="6AutoList7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2">
    <w:name w:val="7AutoList7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2">
    <w:name w:val="8AutoList7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1">
    <w:name w:val="1AutoList71"/>
    <w:rsid w:val="004E5076"/>
    <w:pPr>
      <w:autoSpaceDE w:val="0"/>
      <w:autoSpaceDN w:val="0"/>
      <w:adjustRightInd w:val="0"/>
    </w:pPr>
    <w:rPr>
      <w:rFonts w:eastAsia="Times New Roman"/>
      <w:sz w:val="24"/>
      <w:szCs w:val="24"/>
      <w:lang w:val="es-ES_tradnl" w:eastAsia="es-ES_tradnl"/>
    </w:rPr>
  </w:style>
  <w:style w:type="paragraph" w:customStyle="1" w:styleId="2AutoList71">
    <w:name w:val="2AutoList7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1">
    <w:name w:val="3AutoList7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1">
    <w:name w:val="4AutoList7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1">
    <w:name w:val="5AutoList7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1">
    <w:name w:val="6AutoList7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1">
    <w:name w:val="7AutoList7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1">
    <w:name w:val="8AutoList7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0">
    <w:name w:val="1AutoList70"/>
    <w:rsid w:val="004E5076"/>
    <w:pPr>
      <w:autoSpaceDE w:val="0"/>
      <w:autoSpaceDN w:val="0"/>
      <w:adjustRightInd w:val="0"/>
    </w:pPr>
    <w:rPr>
      <w:rFonts w:eastAsia="Times New Roman"/>
      <w:sz w:val="24"/>
      <w:szCs w:val="24"/>
      <w:lang w:val="es-ES_tradnl" w:eastAsia="es-ES_tradnl"/>
    </w:rPr>
  </w:style>
  <w:style w:type="paragraph" w:customStyle="1" w:styleId="2AutoList70">
    <w:name w:val="2AutoList7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0">
    <w:name w:val="3AutoList7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0">
    <w:name w:val="4AutoList7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0">
    <w:name w:val="5AutoList7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0">
    <w:name w:val="6AutoList7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0">
    <w:name w:val="7AutoList7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0">
    <w:name w:val="8AutoList7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9">
    <w:name w:val="1AutoList69"/>
    <w:rsid w:val="004E5076"/>
    <w:pPr>
      <w:autoSpaceDE w:val="0"/>
      <w:autoSpaceDN w:val="0"/>
      <w:adjustRightInd w:val="0"/>
    </w:pPr>
    <w:rPr>
      <w:rFonts w:eastAsia="Times New Roman"/>
      <w:sz w:val="24"/>
      <w:szCs w:val="24"/>
      <w:lang w:val="es-ES_tradnl" w:eastAsia="es-ES_tradnl"/>
    </w:rPr>
  </w:style>
  <w:style w:type="paragraph" w:customStyle="1" w:styleId="2AutoList69">
    <w:name w:val="2AutoList6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9">
    <w:name w:val="3AutoList6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9">
    <w:name w:val="4AutoList6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9">
    <w:name w:val="5AutoList6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9">
    <w:name w:val="6AutoList6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9">
    <w:name w:val="7AutoList6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9">
    <w:name w:val="8AutoList6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7">
    <w:name w:val="1AutoList77"/>
    <w:rsid w:val="004E5076"/>
    <w:pPr>
      <w:autoSpaceDE w:val="0"/>
      <w:autoSpaceDN w:val="0"/>
      <w:adjustRightInd w:val="0"/>
    </w:pPr>
    <w:rPr>
      <w:rFonts w:eastAsia="Times New Roman"/>
      <w:sz w:val="24"/>
      <w:szCs w:val="24"/>
      <w:lang w:val="es-ES_tradnl" w:eastAsia="es-ES_tradnl"/>
    </w:rPr>
  </w:style>
  <w:style w:type="paragraph" w:customStyle="1" w:styleId="2AutoList77">
    <w:name w:val="2AutoList7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7">
    <w:name w:val="3AutoList7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7">
    <w:name w:val="4AutoList7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7">
    <w:name w:val="5AutoList7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7">
    <w:name w:val="6AutoList7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7">
    <w:name w:val="7AutoList7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7">
    <w:name w:val="8AutoList7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8">
    <w:name w:val="1AutoList68"/>
    <w:rsid w:val="004E5076"/>
    <w:pPr>
      <w:autoSpaceDE w:val="0"/>
      <w:autoSpaceDN w:val="0"/>
      <w:adjustRightInd w:val="0"/>
    </w:pPr>
    <w:rPr>
      <w:rFonts w:eastAsia="Times New Roman"/>
      <w:sz w:val="24"/>
      <w:szCs w:val="24"/>
      <w:lang w:val="es-ES_tradnl" w:eastAsia="es-ES_tradnl"/>
    </w:rPr>
  </w:style>
  <w:style w:type="paragraph" w:customStyle="1" w:styleId="2AutoList68">
    <w:name w:val="2AutoList6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8">
    <w:name w:val="3AutoList6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8">
    <w:name w:val="4AutoList6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8">
    <w:name w:val="5AutoList6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8">
    <w:name w:val="6AutoList6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8">
    <w:name w:val="7AutoList6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8">
    <w:name w:val="8AutoList6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7">
    <w:name w:val="1AutoList67"/>
    <w:rsid w:val="004E5076"/>
    <w:pPr>
      <w:autoSpaceDE w:val="0"/>
      <w:autoSpaceDN w:val="0"/>
      <w:adjustRightInd w:val="0"/>
    </w:pPr>
    <w:rPr>
      <w:rFonts w:eastAsia="Times New Roman"/>
      <w:sz w:val="24"/>
      <w:szCs w:val="24"/>
      <w:lang w:val="es-ES_tradnl" w:eastAsia="es-ES_tradnl"/>
    </w:rPr>
  </w:style>
  <w:style w:type="paragraph" w:customStyle="1" w:styleId="2AutoList67">
    <w:name w:val="2AutoList6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7">
    <w:name w:val="3AutoList6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7">
    <w:name w:val="4AutoList6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7">
    <w:name w:val="5AutoList6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7">
    <w:name w:val="6AutoList6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7">
    <w:name w:val="7AutoList6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7">
    <w:name w:val="8AutoList6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6">
    <w:name w:val="1AutoList66"/>
    <w:rsid w:val="004E5076"/>
    <w:pPr>
      <w:autoSpaceDE w:val="0"/>
      <w:autoSpaceDN w:val="0"/>
      <w:adjustRightInd w:val="0"/>
    </w:pPr>
    <w:rPr>
      <w:rFonts w:eastAsia="Times New Roman"/>
      <w:sz w:val="24"/>
      <w:szCs w:val="24"/>
      <w:lang w:val="es-ES_tradnl" w:eastAsia="es-ES_tradnl"/>
    </w:rPr>
  </w:style>
  <w:style w:type="paragraph" w:customStyle="1" w:styleId="2AutoList66">
    <w:name w:val="2AutoList6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6">
    <w:name w:val="3AutoList6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6">
    <w:name w:val="4AutoList6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6">
    <w:name w:val="5AutoList6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6">
    <w:name w:val="6AutoList6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6">
    <w:name w:val="7AutoList6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6">
    <w:name w:val="8AutoList6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4">
    <w:name w:val="1AutoList124"/>
    <w:rsid w:val="004E5076"/>
    <w:pPr>
      <w:autoSpaceDE w:val="0"/>
      <w:autoSpaceDN w:val="0"/>
      <w:adjustRightInd w:val="0"/>
    </w:pPr>
    <w:rPr>
      <w:rFonts w:eastAsia="Times New Roman"/>
      <w:sz w:val="24"/>
      <w:szCs w:val="24"/>
      <w:lang w:val="es-ES_tradnl" w:eastAsia="es-ES_tradnl"/>
    </w:rPr>
  </w:style>
  <w:style w:type="paragraph" w:customStyle="1" w:styleId="2AutoList124">
    <w:name w:val="2AutoList12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4">
    <w:name w:val="3AutoList12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4">
    <w:name w:val="4AutoList12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4">
    <w:name w:val="5AutoList12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4">
    <w:name w:val="6AutoList12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4">
    <w:name w:val="7AutoList12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4">
    <w:name w:val="8AutoList12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5">
    <w:name w:val="1AutoList65"/>
    <w:rsid w:val="004E5076"/>
    <w:pPr>
      <w:autoSpaceDE w:val="0"/>
      <w:autoSpaceDN w:val="0"/>
      <w:adjustRightInd w:val="0"/>
    </w:pPr>
    <w:rPr>
      <w:rFonts w:eastAsia="Times New Roman"/>
      <w:sz w:val="24"/>
      <w:szCs w:val="24"/>
      <w:lang w:val="es-ES_tradnl" w:eastAsia="es-ES_tradnl"/>
    </w:rPr>
  </w:style>
  <w:style w:type="paragraph" w:customStyle="1" w:styleId="2AutoList65">
    <w:name w:val="2AutoList6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5">
    <w:name w:val="3AutoList6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5">
    <w:name w:val="4AutoList6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5">
    <w:name w:val="5AutoList6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5">
    <w:name w:val="6AutoList6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5">
    <w:name w:val="7AutoList6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5">
    <w:name w:val="8AutoList6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4">
    <w:name w:val="1AutoList64"/>
    <w:rsid w:val="004E5076"/>
    <w:pPr>
      <w:autoSpaceDE w:val="0"/>
      <w:autoSpaceDN w:val="0"/>
      <w:adjustRightInd w:val="0"/>
    </w:pPr>
    <w:rPr>
      <w:rFonts w:eastAsia="Times New Roman"/>
      <w:sz w:val="24"/>
      <w:szCs w:val="24"/>
      <w:lang w:val="es-ES_tradnl" w:eastAsia="es-ES_tradnl"/>
    </w:rPr>
  </w:style>
  <w:style w:type="paragraph" w:customStyle="1" w:styleId="2AutoList64">
    <w:name w:val="2AutoList6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4">
    <w:name w:val="3AutoList6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4">
    <w:name w:val="4AutoList6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4">
    <w:name w:val="5AutoList6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4">
    <w:name w:val="6AutoList6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4">
    <w:name w:val="7AutoList6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4">
    <w:name w:val="8AutoList6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3">
    <w:name w:val="1AutoList83"/>
    <w:rsid w:val="004E5076"/>
    <w:pPr>
      <w:autoSpaceDE w:val="0"/>
      <w:autoSpaceDN w:val="0"/>
      <w:adjustRightInd w:val="0"/>
    </w:pPr>
    <w:rPr>
      <w:rFonts w:eastAsia="Times New Roman"/>
      <w:sz w:val="24"/>
      <w:szCs w:val="24"/>
      <w:lang w:val="es-ES_tradnl" w:eastAsia="es-ES_tradnl"/>
    </w:rPr>
  </w:style>
  <w:style w:type="paragraph" w:customStyle="1" w:styleId="2AutoList83">
    <w:name w:val="2AutoList8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3">
    <w:name w:val="3AutoList8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3">
    <w:name w:val="4AutoList8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3">
    <w:name w:val="5AutoList8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3">
    <w:name w:val="6AutoList8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3">
    <w:name w:val="7AutoList8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3">
    <w:name w:val="8AutoList8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5">
    <w:name w:val="1AutoList85"/>
    <w:rsid w:val="004E5076"/>
    <w:pPr>
      <w:autoSpaceDE w:val="0"/>
      <w:autoSpaceDN w:val="0"/>
      <w:adjustRightInd w:val="0"/>
    </w:pPr>
    <w:rPr>
      <w:rFonts w:eastAsia="Times New Roman"/>
      <w:sz w:val="24"/>
      <w:szCs w:val="24"/>
      <w:lang w:val="es-ES_tradnl" w:eastAsia="es-ES_tradnl"/>
    </w:rPr>
  </w:style>
  <w:style w:type="paragraph" w:customStyle="1" w:styleId="2AutoList85">
    <w:name w:val="2AutoList8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5">
    <w:name w:val="3AutoList8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5">
    <w:name w:val="4AutoList8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5">
    <w:name w:val="5AutoList8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5">
    <w:name w:val="6AutoList8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5">
    <w:name w:val="7AutoList8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5">
    <w:name w:val="8AutoList8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3">
    <w:name w:val="1AutoList123"/>
    <w:rsid w:val="004E5076"/>
    <w:pPr>
      <w:autoSpaceDE w:val="0"/>
      <w:autoSpaceDN w:val="0"/>
      <w:adjustRightInd w:val="0"/>
    </w:pPr>
    <w:rPr>
      <w:rFonts w:eastAsia="Times New Roman"/>
      <w:sz w:val="24"/>
      <w:szCs w:val="24"/>
      <w:lang w:val="es-ES_tradnl" w:eastAsia="es-ES_tradnl"/>
    </w:rPr>
  </w:style>
  <w:style w:type="paragraph" w:customStyle="1" w:styleId="2AutoList123">
    <w:name w:val="2AutoList12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3">
    <w:name w:val="3AutoList12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3">
    <w:name w:val="4AutoList12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3">
    <w:name w:val="5AutoList12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3">
    <w:name w:val="6AutoList12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3">
    <w:name w:val="7AutoList12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3">
    <w:name w:val="8AutoList12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4">
    <w:name w:val="1AutoList194"/>
    <w:rsid w:val="004E5076"/>
    <w:pPr>
      <w:autoSpaceDE w:val="0"/>
      <w:autoSpaceDN w:val="0"/>
      <w:adjustRightInd w:val="0"/>
    </w:pPr>
    <w:rPr>
      <w:rFonts w:eastAsia="Times New Roman"/>
      <w:sz w:val="24"/>
      <w:szCs w:val="24"/>
      <w:lang w:val="es-ES_tradnl" w:eastAsia="es-ES_tradnl"/>
    </w:rPr>
  </w:style>
  <w:style w:type="paragraph" w:customStyle="1" w:styleId="2AutoList194">
    <w:name w:val="2AutoList19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4">
    <w:name w:val="3AutoList19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4">
    <w:name w:val="4AutoList19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4">
    <w:name w:val="5AutoList19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4">
    <w:name w:val="6AutoList19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4">
    <w:name w:val="7AutoList19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4">
    <w:name w:val="8AutoList19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3">
    <w:name w:val="1AutoList63"/>
    <w:rsid w:val="004E5076"/>
    <w:pPr>
      <w:autoSpaceDE w:val="0"/>
      <w:autoSpaceDN w:val="0"/>
      <w:adjustRightInd w:val="0"/>
    </w:pPr>
    <w:rPr>
      <w:rFonts w:eastAsia="Times New Roman"/>
      <w:sz w:val="24"/>
      <w:szCs w:val="24"/>
      <w:lang w:val="es-ES_tradnl" w:eastAsia="es-ES_tradnl"/>
    </w:rPr>
  </w:style>
  <w:style w:type="paragraph" w:customStyle="1" w:styleId="2AutoList63">
    <w:name w:val="2AutoList6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3">
    <w:name w:val="3AutoList6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3">
    <w:name w:val="4AutoList6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3">
    <w:name w:val="5AutoList6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3">
    <w:name w:val="6AutoList6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3">
    <w:name w:val="7AutoList6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3">
    <w:name w:val="8AutoList6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0">
    <w:name w:val="1AutoList90"/>
    <w:rsid w:val="004E5076"/>
    <w:pPr>
      <w:autoSpaceDE w:val="0"/>
      <w:autoSpaceDN w:val="0"/>
      <w:adjustRightInd w:val="0"/>
    </w:pPr>
    <w:rPr>
      <w:rFonts w:eastAsia="Times New Roman"/>
      <w:sz w:val="24"/>
      <w:szCs w:val="24"/>
      <w:lang w:val="es-ES_tradnl" w:eastAsia="es-ES_tradnl"/>
    </w:rPr>
  </w:style>
  <w:style w:type="paragraph" w:customStyle="1" w:styleId="2AutoList90">
    <w:name w:val="2AutoList9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0">
    <w:name w:val="3AutoList9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0">
    <w:name w:val="4AutoList9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0">
    <w:name w:val="5AutoList9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0">
    <w:name w:val="6AutoList9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0">
    <w:name w:val="7AutoList9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0">
    <w:name w:val="8AutoList9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3">
    <w:name w:val="1AutoList193"/>
    <w:rsid w:val="004E5076"/>
    <w:pPr>
      <w:autoSpaceDE w:val="0"/>
      <w:autoSpaceDN w:val="0"/>
      <w:adjustRightInd w:val="0"/>
    </w:pPr>
    <w:rPr>
      <w:rFonts w:eastAsia="Times New Roman"/>
      <w:sz w:val="24"/>
      <w:szCs w:val="24"/>
      <w:lang w:val="es-ES_tradnl" w:eastAsia="es-ES_tradnl"/>
    </w:rPr>
  </w:style>
  <w:style w:type="paragraph" w:customStyle="1" w:styleId="2AutoList193">
    <w:name w:val="2AutoList19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3">
    <w:name w:val="3AutoList19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3">
    <w:name w:val="4AutoList19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3">
    <w:name w:val="5AutoList19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3">
    <w:name w:val="6AutoList19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3">
    <w:name w:val="7AutoList19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3">
    <w:name w:val="8AutoList19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2">
    <w:name w:val="1AutoList62"/>
    <w:rsid w:val="004E5076"/>
    <w:pPr>
      <w:autoSpaceDE w:val="0"/>
      <w:autoSpaceDN w:val="0"/>
      <w:adjustRightInd w:val="0"/>
    </w:pPr>
    <w:rPr>
      <w:rFonts w:eastAsia="Times New Roman"/>
      <w:sz w:val="24"/>
      <w:szCs w:val="24"/>
      <w:lang w:val="es-ES_tradnl" w:eastAsia="es-ES_tradnl"/>
    </w:rPr>
  </w:style>
  <w:style w:type="paragraph" w:customStyle="1" w:styleId="2AutoList62">
    <w:name w:val="2AutoList6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2">
    <w:name w:val="3AutoList6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2">
    <w:name w:val="4AutoList6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2">
    <w:name w:val="5AutoList6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2">
    <w:name w:val="6AutoList6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2">
    <w:name w:val="7AutoList6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2">
    <w:name w:val="8AutoList6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1">
    <w:name w:val="1AutoList61"/>
    <w:rsid w:val="004E5076"/>
    <w:pPr>
      <w:autoSpaceDE w:val="0"/>
      <w:autoSpaceDN w:val="0"/>
      <w:adjustRightInd w:val="0"/>
    </w:pPr>
    <w:rPr>
      <w:rFonts w:eastAsia="Times New Roman"/>
      <w:sz w:val="24"/>
      <w:szCs w:val="24"/>
      <w:lang w:val="es-ES_tradnl" w:eastAsia="es-ES_tradnl"/>
    </w:rPr>
  </w:style>
  <w:style w:type="paragraph" w:customStyle="1" w:styleId="2AutoList61">
    <w:name w:val="2AutoList6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1">
    <w:name w:val="3AutoList6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1">
    <w:name w:val="4AutoList6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1">
    <w:name w:val="5AutoList6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1">
    <w:name w:val="6AutoList6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1">
    <w:name w:val="7AutoList6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1">
    <w:name w:val="8AutoList6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0">
    <w:name w:val="1AutoList60"/>
    <w:rsid w:val="004E5076"/>
    <w:pPr>
      <w:autoSpaceDE w:val="0"/>
      <w:autoSpaceDN w:val="0"/>
      <w:adjustRightInd w:val="0"/>
    </w:pPr>
    <w:rPr>
      <w:rFonts w:eastAsia="Times New Roman"/>
      <w:sz w:val="24"/>
      <w:szCs w:val="24"/>
      <w:lang w:val="es-ES_tradnl" w:eastAsia="es-ES_tradnl"/>
    </w:rPr>
  </w:style>
  <w:style w:type="paragraph" w:customStyle="1" w:styleId="2AutoList60">
    <w:name w:val="2AutoList6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0">
    <w:name w:val="3AutoList6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0">
    <w:name w:val="4AutoList6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0">
    <w:name w:val="5AutoList6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0">
    <w:name w:val="6AutoList6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0">
    <w:name w:val="7AutoList6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0">
    <w:name w:val="8AutoList6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9">
    <w:name w:val="1AutoList59"/>
    <w:rsid w:val="004E5076"/>
    <w:pPr>
      <w:autoSpaceDE w:val="0"/>
      <w:autoSpaceDN w:val="0"/>
      <w:adjustRightInd w:val="0"/>
    </w:pPr>
    <w:rPr>
      <w:rFonts w:eastAsia="Times New Roman"/>
      <w:sz w:val="24"/>
      <w:szCs w:val="24"/>
      <w:lang w:val="es-ES_tradnl" w:eastAsia="es-ES_tradnl"/>
    </w:rPr>
  </w:style>
  <w:style w:type="paragraph" w:customStyle="1" w:styleId="2AutoList59">
    <w:name w:val="2AutoList5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9">
    <w:name w:val="3AutoList5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9">
    <w:name w:val="4AutoList5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9">
    <w:name w:val="5AutoList5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9">
    <w:name w:val="6AutoList5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9">
    <w:name w:val="7AutoList5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9">
    <w:name w:val="8AutoList5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8">
    <w:name w:val="1AutoList58"/>
    <w:rsid w:val="004E5076"/>
    <w:pPr>
      <w:autoSpaceDE w:val="0"/>
      <w:autoSpaceDN w:val="0"/>
      <w:adjustRightInd w:val="0"/>
    </w:pPr>
    <w:rPr>
      <w:rFonts w:eastAsia="Times New Roman"/>
      <w:sz w:val="24"/>
      <w:szCs w:val="24"/>
      <w:lang w:val="es-ES_tradnl" w:eastAsia="es-ES_tradnl"/>
    </w:rPr>
  </w:style>
  <w:style w:type="paragraph" w:customStyle="1" w:styleId="2AutoList58">
    <w:name w:val="2AutoList5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8">
    <w:name w:val="3AutoList5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8">
    <w:name w:val="4AutoList5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8">
    <w:name w:val="5AutoList5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8">
    <w:name w:val="6AutoList5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8">
    <w:name w:val="7AutoList5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8">
    <w:name w:val="8AutoList5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7">
    <w:name w:val="1AutoList57"/>
    <w:rsid w:val="004E5076"/>
    <w:pPr>
      <w:autoSpaceDE w:val="0"/>
      <w:autoSpaceDN w:val="0"/>
      <w:adjustRightInd w:val="0"/>
    </w:pPr>
    <w:rPr>
      <w:rFonts w:eastAsia="Times New Roman"/>
      <w:sz w:val="24"/>
      <w:szCs w:val="24"/>
      <w:lang w:val="es-ES_tradnl" w:eastAsia="es-ES_tradnl"/>
    </w:rPr>
  </w:style>
  <w:style w:type="paragraph" w:customStyle="1" w:styleId="2AutoList57">
    <w:name w:val="2AutoList5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7">
    <w:name w:val="3AutoList5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7">
    <w:name w:val="4AutoList5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7">
    <w:name w:val="5AutoList5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7">
    <w:name w:val="6AutoList5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7">
    <w:name w:val="7AutoList5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7">
    <w:name w:val="8AutoList5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6">
    <w:name w:val="1AutoList56"/>
    <w:rsid w:val="004E5076"/>
    <w:pPr>
      <w:autoSpaceDE w:val="0"/>
      <w:autoSpaceDN w:val="0"/>
      <w:adjustRightInd w:val="0"/>
    </w:pPr>
    <w:rPr>
      <w:rFonts w:eastAsia="Times New Roman"/>
      <w:sz w:val="24"/>
      <w:szCs w:val="24"/>
      <w:lang w:val="es-ES_tradnl" w:eastAsia="es-ES_tradnl"/>
    </w:rPr>
  </w:style>
  <w:style w:type="paragraph" w:customStyle="1" w:styleId="2AutoList56">
    <w:name w:val="2AutoList5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6">
    <w:name w:val="3AutoList5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6">
    <w:name w:val="4AutoList5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6">
    <w:name w:val="5AutoList5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6">
    <w:name w:val="6AutoList5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6">
    <w:name w:val="7AutoList5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6">
    <w:name w:val="8AutoList5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5">
    <w:name w:val="1AutoList55"/>
    <w:rsid w:val="004E5076"/>
    <w:pPr>
      <w:autoSpaceDE w:val="0"/>
      <w:autoSpaceDN w:val="0"/>
      <w:adjustRightInd w:val="0"/>
    </w:pPr>
    <w:rPr>
      <w:rFonts w:eastAsia="Times New Roman"/>
      <w:sz w:val="24"/>
      <w:szCs w:val="24"/>
      <w:lang w:val="es-ES_tradnl" w:eastAsia="es-ES_tradnl"/>
    </w:rPr>
  </w:style>
  <w:style w:type="paragraph" w:customStyle="1" w:styleId="2AutoList55">
    <w:name w:val="2AutoList5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5">
    <w:name w:val="3AutoList5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5">
    <w:name w:val="4AutoList5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5">
    <w:name w:val="5AutoList5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5">
    <w:name w:val="6AutoList5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5">
    <w:name w:val="7AutoList5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5">
    <w:name w:val="8AutoList5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4">
    <w:name w:val="1AutoList54"/>
    <w:rsid w:val="004E5076"/>
    <w:pPr>
      <w:autoSpaceDE w:val="0"/>
      <w:autoSpaceDN w:val="0"/>
      <w:adjustRightInd w:val="0"/>
    </w:pPr>
    <w:rPr>
      <w:rFonts w:eastAsia="Times New Roman"/>
      <w:sz w:val="24"/>
      <w:szCs w:val="24"/>
      <w:lang w:val="es-ES_tradnl" w:eastAsia="es-ES_tradnl"/>
    </w:rPr>
  </w:style>
  <w:style w:type="paragraph" w:customStyle="1" w:styleId="2AutoList54">
    <w:name w:val="2AutoList5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4">
    <w:name w:val="3AutoList5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4">
    <w:name w:val="4AutoList5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4">
    <w:name w:val="5AutoList5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4">
    <w:name w:val="6AutoList5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4">
    <w:name w:val="7AutoList5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4">
    <w:name w:val="8AutoList5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3">
    <w:name w:val="1AutoList53"/>
    <w:rsid w:val="004E5076"/>
    <w:pPr>
      <w:autoSpaceDE w:val="0"/>
      <w:autoSpaceDN w:val="0"/>
      <w:adjustRightInd w:val="0"/>
    </w:pPr>
    <w:rPr>
      <w:rFonts w:eastAsia="Times New Roman"/>
      <w:sz w:val="24"/>
      <w:szCs w:val="24"/>
      <w:lang w:val="es-ES_tradnl" w:eastAsia="es-ES_tradnl"/>
    </w:rPr>
  </w:style>
  <w:style w:type="paragraph" w:customStyle="1" w:styleId="2AutoList53">
    <w:name w:val="2AutoList5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3">
    <w:name w:val="3AutoList5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3">
    <w:name w:val="4AutoList5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3">
    <w:name w:val="5AutoList5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3">
    <w:name w:val="6AutoList5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3">
    <w:name w:val="7AutoList5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3">
    <w:name w:val="8AutoList5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2">
    <w:name w:val="1AutoList52"/>
    <w:rsid w:val="004E5076"/>
    <w:pPr>
      <w:autoSpaceDE w:val="0"/>
      <w:autoSpaceDN w:val="0"/>
      <w:adjustRightInd w:val="0"/>
    </w:pPr>
    <w:rPr>
      <w:rFonts w:eastAsia="Times New Roman"/>
      <w:sz w:val="24"/>
      <w:szCs w:val="24"/>
      <w:lang w:val="es-ES_tradnl" w:eastAsia="es-ES_tradnl"/>
    </w:rPr>
  </w:style>
  <w:style w:type="paragraph" w:customStyle="1" w:styleId="2AutoList52">
    <w:name w:val="2AutoList5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2">
    <w:name w:val="3AutoList5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2">
    <w:name w:val="4AutoList5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2">
    <w:name w:val="5AutoList5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2">
    <w:name w:val="6AutoList5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2">
    <w:name w:val="7AutoList5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2">
    <w:name w:val="8AutoList5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1">
    <w:name w:val="1AutoList51"/>
    <w:rsid w:val="004E5076"/>
    <w:pPr>
      <w:autoSpaceDE w:val="0"/>
      <w:autoSpaceDN w:val="0"/>
      <w:adjustRightInd w:val="0"/>
    </w:pPr>
    <w:rPr>
      <w:rFonts w:eastAsia="Times New Roman"/>
      <w:sz w:val="24"/>
      <w:szCs w:val="24"/>
      <w:lang w:val="es-ES_tradnl" w:eastAsia="es-ES_tradnl"/>
    </w:rPr>
  </w:style>
  <w:style w:type="paragraph" w:customStyle="1" w:styleId="2AutoList51">
    <w:name w:val="2AutoList5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1">
    <w:name w:val="3AutoList5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1">
    <w:name w:val="4AutoList5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1">
    <w:name w:val="5AutoList5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1">
    <w:name w:val="6AutoList5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1">
    <w:name w:val="7AutoList5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1">
    <w:name w:val="8AutoList5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0">
    <w:name w:val="1AutoList50"/>
    <w:rsid w:val="004E5076"/>
    <w:pPr>
      <w:autoSpaceDE w:val="0"/>
      <w:autoSpaceDN w:val="0"/>
      <w:adjustRightInd w:val="0"/>
    </w:pPr>
    <w:rPr>
      <w:rFonts w:eastAsia="Times New Roman"/>
      <w:sz w:val="24"/>
      <w:szCs w:val="24"/>
      <w:lang w:val="es-ES_tradnl" w:eastAsia="es-ES_tradnl"/>
    </w:rPr>
  </w:style>
  <w:style w:type="paragraph" w:customStyle="1" w:styleId="2AutoList50">
    <w:name w:val="2AutoList5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0">
    <w:name w:val="3AutoList5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0">
    <w:name w:val="4AutoList5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0">
    <w:name w:val="5AutoList5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0">
    <w:name w:val="6AutoList5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0">
    <w:name w:val="7AutoList5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0">
    <w:name w:val="8AutoList5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9">
    <w:name w:val="1AutoList49"/>
    <w:rsid w:val="004E5076"/>
    <w:pPr>
      <w:autoSpaceDE w:val="0"/>
      <w:autoSpaceDN w:val="0"/>
      <w:adjustRightInd w:val="0"/>
    </w:pPr>
    <w:rPr>
      <w:rFonts w:eastAsia="Times New Roman"/>
      <w:sz w:val="24"/>
      <w:szCs w:val="24"/>
      <w:lang w:val="es-ES_tradnl" w:eastAsia="es-ES_tradnl"/>
    </w:rPr>
  </w:style>
  <w:style w:type="paragraph" w:customStyle="1" w:styleId="2AutoList49">
    <w:name w:val="2AutoList4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9">
    <w:name w:val="3AutoList4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9">
    <w:name w:val="4AutoList4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9">
    <w:name w:val="5AutoList4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9">
    <w:name w:val="6AutoList4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9">
    <w:name w:val="7AutoList4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9">
    <w:name w:val="8AutoList4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8">
    <w:name w:val="1AutoList48"/>
    <w:rsid w:val="004E5076"/>
    <w:pPr>
      <w:autoSpaceDE w:val="0"/>
      <w:autoSpaceDN w:val="0"/>
      <w:adjustRightInd w:val="0"/>
    </w:pPr>
    <w:rPr>
      <w:rFonts w:eastAsia="Times New Roman"/>
      <w:sz w:val="24"/>
      <w:szCs w:val="24"/>
      <w:lang w:val="es-ES_tradnl" w:eastAsia="es-ES_tradnl"/>
    </w:rPr>
  </w:style>
  <w:style w:type="paragraph" w:customStyle="1" w:styleId="2AutoList48">
    <w:name w:val="2AutoList4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8">
    <w:name w:val="3AutoList4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8">
    <w:name w:val="4AutoList4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8">
    <w:name w:val="5AutoList4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8">
    <w:name w:val="6AutoList4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8">
    <w:name w:val="7AutoList4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8">
    <w:name w:val="8AutoList4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7">
    <w:name w:val="1AutoList47"/>
    <w:rsid w:val="004E5076"/>
    <w:pPr>
      <w:autoSpaceDE w:val="0"/>
      <w:autoSpaceDN w:val="0"/>
      <w:adjustRightInd w:val="0"/>
    </w:pPr>
    <w:rPr>
      <w:rFonts w:eastAsia="Times New Roman"/>
      <w:sz w:val="24"/>
      <w:szCs w:val="24"/>
      <w:lang w:val="es-ES_tradnl" w:eastAsia="es-ES_tradnl"/>
    </w:rPr>
  </w:style>
  <w:style w:type="paragraph" w:customStyle="1" w:styleId="2AutoList47">
    <w:name w:val="2AutoList4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7">
    <w:name w:val="3AutoList4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7">
    <w:name w:val="4AutoList4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7">
    <w:name w:val="5AutoList4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7">
    <w:name w:val="6AutoList4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7">
    <w:name w:val="7AutoList4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7">
    <w:name w:val="8AutoList4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6">
    <w:name w:val="1AutoList46"/>
    <w:rsid w:val="004E5076"/>
    <w:pPr>
      <w:autoSpaceDE w:val="0"/>
      <w:autoSpaceDN w:val="0"/>
      <w:adjustRightInd w:val="0"/>
    </w:pPr>
    <w:rPr>
      <w:rFonts w:eastAsia="Times New Roman"/>
      <w:sz w:val="24"/>
      <w:szCs w:val="24"/>
      <w:lang w:val="es-ES_tradnl" w:eastAsia="es-ES_tradnl"/>
    </w:rPr>
  </w:style>
  <w:style w:type="paragraph" w:customStyle="1" w:styleId="2AutoList46">
    <w:name w:val="2AutoList4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6">
    <w:name w:val="3AutoList4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6">
    <w:name w:val="4AutoList4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6">
    <w:name w:val="5AutoList4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6">
    <w:name w:val="6AutoList4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6">
    <w:name w:val="7AutoList4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6">
    <w:name w:val="8AutoList4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5">
    <w:name w:val="1AutoList45"/>
    <w:rsid w:val="004E5076"/>
    <w:pPr>
      <w:autoSpaceDE w:val="0"/>
      <w:autoSpaceDN w:val="0"/>
      <w:adjustRightInd w:val="0"/>
    </w:pPr>
    <w:rPr>
      <w:rFonts w:eastAsia="Times New Roman"/>
      <w:sz w:val="24"/>
      <w:szCs w:val="24"/>
      <w:lang w:val="es-ES_tradnl" w:eastAsia="es-ES_tradnl"/>
    </w:rPr>
  </w:style>
  <w:style w:type="paragraph" w:customStyle="1" w:styleId="2AutoList45">
    <w:name w:val="2AutoList4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5">
    <w:name w:val="3AutoList4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5">
    <w:name w:val="4AutoList4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5">
    <w:name w:val="5AutoList4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5">
    <w:name w:val="6AutoList4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5">
    <w:name w:val="7AutoList4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5">
    <w:name w:val="8AutoList4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4">
    <w:name w:val="1AutoList44"/>
    <w:rsid w:val="004E5076"/>
    <w:pPr>
      <w:autoSpaceDE w:val="0"/>
      <w:autoSpaceDN w:val="0"/>
      <w:adjustRightInd w:val="0"/>
    </w:pPr>
    <w:rPr>
      <w:rFonts w:eastAsia="Times New Roman"/>
      <w:sz w:val="24"/>
      <w:szCs w:val="24"/>
      <w:lang w:val="es-ES_tradnl" w:eastAsia="es-ES_tradnl"/>
    </w:rPr>
  </w:style>
  <w:style w:type="paragraph" w:customStyle="1" w:styleId="2AutoList44">
    <w:name w:val="2AutoList4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4">
    <w:name w:val="3AutoList4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4">
    <w:name w:val="4AutoList4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4">
    <w:name w:val="5AutoList4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4">
    <w:name w:val="6AutoList4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4">
    <w:name w:val="7AutoList4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4">
    <w:name w:val="8AutoList4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3">
    <w:name w:val="1AutoList43"/>
    <w:rsid w:val="004E5076"/>
    <w:pPr>
      <w:autoSpaceDE w:val="0"/>
      <w:autoSpaceDN w:val="0"/>
      <w:adjustRightInd w:val="0"/>
    </w:pPr>
    <w:rPr>
      <w:rFonts w:eastAsia="Times New Roman"/>
      <w:sz w:val="24"/>
      <w:szCs w:val="24"/>
      <w:lang w:val="es-ES_tradnl" w:eastAsia="es-ES_tradnl"/>
    </w:rPr>
  </w:style>
  <w:style w:type="paragraph" w:customStyle="1" w:styleId="2AutoList43">
    <w:name w:val="2AutoList4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3">
    <w:name w:val="3AutoList4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3">
    <w:name w:val="4AutoList4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3">
    <w:name w:val="5AutoList4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3">
    <w:name w:val="6AutoList4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3">
    <w:name w:val="7AutoList4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3">
    <w:name w:val="8AutoList4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2">
    <w:name w:val="1AutoList42"/>
    <w:rsid w:val="004E5076"/>
    <w:pPr>
      <w:autoSpaceDE w:val="0"/>
      <w:autoSpaceDN w:val="0"/>
      <w:adjustRightInd w:val="0"/>
    </w:pPr>
    <w:rPr>
      <w:rFonts w:eastAsia="Times New Roman"/>
      <w:sz w:val="24"/>
      <w:szCs w:val="24"/>
      <w:lang w:val="es-ES_tradnl" w:eastAsia="es-ES_tradnl"/>
    </w:rPr>
  </w:style>
  <w:style w:type="paragraph" w:customStyle="1" w:styleId="2AutoList42">
    <w:name w:val="2AutoList4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2">
    <w:name w:val="3AutoList4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2">
    <w:name w:val="4AutoList4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2">
    <w:name w:val="5AutoList4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2">
    <w:name w:val="6AutoList4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2">
    <w:name w:val="7AutoList4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2">
    <w:name w:val="8AutoList4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1">
    <w:name w:val="1AutoList41"/>
    <w:rsid w:val="004E5076"/>
    <w:pPr>
      <w:autoSpaceDE w:val="0"/>
      <w:autoSpaceDN w:val="0"/>
      <w:adjustRightInd w:val="0"/>
    </w:pPr>
    <w:rPr>
      <w:rFonts w:eastAsia="Times New Roman"/>
      <w:sz w:val="24"/>
      <w:szCs w:val="24"/>
      <w:lang w:val="es-ES_tradnl" w:eastAsia="es-ES_tradnl"/>
    </w:rPr>
  </w:style>
  <w:style w:type="paragraph" w:customStyle="1" w:styleId="2AutoList41">
    <w:name w:val="2AutoList4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1">
    <w:name w:val="3AutoList4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1">
    <w:name w:val="4AutoList4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1">
    <w:name w:val="5AutoList4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1">
    <w:name w:val="6AutoList4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1">
    <w:name w:val="7AutoList4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1">
    <w:name w:val="8AutoList4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0">
    <w:name w:val="1AutoList40"/>
    <w:rsid w:val="004E5076"/>
    <w:pPr>
      <w:autoSpaceDE w:val="0"/>
      <w:autoSpaceDN w:val="0"/>
      <w:adjustRightInd w:val="0"/>
    </w:pPr>
    <w:rPr>
      <w:rFonts w:eastAsia="Times New Roman"/>
      <w:sz w:val="24"/>
      <w:szCs w:val="24"/>
      <w:lang w:val="es-ES_tradnl" w:eastAsia="es-ES_tradnl"/>
    </w:rPr>
  </w:style>
  <w:style w:type="paragraph" w:customStyle="1" w:styleId="2AutoList40">
    <w:name w:val="2AutoList4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0">
    <w:name w:val="3AutoList4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0">
    <w:name w:val="4AutoList4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0">
    <w:name w:val="5AutoList4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0">
    <w:name w:val="6AutoList4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0">
    <w:name w:val="7AutoList4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0">
    <w:name w:val="8AutoList4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9">
    <w:name w:val="1AutoList39"/>
    <w:rsid w:val="004E5076"/>
    <w:pPr>
      <w:autoSpaceDE w:val="0"/>
      <w:autoSpaceDN w:val="0"/>
      <w:adjustRightInd w:val="0"/>
    </w:pPr>
    <w:rPr>
      <w:rFonts w:eastAsia="Times New Roman"/>
      <w:sz w:val="24"/>
      <w:szCs w:val="24"/>
      <w:lang w:val="es-ES_tradnl" w:eastAsia="es-ES_tradnl"/>
    </w:rPr>
  </w:style>
  <w:style w:type="paragraph" w:customStyle="1" w:styleId="2AutoList39">
    <w:name w:val="2AutoList3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9">
    <w:name w:val="3AutoList3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9">
    <w:name w:val="4AutoList3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9">
    <w:name w:val="5AutoList3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9">
    <w:name w:val="6AutoList3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9">
    <w:name w:val="7AutoList3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9">
    <w:name w:val="8AutoList3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8">
    <w:name w:val="1AutoList38"/>
    <w:rsid w:val="004E5076"/>
    <w:pPr>
      <w:autoSpaceDE w:val="0"/>
      <w:autoSpaceDN w:val="0"/>
      <w:adjustRightInd w:val="0"/>
    </w:pPr>
    <w:rPr>
      <w:rFonts w:eastAsia="Times New Roman"/>
      <w:sz w:val="24"/>
      <w:szCs w:val="24"/>
      <w:lang w:val="es-ES_tradnl" w:eastAsia="es-ES_tradnl"/>
    </w:rPr>
  </w:style>
  <w:style w:type="paragraph" w:customStyle="1" w:styleId="2AutoList38">
    <w:name w:val="2AutoList3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8">
    <w:name w:val="3AutoList3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8">
    <w:name w:val="4AutoList3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8">
    <w:name w:val="5AutoList3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8">
    <w:name w:val="6AutoList3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8">
    <w:name w:val="7AutoList3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8">
    <w:name w:val="8AutoList3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7">
    <w:name w:val="1AutoList37"/>
    <w:rsid w:val="004E5076"/>
    <w:pPr>
      <w:autoSpaceDE w:val="0"/>
      <w:autoSpaceDN w:val="0"/>
      <w:adjustRightInd w:val="0"/>
    </w:pPr>
    <w:rPr>
      <w:rFonts w:eastAsia="Times New Roman"/>
      <w:sz w:val="24"/>
      <w:szCs w:val="24"/>
      <w:lang w:val="es-ES_tradnl" w:eastAsia="es-ES_tradnl"/>
    </w:rPr>
  </w:style>
  <w:style w:type="paragraph" w:customStyle="1" w:styleId="2AutoList37">
    <w:name w:val="2AutoList3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7">
    <w:name w:val="3AutoList3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7">
    <w:name w:val="4AutoList3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7">
    <w:name w:val="5AutoList3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7">
    <w:name w:val="6AutoList3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7">
    <w:name w:val="7AutoList3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7">
    <w:name w:val="8AutoList3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2AutoList36">
    <w:name w:val="2AutoList3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6">
    <w:name w:val="3AutoList3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6">
    <w:name w:val="4AutoList3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6">
    <w:name w:val="5AutoList3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6">
    <w:name w:val="6AutoList3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6">
    <w:name w:val="7AutoList3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6">
    <w:name w:val="8AutoList3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5">
    <w:name w:val="1AutoList35"/>
    <w:rsid w:val="004E5076"/>
    <w:pPr>
      <w:autoSpaceDE w:val="0"/>
      <w:autoSpaceDN w:val="0"/>
      <w:adjustRightInd w:val="0"/>
    </w:pPr>
    <w:rPr>
      <w:rFonts w:eastAsia="Times New Roman"/>
      <w:sz w:val="24"/>
      <w:szCs w:val="24"/>
      <w:lang w:val="es-ES_tradnl" w:eastAsia="es-ES_tradnl"/>
    </w:rPr>
  </w:style>
  <w:style w:type="paragraph" w:customStyle="1" w:styleId="2AutoList35">
    <w:name w:val="2AutoList3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5">
    <w:name w:val="3AutoList3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5">
    <w:name w:val="4AutoList3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5">
    <w:name w:val="5AutoList3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5">
    <w:name w:val="6AutoList3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5">
    <w:name w:val="7AutoList3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5">
    <w:name w:val="8AutoList3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4">
    <w:name w:val="1AutoList34"/>
    <w:rsid w:val="004E5076"/>
    <w:pPr>
      <w:autoSpaceDE w:val="0"/>
      <w:autoSpaceDN w:val="0"/>
      <w:adjustRightInd w:val="0"/>
    </w:pPr>
    <w:rPr>
      <w:rFonts w:eastAsia="Times New Roman"/>
      <w:sz w:val="24"/>
      <w:szCs w:val="24"/>
      <w:lang w:val="es-ES_tradnl" w:eastAsia="es-ES_tradnl"/>
    </w:rPr>
  </w:style>
  <w:style w:type="paragraph" w:customStyle="1" w:styleId="2AutoList34">
    <w:name w:val="2AutoList3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4">
    <w:name w:val="3AutoList3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4">
    <w:name w:val="4AutoList3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4">
    <w:name w:val="5AutoList3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4">
    <w:name w:val="6AutoList3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4">
    <w:name w:val="7AutoList3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4">
    <w:name w:val="8AutoList3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3">
    <w:name w:val="1AutoList33"/>
    <w:rsid w:val="004E5076"/>
    <w:pPr>
      <w:autoSpaceDE w:val="0"/>
      <w:autoSpaceDN w:val="0"/>
      <w:adjustRightInd w:val="0"/>
    </w:pPr>
    <w:rPr>
      <w:rFonts w:eastAsia="Times New Roman"/>
      <w:sz w:val="24"/>
      <w:szCs w:val="24"/>
      <w:lang w:val="es-ES_tradnl" w:eastAsia="es-ES_tradnl"/>
    </w:rPr>
  </w:style>
  <w:style w:type="paragraph" w:customStyle="1" w:styleId="2AutoList33">
    <w:name w:val="2AutoList3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3">
    <w:name w:val="3AutoList3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3">
    <w:name w:val="4AutoList3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3">
    <w:name w:val="5AutoList3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3">
    <w:name w:val="6AutoList3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3">
    <w:name w:val="7AutoList3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3">
    <w:name w:val="8AutoList3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2">
    <w:name w:val="1AutoList32"/>
    <w:rsid w:val="004E5076"/>
    <w:pPr>
      <w:autoSpaceDE w:val="0"/>
      <w:autoSpaceDN w:val="0"/>
      <w:adjustRightInd w:val="0"/>
    </w:pPr>
    <w:rPr>
      <w:rFonts w:eastAsia="Times New Roman"/>
      <w:sz w:val="24"/>
      <w:szCs w:val="24"/>
      <w:lang w:val="es-ES_tradnl" w:eastAsia="es-ES_tradnl"/>
    </w:rPr>
  </w:style>
  <w:style w:type="paragraph" w:customStyle="1" w:styleId="2AutoList32">
    <w:name w:val="2AutoList3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2">
    <w:name w:val="3AutoList3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2">
    <w:name w:val="4AutoList3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2">
    <w:name w:val="5AutoList3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2">
    <w:name w:val="6AutoList3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2">
    <w:name w:val="7AutoList3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2">
    <w:name w:val="8AutoList3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1">
    <w:name w:val="1AutoList31"/>
    <w:rsid w:val="004E5076"/>
    <w:pPr>
      <w:autoSpaceDE w:val="0"/>
      <w:autoSpaceDN w:val="0"/>
      <w:adjustRightInd w:val="0"/>
    </w:pPr>
    <w:rPr>
      <w:rFonts w:eastAsia="Times New Roman"/>
      <w:sz w:val="24"/>
      <w:szCs w:val="24"/>
      <w:lang w:val="es-ES_tradnl" w:eastAsia="es-ES_tradnl"/>
    </w:rPr>
  </w:style>
  <w:style w:type="paragraph" w:customStyle="1" w:styleId="2AutoList31">
    <w:name w:val="2AutoList3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1">
    <w:name w:val="3AutoList3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1">
    <w:name w:val="4AutoList3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1">
    <w:name w:val="5AutoList3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1">
    <w:name w:val="6AutoList3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1">
    <w:name w:val="7AutoList3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1">
    <w:name w:val="8AutoList3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0">
    <w:name w:val="1AutoList30"/>
    <w:rsid w:val="004E5076"/>
    <w:pPr>
      <w:autoSpaceDE w:val="0"/>
      <w:autoSpaceDN w:val="0"/>
      <w:adjustRightInd w:val="0"/>
    </w:pPr>
    <w:rPr>
      <w:rFonts w:eastAsia="Times New Roman"/>
      <w:sz w:val="24"/>
      <w:szCs w:val="24"/>
      <w:lang w:val="es-ES_tradnl" w:eastAsia="es-ES_tradnl"/>
    </w:rPr>
  </w:style>
  <w:style w:type="paragraph" w:customStyle="1" w:styleId="2AutoList30">
    <w:name w:val="2AutoList3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0">
    <w:name w:val="3AutoList3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0">
    <w:name w:val="4AutoList3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0">
    <w:name w:val="5AutoList3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0">
    <w:name w:val="6AutoList3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0">
    <w:name w:val="7AutoList3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0">
    <w:name w:val="8AutoList3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8">
    <w:name w:val="1AutoList28"/>
    <w:rsid w:val="004E5076"/>
    <w:pPr>
      <w:autoSpaceDE w:val="0"/>
      <w:autoSpaceDN w:val="0"/>
      <w:adjustRightInd w:val="0"/>
    </w:pPr>
    <w:rPr>
      <w:rFonts w:eastAsia="Times New Roman"/>
      <w:sz w:val="24"/>
      <w:szCs w:val="24"/>
      <w:lang w:val="es-ES_tradnl" w:eastAsia="es-ES_tradnl"/>
    </w:rPr>
  </w:style>
  <w:style w:type="paragraph" w:customStyle="1" w:styleId="2AutoList28">
    <w:name w:val="2AutoList2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8">
    <w:name w:val="3AutoList2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8">
    <w:name w:val="4AutoList2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8">
    <w:name w:val="5AutoList2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8">
    <w:name w:val="6AutoList2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8">
    <w:name w:val="7AutoList2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8">
    <w:name w:val="8AutoList2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7">
    <w:name w:val="1AutoList27"/>
    <w:rsid w:val="004E5076"/>
    <w:pPr>
      <w:autoSpaceDE w:val="0"/>
      <w:autoSpaceDN w:val="0"/>
      <w:adjustRightInd w:val="0"/>
    </w:pPr>
    <w:rPr>
      <w:rFonts w:eastAsia="Times New Roman"/>
      <w:sz w:val="24"/>
      <w:szCs w:val="24"/>
      <w:lang w:val="es-ES_tradnl" w:eastAsia="es-ES_tradnl"/>
    </w:rPr>
  </w:style>
  <w:style w:type="paragraph" w:customStyle="1" w:styleId="2AutoList27">
    <w:name w:val="2AutoList2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7">
    <w:name w:val="3AutoList2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7">
    <w:name w:val="4AutoList2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7">
    <w:name w:val="5AutoList2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7">
    <w:name w:val="6AutoList2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7">
    <w:name w:val="7AutoList2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7">
    <w:name w:val="8AutoList2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6">
    <w:name w:val="1AutoList26"/>
    <w:rsid w:val="004E5076"/>
    <w:pPr>
      <w:autoSpaceDE w:val="0"/>
      <w:autoSpaceDN w:val="0"/>
      <w:adjustRightInd w:val="0"/>
    </w:pPr>
    <w:rPr>
      <w:rFonts w:eastAsia="Times New Roman"/>
      <w:sz w:val="24"/>
      <w:szCs w:val="24"/>
      <w:lang w:val="es-ES_tradnl" w:eastAsia="es-ES_tradnl"/>
    </w:rPr>
  </w:style>
  <w:style w:type="paragraph" w:customStyle="1" w:styleId="2AutoList26">
    <w:name w:val="2AutoList2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6">
    <w:name w:val="3AutoList2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6">
    <w:name w:val="4AutoList2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6">
    <w:name w:val="5AutoList2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6">
    <w:name w:val="6AutoList2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6">
    <w:name w:val="7AutoList2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6">
    <w:name w:val="8AutoList2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5">
    <w:name w:val="1AutoList25"/>
    <w:rsid w:val="004E5076"/>
    <w:pPr>
      <w:autoSpaceDE w:val="0"/>
      <w:autoSpaceDN w:val="0"/>
      <w:adjustRightInd w:val="0"/>
    </w:pPr>
    <w:rPr>
      <w:rFonts w:eastAsia="Times New Roman"/>
      <w:sz w:val="24"/>
      <w:szCs w:val="24"/>
      <w:lang w:val="es-ES_tradnl" w:eastAsia="es-ES_tradnl"/>
    </w:rPr>
  </w:style>
  <w:style w:type="paragraph" w:customStyle="1" w:styleId="2AutoList25">
    <w:name w:val="2AutoList2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5">
    <w:name w:val="3AutoList2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5">
    <w:name w:val="4AutoList2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5">
    <w:name w:val="5AutoList2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5">
    <w:name w:val="6AutoList2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5">
    <w:name w:val="7AutoList2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5">
    <w:name w:val="8AutoList2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4">
    <w:name w:val="1AutoList24"/>
    <w:rsid w:val="004E5076"/>
    <w:pPr>
      <w:autoSpaceDE w:val="0"/>
      <w:autoSpaceDN w:val="0"/>
      <w:adjustRightInd w:val="0"/>
    </w:pPr>
    <w:rPr>
      <w:rFonts w:eastAsia="Times New Roman"/>
      <w:sz w:val="24"/>
      <w:szCs w:val="24"/>
      <w:lang w:val="es-ES_tradnl" w:eastAsia="es-ES_tradnl"/>
    </w:rPr>
  </w:style>
  <w:style w:type="paragraph" w:customStyle="1" w:styleId="2AutoList24">
    <w:name w:val="2AutoList2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4">
    <w:name w:val="3AutoList2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4">
    <w:name w:val="4AutoList2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4">
    <w:name w:val="5AutoList2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4">
    <w:name w:val="6AutoList2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4">
    <w:name w:val="7AutoList2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4">
    <w:name w:val="8AutoList2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3">
    <w:name w:val="1AutoList23"/>
    <w:rsid w:val="004E5076"/>
    <w:pPr>
      <w:autoSpaceDE w:val="0"/>
      <w:autoSpaceDN w:val="0"/>
      <w:adjustRightInd w:val="0"/>
    </w:pPr>
    <w:rPr>
      <w:rFonts w:eastAsia="Times New Roman"/>
      <w:sz w:val="24"/>
      <w:szCs w:val="24"/>
      <w:lang w:val="es-ES_tradnl" w:eastAsia="es-ES_tradnl"/>
    </w:rPr>
  </w:style>
  <w:style w:type="paragraph" w:customStyle="1" w:styleId="2AutoList23">
    <w:name w:val="2AutoList2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3">
    <w:name w:val="3AutoList2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3">
    <w:name w:val="4AutoList2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3">
    <w:name w:val="5AutoList2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3">
    <w:name w:val="6AutoList2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3">
    <w:name w:val="7AutoList2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3">
    <w:name w:val="8AutoList2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4">
    <w:name w:val="1AutoList154"/>
    <w:rsid w:val="004E5076"/>
    <w:pPr>
      <w:autoSpaceDE w:val="0"/>
      <w:autoSpaceDN w:val="0"/>
      <w:adjustRightInd w:val="0"/>
    </w:pPr>
    <w:rPr>
      <w:rFonts w:eastAsia="Times New Roman"/>
      <w:sz w:val="24"/>
      <w:szCs w:val="24"/>
      <w:lang w:val="es-ES_tradnl" w:eastAsia="es-ES_tradnl"/>
    </w:rPr>
  </w:style>
  <w:style w:type="paragraph" w:customStyle="1" w:styleId="2AutoList154">
    <w:name w:val="2AutoList15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4">
    <w:name w:val="3AutoList15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4">
    <w:name w:val="4AutoList15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4">
    <w:name w:val="5AutoList15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4">
    <w:name w:val="6AutoList15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4">
    <w:name w:val="7AutoList15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4">
    <w:name w:val="8AutoList15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0">
    <w:name w:val="1AutoList20"/>
    <w:rsid w:val="004E5076"/>
    <w:pPr>
      <w:autoSpaceDE w:val="0"/>
      <w:autoSpaceDN w:val="0"/>
      <w:adjustRightInd w:val="0"/>
    </w:pPr>
    <w:rPr>
      <w:rFonts w:eastAsia="Times New Roman"/>
      <w:sz w:val="24"/>
      <w:szCs w:val="24"/>
      <w:lang w:val="es-ES_tradnl" w:eastAsia="es-ES_tradnl"/>
    </w:rPr>
  </w:style>
  <w:style w:type="paragraph" w:customStyle="1" w:styleId="2AutoList20">
    <w:name w:val="2AutoList2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0">
    <w:name w:val="3AutoList2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0">
    <w:name w:val="4AutoList2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0">
    <w:name w:val="5AutoList2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0">
    <w:name w:val="6AutoList2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0">
    <w:name w:val="7AutoList2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0">
    <w:name w:val="8AutoList2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9">
    <w:name w:val="1AutoList19"/>
    <w:rsid w:val="004E5076"/>
    <w:pPr>
      <w:autoSpaceDE w:val="0"/>
      <w:autoSpaceDN w:val="0"/>
      <w:adjustRightInd w:val="0"/>
    </w:pPr>
    <w:rPr>
      <w:rFonts w:eastAsia="Times New Roman"/>
      <w:sz w:val="24"/>
      <w:szCs w:val="24"/>
      <w:lang w:val="es-ES_tradnl" w:eastAsia="es-ES_tradnl"/>
    </w:rPr>
  </w:style>
  <w:style w:type="paragraph" w:customStyle="1" w:styleId="2AutoList19">
    <w:name w:val="2AutoList1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9">
    <w:name w:val="3AutoList1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9">
    <w:name w:val="4AutoList1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9">
    <w:name w:val="5AutoList1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9">
    <w:name w:val="6AutoList1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9">
    <w:name w:val="7AutoList1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9">
    <w:name w:val="8AutoList1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8">
    <w:name w:val="1AutoList18"/>
    <w:rsid w:val="004E5076"/>
    <w:pPr>
      <w:autoSpaceDE w:val="0"/>
      <w:autoSpaceDN w:val="0"/>
      <w:adjustRightInd w:val="0"/>
    </w:pPr>
    <w:rPr>
      <w:rFonts w:eastAsia="Times New Roman"/>
      <w:sz w:val="24"/>
      <w:szCs w:val="24"/>
      <w:lang w:val="es-ES_tradnl" w:eastAsia="es-ES_tradnl"/>
    </w:rPr>
  </w:style>
  <w:style w:type="paragraph" w:customStyle="1" w:styleId="2AutoList18">
    <w:name w:val="2AutoList1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8">
    <w:name w:val="3AutoList1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8">
    <w:name w:val="4AutoList1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8">
    <w:name w:val="5AutoList1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8">
    <w:name w:val="6AutoList1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8">
    <w:name w:val="7AutoList1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8">
    <w:name w:val="8AutoList1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7">
    <w:name w:val="1AutoList17"/>
    <w:rsid w:val="004E5076"/>
    <w:pPr>
      <w:autoSpaceDE w:val="0"/>
      <w:autoSpaceDN w:val="0"/>
      <w:adjustRightInd w:val="0"/>
    </w:pPr>
    <w:rPr>
      <w:rFonts w:eastAsia="Times New Roman"/>
      <w:sz w:val="24"/>
      <w:szCs w:val="24"/>
      <w:lang w:val="es-ES_tradnl" w:eastAsia="es-ES_tradnl"/>
    </w:rPr>
  </w:style>
  <w:style w:type="paragraph" w:customStyle="1" w:styleId="2AutoList17">
    <w:name w:val="2AutoList1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7">
    <w:name w:val="3AutoList1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7">
    <w:name w:val="4AutoList1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7">
    <w:name w:val="5AutoList1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7">
    <w:name w:val="6AutoList1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7">
    <w:name w:val="7AutoList1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7">
    <w:name w:val="8AutoList1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6">
    <w:name w:val="1AutoList16"/>
    <w:rsid w:val="004E5076"/>
    <w:pPr>
      <w:autoSpaceDE w:val="0"/>
      <w:autoSpaceDN w:val="0"/>
      <w:adjustRightInd w:val="0"/>
    </w:pPr>
    <w:rPr>
      <w:rFonts w:eastAsia="Times New Roman"/>
      <w:sz w:val="24"/>
      <w:szCs w:val="24"/>
      <w:lang w:val="es-ES_tradnl" w:eastAsia="es-ES_tradnl"/>
    </w:rPr>
  </w:style>
  <w:style w:type="paragraph" w:customStyle="1" w:styleId="2AutoList16">
    <w:name w:val="2AutoList1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6">
    <w:name w:val="3AutoList1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6">
    <w:name w:val="4AutoList1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6">
    <w:name w:val="5AutoList1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6">
    <w:name w:val="6AutoList1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6">
    <w:name w:val="7AutoList1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6">
    <w:name w:val="8AutoList1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5">
    <w:name w:val="1AutoList15"/>
    <w:rsid w:val="004E5076"/>
    <w:pPr>
      <w:autoSpaceDE w:val="0"/>
      <w:autoSpaceDN w:val="0"/>
      <w:adjustRightInd w:val="0"/>
    </w:pPr>
    <w:rPr>
      <w:rFonts w:eastAsia="Times New Roman"/>
      <w:sz w:val="24"/>
      <w:szCs w:val="24"/>
      <w:lang w:val="es-ES_tradnl" w:eastAsia="es-ES_tradnl"/>
    </w:rPr>
  </w:style>
  <w:style w:type="paragraph" w:customStyle="1" w:styleId="2AutoList15">
    <w:name w:val="2AutoList1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5">
    <w:name w:val="3AutoList1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5">
    <w:name w:val="4AutoList1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5">
    <w:name w:val="5AutoList1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5">
    <w:name w:val="6AutoList1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5">
    <w:name w:val="7AutoList1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5">
    <w:name w:val="8AutoList1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4">
    <w:name w:val="1AutoList14"/>
    <w:rsid w:val="004E5076"/>
    <w:pPr>
      <w:autoSpaceDE w:val="0"/>
      <w:autoSpaceDN w:val="0"/>
      <w:adjustRightInd w:val="0"/>
    </w:pPr>
    <w:rPr>
      <w:rFonts w:eastAsia="Times New Roman"/>
      <w:sz w:val="24"/>
      <w:szCs w:val="24"/>
      <w:lang w:val="es-ES_tradnl" w:eastAsia="es-ES_tradnl"/>
    </w:rPr>
  </w:style>
  <w:style w:type="paragraph" w:customStyle="1" w:styleId="2AutoList14">
    <w:name w:val="2AutoList1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4">
    <w:name w:val="3AutoList1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4">
    <w:name w:val="4AutoList1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4">
    <w:name w:val="5AutoList1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4">
    <w:name w:val="6AutoList1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4">
    <w:name w:val="7AutoList1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4">
    <w:name w:val="8AutoList1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3">
    <w:name w:val="1AutoList13"/>
    <w:rsid w:val="004E5076"/>
    <w:pPr>
      <w:autoSpaceDE w:val="0"/>
      <w:autoSpaceDN w:val="0"/>
      <w:adjustRightInd w:val="0"/>
    </w:pPr>
    <w:rPr>
      <w:rFonts w:eastAsia="Times New Roman"/>
      <w:sz w:val="24"/>
      <w:szCs w:val="24"/>
      <w:lang w:val="es-ES_tradnl" w:eastAsia="es-ES_tradnl"/>
    </w:rPr>
  </w:style>
  <w:style w:type="paragraph" w:customStyle="1" w:styleId="2AutoList13">
    <w:name w:val="2AutoList1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3">
    <w:name w:val="3AutoList1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3">
    <w:name w:val="4AutoList1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3">
    <w:name w:val="5AutoList1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3">
    <w:name w:val="6AutoList1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3">
    <w:name w:val="7AutoList1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3">
    <w:name w:val="8AutoList1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2">
    <w:name w:val="1AutoList12"/>
    <w:rsid w:val="004E5076"/>
    <w:pPr>
      <w:autoSpaceDE w:val="0"/>
      <w:autoSpaceDN w:val="0"/>
      <w:adjustRightInd w:val="0"/>
    </w:pPr>
    <w:rPr>
      <w:rFonts w:eastAsia="Times New Roman"/>
      <w:sz w:val="24"/>
      <w:szCs w:val="24"/>
      <w:lang w:val="es-ES_tradnl" w:eastAsia="es-ES_tradnl"/>
    </w:rPr>
  </w:style>
  <w:style w:type="paragraph" w:customStyle="1" w:styleId="2AutoList12">
    <w:name w:val="2AutoList1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2">
    <w:name w:val="3AutoList1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2">
    <w:name w:val="4AutoList1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2">
    <w:name w:val="5AutoList1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2">
    <w:name w:val="6AutoList1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2">
    <w:name w:val="7AutoList1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2">
    <w:name w:val="8AutoList1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1">
    <w:name w:val="1AutoList11"/>
    <w:rsid w:val="004E5076"/>
    <w:pPr>
      <w:autoSpaceDE w:val="0"/>
      <w:autoSpaceDN w:val="0"/>
      <w:adjustRightInd w:val="0"/>
    </w:pPr>
    <w:rPr>
      <w:rFonts w:eastAsia="Times New Roman"/>
      <w:sz w:val="24"/>
      <w:szCs w:val="24"/>
      <w:lang w:val="es-ES_tradnl" w:eastAsia="es-ES_tradnl"/>
    </w:rPr>
  </w:style>
  <w:style w:type="paragraph" w:customStyle="1" w:styleId="2AutoList11">
    <w:name w:val="2AutoList1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1">
    <w:name w:val="3AutoList1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1">
    <w:name w:val="4AutoList1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1">
    <w:name w:val="5AutoList1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1">
    <w:name w:val="6AutoList1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1">
    <w:name w:val="7AutoList1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1">
    <w:name w:val="8AutoList1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0">
    <w:name w:val="1AutoList10"/>
    <w:rsid w:val="004E5076"/>
    <w:pPr>
      <w:autoSpaceDE w:val="0"/>
      <w:autoSpaceDN w:val="0"/>
      <w:adjustRightInd w:val="0"/>
    </w:pPr>
    <w:rPr>
      <w:rFonts w:eastAsia="Times New Roman"/>
      <w:sz w:val="24"/>
      <w:szCs w:val="24"/>
      <w:lang w:val="es-ES_tradnl" w:eastAsia="es-ES_tradnl"/>
    </w:rPr>
  </w:style>
  <w:style w:type="paragraph" w:customStyle="1" w:styleId="2AutoList10">
    <w:name w:val="2AutoList10"/>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0">
    <w:name w:val="3AutoList10"/>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0">
    <w:name w:val="4AutoList10"/>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0">
    <w:name w:val="5AutoList10"/>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0">
    <w:name w:val="6AutoList10"/>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0">
    <w:name w:val="7AutoList10"/>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0">
    <w:name w:val="8AutoList10"/>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9">
    <w:name w:val="1AutoList9"/>
    <w:rsid w:val="004E5076"/>
    <w:pPr>
      <w:autoSpaceDE w:val="0"/>
      <w:autoSpaceDN w:val="0"/>
      <w:adjustRightInd w:val="0"/>
    </w:pPr>
    <w:rPr>
      <w:rFonts w:eastAsia="Times New Roman"/>
      <w:sz w:val="24"/>
      <w:szCs w:val="24"/>
      <w:lang w:val="es-ES_tradnl" w:eastAsia="es-ES_tradnl"/>
    </w:rPr>
  </w:style>
  <w:style w:type="paragraph" w:customStyle="1" w:styleId="2AutoList9">
    <w:name w:val="2AutoList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9">
    <w:name w:val="3AutoList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9">
    <w:name w:val="4AutoList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9">
    <w:name w:val="5AutoList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9">
    <w:name w:val="6AutoList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9">
    <w:name w:val="7AutoList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9">
    <w:name w:val="8AutoList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
    <w:name w:val="1AutoList8"/>
    <w:rsid w:val="004E5076"/>
    <w:pPr>
      <w:autoSpaceDE w:val="0"/>
      <w:autoSpaceDN w:val="0"/>
      <w:adjustRightInd w:val="0"/>
    </w:pPr>
    <w:rPr>
      <w:rFonts w:eastAsia="Times New Roman"/>
      <w:sz w:val="24"/>
      <w:szCs w:val="24"/>
      <w:lang w:val="es-ES_tradnl" w:eastAsia="es-ES_tradnl"/>
    </w:rPr>
  </w:style>
  <w:style w:type="paragraph" w:customStyle="1" w:styleId="2AutoList8">
    <w:name w:val="2AutoList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
    <w:name w:val="3AutoList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
    <w:name w:val="4AutoList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
    <w:name w:val="5AutoList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
    <w:name w:val="6AutoList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
    <w:name w:val="7AutoList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
    <w:name w:val="8AutoList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7">
    <w:name w:val="1AutoList7"/>
    <w:rsid w:val="004E5076"/>
    <w:pPr>
      <w:autoSpaceDE w:val="0"/>
      <w:autoSpaceDN w:val="0"/>
      <w:adjustRightInd w:val="0"/>
    </w:pPr>
    <w:rPr>
      <w:rFonts w:eastAsia="Times New Roman"/>
      <w:sz w:val="24"/>
      <w:szCs w:val="24"/>
      <w:lang w:val="es-ES_tradnl" w:eastAsia="es-ES_tradnl"/>
    </w:rPr>
  </w:style>
  <w:style w:type="paragraph" w:customStyle="1" w:styleId="2AutoList7">
    <w:name w:val="2AutoList7"/>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7">
    <w:name w:val="3AutoList7"/>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7">
    <w:name w:val="4AutoList7"/>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7">
    <w:name w:val="5AutoList7"/>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7">
    <w:name w:val="6AutoList7"/>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7">
    <w:name w:val="7AutoList7"/>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7">
    <w:name w:val="8AutoList7"/>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6">
    <w:name w:val="1AutoList6"/>
    <w:rsid w:val="004E5076"/>
    <w:pPr>
      <w:autoSpaceDE w:val="0"/>
      <w:autoSpaceDN w:val="0"/>
      <w:adjustRightInd w:val="0"/>
    </w:pPr>
    <w:rPr>
      <w:rFonts w:eastAsia="Times New Roman"/>
      <w:sz w:val="24"/>
      <w:szCs w:val="24"/>
      <w:lang w:val="es-ES_tradnl" w:eastAsia="es-ES_tradnl"/>
    </w:rPr>
  </w:style>
  <w:style w:type="paragraph" w:customStyle="1" w:styleId="2AutoList6">
    <w:name w:val="2AutoList6"/>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6">
    <w:name w:val="3AutoList6"/>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6">
    <w:name w:val="4AutoList6"/>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6">
    <w:name w:val="5AutoList6"/>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6">
    <w:name w:val="6AutoList6"/>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6">
    <w:name w:val="7AutoList6"/>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6">
    <w:name w:val="8AutoList6"/>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5">
    <w:name w:val="1AutoList5"/>
    <w:rsid w:val="004E5076"/>
    <w:pPr>
      <w:autoSpaceDE w:val="0"/>
      <w:autoSpaceDN w:val="0"/>
      <w:adjustRightInd w:val="0"/>
    </w:pPr>
    <w:rPr>
      <w:rFonts w:eastAsia="Times New Roman"/>
      <w:sz w:val="24"/>
      <w:szCs w:val="24"/>
      <w:lang w:val="es-ES_tradnl" w:eastAsia="es-ES_tradnl"/>
    </w:rPr>
  </w:style>
  <w:style w:type="paragraph" w:customStyle="1" w:styleId="2AutoList5">
    <w:name w:val="2AutoList5"/>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5">
    <w:name w:val="3AutoList5"/>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5">
    <w:name w:val="4AutoList5"/>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5">
    <w:name w:val="5AutoList5"/>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5">
    <w:name w:val="6AutoList5"/>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5">
    <w:name w:val="7AutoList5"/>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5">
    <w:name w:val="8AutoList5"/>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4">
    <w:name w:val="1AutoList4"/>
    <w:rsid w:val="004E5076"/>
    <w:pPr>
      <w:autoSpaceDE w:val="0"/>
      <w:autoSpaceDN w:val="0"/>
      <w:adjustRightInd w:val="0"/>
    </w:pPr>
    <w:rPr>
      <w:rFonts w:eastAsia="Times New Roman"/>
      <w:sz w:val="24"/>
      <w:szCs w:val="24"/>
      <w:lang w:val="es-ES_tradnl" w:eastAsia="es-ES_tradnl"/>
    </w:rPr>
  </w:style>
  <w:style w:type="paragraph" w:customStyle="1" w:styleId="2AutoList4">
    <w:name w:val="2AutoList4"/>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4">
    <w:name w:val="3AutoList4"/>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4">
    <w:name w:val="4AutoList4"/>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4">
    <w:name w:val="5AutoList4"/>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4">
    <w:name w:val="6AutoList4"/>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4">
    <w:name w:val="7AutoList4"/>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4">
    <w:name w:val="8AutoList4"/>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3">
    <w:name w:val="1AutoList3"/>
    <w:rsid w:val="004E5076"/>
    <w:pPr>
      <w:autoSpaceDE w:val="0"/>
      <w:autoSpaceDN w:val="0"/>
      <w:adjustRightInd w:val="0"/>
    </w:pPr>
    <w:rPr>
      <w:rFonts w:eastAsia="Times New Roman"/>
      <w:sz w:val="24"/>
      <w:szCs w:val="24"/>
      <w:lang w:val="es-ES_tradnl" w:eastAsia="es-ES_tradnl"/>
    </w:rPr>
  </w:style>
  <w:style w:type="paragraph" w:customStyle="1" w:styleId="2AutoList3">
    <w:name w:val="2AutoList3"/>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3">
    <w:name w:val="3AutoList3"/>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3">
    <w:name w:val="4AutoList3"/>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3">
    <w:name w:val="5AutoList3"/>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3">
    <w:name w:val="6AutoList3"/>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3">
    <w:name w:val="7AutoList3"/>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3">
    <w:name w:val="8AutoList3"/>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
    <w:name w:val="1AutoList2"/>
    <w:rsid w:val="004E5076"/>
    <w:pPr>
      <w:autoSpaceDE w:val="0"/>
      <w:autoSpaceDN w:val="0"/>
      <w:adjustRightInd w:val="0"/>
    </w:pPr>
    <w:rPr>
      <w:rFonts w:eastAsia="Times New Roman"/>
      <w:sz w:val="24"/>
      <w:szCs w:val="24"/>
      <w:lang w:val="es-ES_tradnl" w:eastAsia="es-ES_tradnl"/>
    </w:rPr>
  </w:style>
  <w:style w:type="paragraph" w:customStyle="1" w:styleId="2AutoList2">
    <w:name w:val="2AutoList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
    <w:name w:val="3AutoList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
    <w:name w:val="4AutoList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
    <w:name w:val="5AutoList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
    <w:name w:val="6AutoList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
    <w:name w:val="7AutoList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
    <w:name w:val="8AutoList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1">
    <w:name w:val="1AutoList1"/>
    <w:rsid w:val="004E5076"/>
    <w:pPr>
      <w:autoSpaceDE w:val="0"/>
      <w:autoSpaceDN w:val="0"/>
      <w:adjustRightInd w:val="0"/>
    </w:pPr>
    <w:rPr>
      <w:rFonts w:eastAsia="Times New Roman"/>
      <w:sz w:val="24"/>
      <w:szCs w:val="24"/>
      <w:lang w:val="es-ES_tradnl" w:eastAsia="es-ES_tradnl"/>
    </w:rPr>
  </w:style>
  <w:style w:type="paragraph" w:customStyle="1" w:styleId="2AutoList1">
    <w:name w:val="2AutoList1"/>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1">
    <w:name w:val="3AutoList1"/>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1">
    <w:name w:val="4AutoList1"/>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1">
    <w:name w:val="5AutoList1"/>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1">
    <w:name w:val="6AutoList1"/>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1">
    <w:name w:val="7AutoList1"/>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1">
    <w:name w:val="8AutoList1"/>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9">
    <w:name w:val="1AutoList29"/>
    <w:rsid w:val="004E5076"/>
    <w:pPr>
      <w:autoSpaceDE w:val="0"/>
      <w:autoSpaceDN w:val="0"/>
      <w:adjustRightInd w:val="0"/>
    </w:pPr>
    <w:rPr>
      <w:rFonts w:eastAsia="Times New Roman"/>
      <w:sz w:val="24"/>
      <w:szCs w:val="24"/>
      <w:lang w:val="es-ES_tradnl" w:eastAsia="es-ES_tradnl"/>
    </w:rPr>
  </w:style>
  <w:style w:type="paragraph" w:customStyle="1" w:styleId="2AutoList29">
    <w:name w:val="2AutoList29"/>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9">
    <w:name w:val="3AutoList29"/>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9">
    <w:name w:val="4AutoList29"/>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9">
    <w:name w:val="5AutoList29"/>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9">
    <w:name w:val="6AutoList29"/>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9">
    <w:name w:val="7AutoList29"/>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9">
    <w:name w:val="8AutoList29"/>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88">
    <w:name w:val="1AutoList88"/>
    <w:rsid w:val="004E5076"/>
    <w:pPr>
      <w:autoSpaceDE w:val="0"/>
      <w:autoSpaceDN w:val="0"/>
      <w:adjustRightInd w:val="0"/>
    </w:pPr>
    <w:rPr>
      <w:rFonts w:eastAsia="Times New Roman"/>
      <w:sz w:val="24"/>
      <w:szCs w:val="24"/>
      <w:lang w:val="es-ES_tradnl" w:eastAsia="es-ES_tradnl"/>
    </w:rPr>
  </w:style>
  <w:style w:type="paragraph" w:customStyle="1" w:styleId="2AutoList88">
    <w:name w:val="2AutoList88"/>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88">
    <w:name w:val="3AutoList88"/>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88">
    <w:name w:val="4AutoList88"/>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88">
    <w:name w:val="5AutoList88"/>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88">
    <w:name w:val="6AutoList88"/>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88">
    <w:name w:val="7AutoList88"/>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88">
    <w:name w:val="8AutoList88"/>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1AutoList22">
    <w:name w:val="1AutoList22"/>
    <w:rsid w:val="004E5076"/>
    <w:pPr>
      <w:autoSpaceDE w:val="0"/>
      <w:autoSpaceDN w:val="0"/>
      <w:adjustRightInd w:val="0"/>
    </w:pPr>
    <w:rPr>
      <w:rFonts w:eastAsia="Times New Roman"/>
      <w:sz w:val="24"/>
      <w:szCs w:val="24"/>
      <w:lang w:val="es-ES_tradnl" w:eastAsia="es-ES_tradnl"/>
    </w:rPr>
  </w:style>
  <w:style w:type="paragraph" w:customStyle="1" w:styleId="2AutoList22">
    <w:name w:val="2AutoList22"/>
    <w:rsid w:val="004E5076"/>
    <w:pPr>
      <w:tabs>
        <w:tab w:val="left" w:pos="720"/>
        <w:tab w:val="left" w:pos="1440"/>
      </w:tabs>
      <w:autoSpaceDE w:val="0"/>
      <w:autoSpaceDN w:val="0"/>
      <w:adjustRightInd w:val="0"/>
      <w:ind w:left="1440" w:hanging="720"/>
      <w:jc w:val="both"/>
    </w:pPr>
    <w:rPr>
      <w:rFonts w:eastAsia="Times New Roman"/>
      <w:sz w:val="24"/>
      <w:szCs w:val="24"/>
      <w:lang w:val="es-ES_tradnl" w:eastAsia="es-ES_tradnl"/>
    </w:rPr>
  </w:style>
  <w:style w:type="paragraph" w:customStyle="1" w:styleId="3AutoList22">
    <w:name w:val="3AutoList22"/>
    <w:rsid w:val="004E5076"/>
    <w:pPr>
      <w:tabs>
        <w:tab w:val="left" w:pos="720"/>
        <w:tab w:val="left" w:pos="1440"/>
        <w:tab w:val="left" w:pos="2160"/>
      </w:tabs>
      <w:autoSpaceDE w:val="0"/>
      <w:autoSpaceDN w:val="0"/>
      <w:adjustRightInd w:val="0"/>
      <w:ind w:left="2160" w:hanging="720"/>
      <w:jc w:val="both"/>
    </w:pPr>
    <w:rPr>
      <w:rFonts w:eastAsia="Times New Roman"/>
      <w:sz w:val="24"/>
      <w:szCs w:val="24"/>
      <w:lang w:val="es-ES_tradnl" w:eastAsia="es-ES_tradnl"/>
    </w:rPr>
  </w:style>
  <w:style w:type="paragraph" w:customStyle="1" w:styleId="4AutoList22">
    <w:name w:val="4AutoList22"/>
    <w:rsid w:val="004E5076"/>
    <w:pPr>
      <w:tabs>
        <w:tab w:val="left" w:pos="720"/>
        <w:tab w:val="left" w:pos="1440"/>
        <w:tab w:val="left" w:pos="2160"/>
        <w:tab w:val="left" w:pos="2880"/>
      </w:tabs>
      <w:autoSpaceDE w:val="0"/>
      <w:autoSpaceDN w:val="0"/>
      <w:adjustRightInd w:val="0"/>
      <w:ind w:left="2880" w:hanging="720"/>
      <w:jc w:val="both"/>
    </w:pPr>
    <w:rPr>
      <w:rFonts w:eastAsia="Times New Roman"/>
      <w:sz w:val="24"/>
      <w:szCs w:val="24"/>
      <w:lang w:val="es-ES_tradnl" w:eastAsia="es-ES_tradnl"/>
    </w:rPr>
  </w:style>
  <w:style w:type="paragraph" w:customStyle="1" w:styleId="5AutoList22">
    <w:name w:val="5AutoList22"/>
    <w:rsid w:val="004E5076"/>
    <w:pPr>
      <w:tabs>
        <w:tab w:val="left" w:pos="720"/>
        <w:tab w:val="left" w:pos="1440"/>
        <w:tab w:val="left" w:pos="2160"/>
        <w:tab w:val="left" w:pos="2880"/>
        <w:tab w:val="left" w:pos="3600"/>
      </w:tabs>
      <w:autoSpaceDE w:val="0"/>
      <w:autoSpaceDN w:val="0"/>
      <w:adjustRightInd w:val="0"/>
      <w:ind w:left="3600" w:hanging="720"/>
      <w:jc w:val="both"/>
    </w:pPr>
    <w:rPr>
      <w:rFonts w:eastAsia="Times New Roman"/>
      <w:sz w:val="24"/>
      <w:szCs w:val="24"/>
      <w:lang w:val="es-ES_tradnl" w:eastAsia="es-ES_tradnl"/>
    </w:rPr>
  </w:style>
  <w:style w:type="paragraph" w:customStyle="1" w:styleId="6AutoList22">
    <w:name w:val="6AutoList22"/>
    <w:rsid w:val="004E5076"/>
    <w:pPr>
      <w:tabs>
        <w:tab w:val="left" w:pos="720"/>
        <w:tab w:val="left" w:pos="1440"/>
        <w:tab w:val="left" w:pos="2160"/>
        <w:tab w:val="left" w:pos="2880"/>
        <w:tab w:val="left" w:pos="3600"/>
        <w:tab w:val="left" w:pos="4320"/>
      </w:tabs>
      <w:autoSpaceDE w:val="0"/>
      <w:autoSpaceDN w:val="0"/>
      <w:adjustRightInd w:val="0"/>
      <w:ind w:left="4320" w:hanging="720"/>
      <w:jc w:val="both"/>
    </w:pPr>
    <w:rPr>
      <w:rFonts w:eastAsia="Times New Roman"/>
      <w:sz w:val="24"/>
      <w:szCs w:val="24"/>
      <w:lang w:val="es-ES_tradnl" w:eastAsia="es-ES_tradnl"/>
    </w:rPr>
  </w:style>
  <w:style w:type="paragraph" w:customStyle="1" w:styleId="7AutoList22">
    <w:name w:val="7AutoList22"/>
    <w:rsid w:val="004E5076"/>
    <w:pPr>
      <w:tabs>
        <w:tab w:val="left" w:pos="720"/>
        <w:tab w:val="left" w:pos="1440"/>
        <w:tab w:val="left" w:pos="2160"/>
        <w:tab w:val="left" w:pos="2880"/>
        <w:tab w:val="left" w:pos="3600"/>
        <w:tab w:val="left" w:pos="4320"/>
        <w:tab w:val="left" w:pos="5040"/>
      </w:tabs>
      <w:autoSpaceDE w:val="0"/>
      <w:autoSpaceDN w:val="0"/>
      <w:adjustRightInd w:val="0"/>
      <w:ind w:left="5040" w:hanging="720"/>
      <w:jc w:val="both"/>
    </w:pPr>
    <w:rPr>
      <w:rFonts w:eastAsia="Times New Roman"/>
      <w:sz w:val="24"/>
      <w:szCs w:val="24"/>
      <w:lang w:val="es-ES_tradnl" w:eastAsia="es-ES_tradnl"/>
    </w:rPr>
  </w:style>
  <w:style w:type="paragraph" w:customStyle="1" w:styleId="8AutoList22">
    <w:name w:val="8AutoList22"/>
    <w:rsid w:val="004E5076"/>
    <w:pPr>
      <w:tabs>
        <w:tab w:val="left" w:pos="720"/>
        <w:tab w:val="left" w:pos="1440"/>
        <w:tab w:val="left" w:pos="2160"/>
        <w:tab w:val="left" w:pos="2880"/>
        <w:tab w:val="left" w:pos="3600"/>
        <w:tab w:val="left" w:pos="4320"/>
        <w:tab w:val="left" w:pos="5040"/>
        <w:tab w:val="left" w:pos="5760"/>
      </w:tabs>
      <w:autoSpaceDE w:val="0"/>
      <w:autoSpaceDN w:val="0"/>
      <w:adjustRightInd w:val="0"/>
      <w:ind w:left="5760" w:hanging="720"/>
      <w:jc w:val="both"/>
    </w:pPr>
    <w:rPr>
      <w:rFonts w:eastAsia="Times New Roman"/>
      <w:sz w:val="24"/>
      <w:szCs w:val="24"/>
      <w:lang w:val="es-ES_tradnl" w:eastAsia="es-ES_tradnl"/>
    </w:rPr>
  </w:style>
  <w:style w:type="paragraph" w:customStyle="1" w:styleId="CARATULA">
    <w:name w:val="CARATULA"/>
    <w:rsid w:val="004E5076"/>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jc w:val="center"/>
    </w:pPr>
    <w:rPr>
      <w:rFonts w:ascii="Helv 11pt" w:eastAsia="Times New Roman" w:hAnsi="Helv 11pt" w:cs="Times New Roman"/>
      <w:lang w:val="es-ES_tradnl" w:eastAsia="es-ES_tradnl"/>
    </w:rPr>
  </w:style>
  <w:style w:type="paragraph" w:customStyle="1" w:styleId="ROSA">
    <w:name w:val="ROSA"/>
    <w:rsid w:val="004E5076"/>
    <w:pPr>
      <w:tabs>
        <w:tab w:val="left" w:pos="-850"/>
        <w:tab w:val="left" w:pos="0"/>
        <w:tab w:val="left" w:pos="589"/>
        <w:tab w:val="left" w:pos="1309"/>
        <w:tab w:val="left" w:pos="2029"/>
        <w:tab w:val="left" w:pos="2749"/>
        <w:tab w:val="left" w:pos="3469"/>
        <w:tab w:val="left" w:pos="4189"/>
        <w:tab w:val="left" w:pos="4909"/>
        <w:tab w:val="left" w:pos="5629"/>
        <w:tab w:val="left" w:pos="6349"/>
        <w:tab w:val="left" w:pos="7069"/>
      </w:tabs>
      <w:autoSpaceDE w:val="0"/>
      <w:autoSpaceDN w:val="0"/>
      <w:adjustRightInd w:val="0"/>
      <w:ind w:left="850"/>
      <w:jc w:val="both"/>
    </w:pPr>
    <w:rPr>
      <w:rFonts w:eastAsia="Times New Roman"/>
      <w:lang w:val="es-ES_tradnl" w:eastAsia="es-ES_tradnl"/>
    </w:rPr>
  </w:style>
  <w:style w:type="paragraph" w:customStyle="1" w:styleId="TITULO30">
    <w:name w:val="TITULO 3"/>
    <w:basedOn w:val="Normal"/>
    <w:autoRedefine/>
    <w:rsid w:val="004E5076"/>
    <w:pPr>
      <w:widowControl/>
      <w:tabs>
        <w:tab w:val="num" w:pos="360"/>
      </w:tabs>
      <w:jc w:val="both"/>
    </w:pPr>
    <w:rPr>
      <w:rFonts w:eastAsia="Times New Roman" w:cs="Times New Roman"/>
      <w:b/>
      <w:bCs/>
      <w:kern w:val="28"/>
      <w:sz w:val="24"/>
      <w:szCs w:val="24"/>
      <w:lang w:val="es-ES_tradnl" w:eastAsia="es-ES"/>
    </w:rPr>
  </w:style>
  <w:style w:type="paragraph" w:customStyle="1" w:styleId="Lista1">
    <w:name w:val="Lista 1."/>
    <w:basedOn w:val="Prrafo"/>
    <w:rsid w:val="004E5076"/>
    <w:pPr>
      <w:tabs>
        <w:tab w:val="num" w:pos="360"/>
        <w:tab w:val="num" w:pos="720"/>
        <w:tab w:val="num" w:pos="1134"/>
      </w:tabs>
      <w:spacing w:after="240"/>
    </w:pPr>
    <w:rPr>
      <w:lang w:val="es-ES"/>
    </w:rPr>
  </w:style>
  <w:style w:type="character" w:customStyle="1" w:styleId="PrrafoCar1">
    <w:name w:val="Párrafo Car1"/>
    <w:rsid w:val="004E5076"/>
    <w:rPr>
      <w:rFonts w:ascii="Tahoma" w:hAnsi="Tahoma"/>
      <w:sz w:val="22"/>
      <w:szCs w:val="24"/>
      <w:lang w:val="es-ES_tradnl" w:eastAsia="es-ES" w:bidi="ar-SA"/>
    </w:rPr>
  </w:style>
  <w:style w:type="paragraph" w:customStyle="1" w:styleId="Titulo00">
    <w:name w:val="Titulo 0"/>
    <w:basedOn w:val="Ttulo1"/>
    <w:rsid w:val="004E5076"/>
    <w:pPr>
      <w:keepLines w:val="0"/>
      <w:pBdr>
        <w:bottom w:val="single" w:sz="4" w:space="1" w:color="auto"/>
      </w:pBdr>
      <w:tabs>
        <w:tab w:val="left" w:pos="851"/>
      </w:tabs>
      <w:spacing w:before="0" w:after="0" w:line="320" w:lineRule="atLeast"/>
      <w:jc w:val="both"/>
    </w:pPr>
    <w:rPr>
      <w:rFonts w:ascii="Arial" w:eastAsia="Times New Roman" w:hAnsi="Arial" w:cs="Arial"/>
      <w:b/>
      <w:bCs/>
      <w:color w:val="auto"/>
      <w:sz w:val="24"/>
      <w:szCs w:val="24"/>
      <w:lang w:eastAsia="es-ES"/>
    </w:rPr>
  </w:style>
  <w:style w:type="paragraph" w:customStyle="1" w:styleId="Vieta4">
    <w:name w:val="Viñeta 4"/>
    <w:basedOn w:val="Normal"/>
    <w:rsid w:val="004E5076"/>
    <w:pPr>
      <w:widowControl/>
      <w:tabs>
        <w:tab w:val="num" w:pos="1440"/>
        <w:tab w:val="center" w:pos="1920"/>
      </w:tabs>
      <w:suppressAutoHyphens/>
      <w:spacing w:before="120"/>
      <w:ind w:left="1440" w:hanging="360"/>
      <w:jc w:val="both"/>
    </w:pPr>
    <w:rPr>
      <w:rFonts w:eastAsia="Times New Roman" w:cs="Times New Roman"/>
      <w:sz w:val="24"/>
      <w:szCs w:val="24"/>
      <w:lang w:eastAsia="es-ES"/>
    </w:rPr>
  </w:style>
  <w:style w:type="paragraph" w:customStyle="1" w:styleId="Tablas">
    <w:name w:val="Tablas"/>
    <w:basedOn w:val="Normal"/>
    <w:autoRedefine/>
    <w:rsid w:val="004E5076"/>
    <w:pPr>
      <w:widowControl/>
      <w:tabs>
        <w:tab w:val="center" w:pos="1920"/>
      </w:tabs>
      <w:suppressAutoHyphens/>
    </w:pPr>
    <w:rPr>
      <w:rFonts w:eastAsia="Times New Roman" w:cs="Times New Roman"/>
      <w:sz w:val="16"/>
      <w:szCs w:val="24"/>
      <w:lang w:eastAsia="es-ES"/>
    </w:rPr>
  </w:style>
  <w:style w:type="character" w:customStyle="1" w:styleId="messagebody">
    <w:name w:val="message_body"/>
    <w:basedOn w:val="Fuentedeprrafopredeter"/>
    <w:rsid w:val="004E5076"/>
  </w:style>
  <w:style w:type="character" w:customStyle="1" w:styleId="lightonly">
    <w:name w:val="light_only"/>
    <w:basedOn w:val="Fuentedeprrafopredeter"/>
    <w:rsid w:val="004E5076"/>
  </w:style>
  <w:style w:type="paragraph" w:customStyle="1" w:styleId="xl99">
    <w:name w:val="xl99"/>
    <w:basedOn w:val="Normal"/>
    <w:rsid w:val="004E5076"/>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269">
    <w:name w:val="xl269"/>
    <w:basedOn w:val="Normal"/>
    <w:rsid w:val="004E5076"/>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270">
    <w:name w:val="xl270"/>
    <w:basedOn w:val="Normal"/>
    <w:rsid w:val="004E5076"/>
    <w:pPr>
      <w:widowControl/>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271">
    <w:name w:val="xl271"/>
    <w:basedOn w:val="Normal"/>
    <w:rsid w:val="004E5076"/>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4"/>
      <w:szCs w:val="24"/>
      <w:lang w:eastAsia="es-ES"/>
    </w:rPr>
  </w:style>
  <w:style w:type="paragraph" w:customStyle="1" w:styleId="xl272">
    <w:name w:val="xl272"/>
    <w:basedOn w:val="Normal"/>
    <w:rsid w:val="004E507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4"/>
      <w:szCs w:val="24"/>
      <w:lang w:eastAsia="es-ES"/>
    </w:rPr>
  </w:style>
  <w:style w:type="paragraph" w:customStyle="1" w:styleId="xl273">
    <w:name w:val="xl273"/>
    <w:basedOn w:val="Normal"/>
    <w:rsid w:val="004E5076"/>
    <w:pPr>
      <w:widowControl/>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eastAsia="Times New Roman"/>
      <w:sz w:val="24"/>
      <w:szCs w:val="24"/>
      <w:lang w:eastAsia="es-ES"/>
    </w:rPr>
  </w:style>
  <w:style w:type="paragraph" w:customStyle="1" w:styleId="xl274">
    <w:name w:val="xl274"/>
    <w:basedOn w:val="Normal"/>
    <w:rsid w:val="004E5076"/>
    <w:pPr>
      <w:widowControl/>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eastAsia="Times New Roman"/>
      <w:sz w:val="24"/>
      <w:szCs w:val="24"/>
      <w:lang w:eastAsia="es-ES"/>
    </w:rPr>
  </w:style>
  <w:style w:type="paragraph" w:customStyle="1" w:styleId="xl275">
    <w:name w:val="xl275"/>
    <w:basedOn w:val="Normal"/>
    <w:rsid w:val="004E5076"/>
    <w:pPr>
      <w:widowControl/>
      <w:spacing w:before="100" w:beforeAutospacing="1" w:after="100" w:afterAutospacing="1"/>
      <w:textAlignment w:val="center"/>
    </w:pPr>
    <w:rPr>
      <w:rFonts w:eastAsia="Times New Roman"/>
      <w:sz w:val="24"/>
      <w:szCs w:val="24"/>
      <w:lang w:eastAsia="es-ES"/>
    </w:rPr>
  </w:style>
  <w:style w:type="paragraph" w:customStyle="1" w:styleId="xl276">
    <w:name w:val="xl276"/>
    <w:basedOn w:val="Normal"/>
    <w:rsid w:val="004E5076"/>
    <w:pPr>
      <w:widowControl/>
      <w:spacing w:before="100" w:beforeAutospacing="1" w:after="100" w:afterAutospacing="1"/>
      <w:textAlignment w:val="center"/>
    </w:pPr>
    <w:rPr>
      <w:rFonts w:eastAsia="Times New Roman"/>
      <w:b/>
      <w:bCs/>
      <w:color w:val="FF0000"/>
      <w:sz w:val="24"/>
      <w:szCs w:val="24"/>
      <w:lang w:eastAsia="es-ES"/>
    </w:rPr>
  </w:style>
  <w:style w:type="paragraph" w:customStyle="1" w:styleId="xl277">
    <w:name w:val="xl277"/>
    <w:basedOn w:val="Normal"/>
    <w:rsid w:val="004E5076"/>
    <w:pPr>
      <w:widowControl/>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278">
    <w:name w:val="xl278"/>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279">
    <w:name w:val="xl279"/>
    <w:basedOn w:val="Normal"/>
    <w:rsid w:val="004E5076"/>
    <w:pPr>
      <w:widowControl/>
      <w:pBdr>
        <w:top w:val="single" w:sz="8" w:space="0" w:color="auto"/>
        <w:left w:val="single" w:sz="4" w:space="0" w:color="auto"/>
        <w:bottom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50">
    <w:name w:val="xl350"/>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351">
    <w:name w:val="xl351"/>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352">
    <w:name w:val="xl352"/>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353">
    <w:name w:val="xl353"/>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sz w:val="24"/>
      <w:szCs w:val="24"/>
      <w:lang w:eastAsia="es-ES"/>
    </w:rPr>
  </w:style>
  <w:style w:type="paragraph" w:customStyle="1" w:styleId="xl354">
    <w:name w:val="xl354"/>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5">
    <w:name w:val="xl355"/>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6">
    <w:name w:val="xl356"/>
    <w:basedOn w:val="Normal"/>
    <w:rsid w:val="004E5076"/>
    <w:pPr>
      <w:widowControl/>
      <w:pBdr>
        <w:top w:val="single" w:sz="4" w:space="0" w:color="auto"/>
        <w:left w:val="single" w:sz="4" w:space="0" w:color="auto"/>
        <w:bottom w:val="single" w:sz="4" w:space="0" w:color="auto"/>
      </w:pBdr>
      <w:spacing w:before="100" w:beforeAutospacing="1" w:after="100" w:afterAutospacing="1"/>
      <w:jc w:val="right"/>
    </w:pPr>
    <w:rPr>
      <w:rFonts w:eastAsia="Times New Roman"/>
      <w:sz w:val="24"/>
      <w:szCs w:val="24"/>
      <w:lang w:eastAsia="es-ES"/>
    </w:rPr>
  </w:style>
  <w:style w:type="paragraph" w:customStyle="1" w:styleId="xl357">
    <w:name w:val="xl357"/>
    <w:basedOn w:val="Normal"/>
    <w:rsid w:val="004E5076"/>
    <w:pPr>
      <w:widowControl/>
      <w:pBdr>
        <w:top w:val="single" w:sz="8" w:space="0" w:color="auto"/>
        <w:bottom w:val="single" w:sz="8" w:space="0" w:color="auto"/>
      </w:pBdr>
      <w:spacing w:before="100" w:beforeAutospacing="1" w:after="100" w:afterAutospacing="1"/>
      <w:textAlignment w:val="center"/>
    </w:pPr>
    <w:rPr>
      <w:rFonts w:eastAsia="Times New Roman"/>
      <w:sz w:val="24"/>
      <w:szCs w:val="24"/>
      <w:lang w:eastAsia="es-ES"/>
    </w:rPr>
  </w:style>
  <w:style w:type="paragraph" w:customStyle="1" w:styleId="xl358">
    <w:name w:val="xl358"/>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359">
    <w:name w:val="xl35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360">
    <w:name w:val="xl360"/>
    <w:basedOn w:val="Normal"/>
    <w:rsid w:val="004E5076"/>
    <w:pPr>
      <w:widowControl/>
      <w:pBdr>
        <w:top w:val="single" w:sz="4" w:space="0" w:color="auto"/>
        <w:left w:val="single" w:sz="8"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sz w:val="24"/>
      <w:szCs w:val="24"/>
      <w:lang w:eastAsia="es-ES"/>
    </w:rPr>
  </w:style>
  <w:style w:type="paragraph" w:customStyle="1" w:styleId="xl361">
    <w:name w:val="xl361"/>
    <w:basedOn w:val="Normal"/>
    <w:rsid w:val="004E5076"/>
    <w:pPr>
      <w:widowControl/>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sz w:val="24"/>
      <w:szCs w:val="24"/>
      <w:lang w:eastAsia="es-ES"/>
    </w:rPr>
  </w:style>
  <w:style w:type="paragraph" w:customStyle="1" w:styleId="xl362">
    <w:name w:val="xl362"/>
    <w:basedOn w:val="Normal"/>
    <w:rsid w:val="004E5076"/>
    <w:pPr>
      <w:widowControl/>
      <w:pBdr>
        <w:top w:val="single" w:sz="4" w:space="0" w:color="auto"/>
        <w:left w:val="single" w:sz="4" w:space="0" w:color="auto"/>
        <w:bottom w:val="single" w:sz="4" w:space="0" w:color="auto"/>
        <w:right w:val="single" w:sz="8" w:space="0" w:color="auto"/>
      </w:pBdr>
      <w:shd w:val="clear" w:color="000000" w:fill="E7E6E6"/>
      <w:spacing w:before="100" w:beforeAutospacing="1" w:after="100" w:afterAutospacing="1"/>
      <w:jc w:val="right"/>
      <w:textAlignment w:val="center"/>
    </w:pPr>
    <w:rPr>
      <w:rFonts w:ascii="Times New Roman" w:eastAsia="Times New Roman" w:hAnsi="Times New Roman" w:cs="Times New Roman"/>
      <w:sz w:val="24"/>
      <w:szCs w:val="24"/>
      <w:lang w:eastAsia="es-ES"/>
    </w:rPr>
  </w:style>
  <w:style w:type="paragraph" w:customStyle="1" w:styleId="xl363">
    <w:name w:val="xl363"/>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4">
    <w:name w:val="xl364"/>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5">
    <w:name w:val="xl365"/>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6">
    <w:name w:val="xl366"/>
    <w:basedOn w:val="Normal"/>
    <w:rsid w:val="004E5076"/>
    <w:pPr>
      <w:widowControl/>
      <w:shd w:val="clear" w:color="000000" w:fill="404040"/>
      <w:spacing w:before="100" w:beforeAutospacing="1" w:after="100" w:afterAutospacing="1"/>
      <w:textAlignment w:val="center"/>
    </w:pPr>
    <w:rPr>
      <w:rFonts w:eastAsia="Times New Roman"/>
      <w:sz w:val="24"/>
      <w:szCs w:val="24"/>
      <w:lang w:eastAsia="es-ES"/>
    </w:rPr>
  </w:style>
  <w:style w:type="paragraph" w:customStyle="1" w:styleId="xl367">
    <w:name w:val="xl367"/>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68">
    <w:name w:val="xl368"/>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69">
    <w:name w:val="xl36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370">
    <w:name w:val="xl370"/>
    <w:basedOn w:val="Normal"/>
    <w:rsid w:val="004E5076"/>
    <w:pPr>
      <w:widowControl/>
      <w:pBdr>
        <w:top w:val="single" w:sz="8" w:space="0" w:color="auto"/>
        <w:left w:val="single" w:sz="4" w:space="0" w:color="auto"/>
        <w:bottom w:val="single" w:sz="8" w:space="0" w:color="auto"/>
        <w:right w:val="single" w:sz="4"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1">
    <w:name w:val="xl371"/>
    <w:basedOn w:val="Normal"/>
    <w:rsid w:val="004E5076"/>
    <w:pPr>
      <w:widowControl/>
      <w:pBdr>
        <w:top w:val="single" w:sz="8" w:space="0" w:color="auto"/>
        <w:left w:val="single" w:sz="4" w:space="0" w:color="auto"/>
        <w:bottom w:val="single" w:sz="8" w:space="0" w:color="auto"/>
        <w:right w:val="single" w:sz="4"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2">
    <w:name w:val="xl372"/>
    <w:basedOn w:val="Normal"/>
    <w:rsid w:val="004E5076"/>
    <w:pPr>
      <w:widowControl/>
      <w:pBdr>
        <w:top w:val="single" w:sz="8" w:space="0" w:color="auto"/>
        <w:left w:val="single" w:sz="4" w:space="0" w:color="auto"/>
        <w:bottom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3">
    <w:name w:val="xl373"/>
    <w:basedOn w:val="Normal"/>
    <w:rsid w:val="004E5076"/>
    <w:pPr>
      <w:widowControl/>
      <w:pBdr>
        <w:top w:val="single" w:sz="8" w:space="0" w:color="auto"/>
        <w:left w:val="single" w:sz="4" w:space="0" w:color="auto"/>
        <w:bottom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4">
    <w:name w:val="xl374"/>
    <w:basedOn w:val="Normal"/>
    <w:rsid w:val="004E5076"/>
    <w:pPr>
      <w:widowControl/>
      <w:pBdr>
        <w:top w:val="single" w:sz="8" w:space="0" w:color="auto"/>
        <w:left w:val="single" w:sz="4" w:space="0" w:color="auto"/>
        <w:bottom w:val="single" w:sz="8" w:space="0" w:color="auto"/>
        <w:right w:val="single" w:sz="8" w:space="0" w:color="auto"/>
      </w:pBdr>
      <w:shd w:val="clear" w:color="000000" w:fill="00FFFF"/>
      <w:spacing w:before="100" w:beforeAutospacing="1" w:after="100" w:afterAutospacing="1"/>
      <w:jc w:val="center"/>
      <w:textAlignment w:val="center"/>
    </w:pPr>
    <w:rPr>
      <w:rFonts w:eastAsia="Times New Roman"/>
      <w:sz w:val="24"/>
      <w:szCs w:val="24"/>
      <w:lang w:eastAsia="es-ES"/>
    </w:rPr>
  </w:style>
  <w:style w:type="paragraph" w:customStyle="1" w:styleId="xl375">
    <w:name w:val="xl375"/>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76">
    <w:name w:val="xl376"/>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7">
    <w:name w:val="xl377"/>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8">
    <w:name w:val="xl378"/>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79">
    <w:name w:val="xl379"/>
    <w:basedOn w:val="Normal"/>
    <w:rsid w:val="004E5076"/>
    <w:pPr>
      <w:widowControl/>
      <w:pBdr>
        <w:top w:val="single" w:sz="8" w:space="0" w:color="auto"/>
        <w:left w:val="single" w:sz="4" w:space="0" w:color="auto"/>
        <w:bottom w:val="single" w:sz="8" w:space="0" w:color="auto"/>
        <w:right w:val="single" w:sz="8" w:space="0" w:color="auto"/>
      </w:pBdr>
      <w:shd w:val="clear" w:color="000000" w:fill="BACFED"/>
      <w:spacing w:before="100" w:beforeAutospacing="1" w:after="100" w:afterAutospacing="1"/>
      <w:jc w:val="right"/>
      <w:textAlignment w:val="center"/>
    </w:pPr>
    <w:rPr>
      <w:rFonts w:eastAsia="Times New Roman"/>
      <w:sz w:val="24"/>
      <w:szCs w:val="24"/>
      <w:lang w:eastAsia="es-ES"/>
    </w:rPr>
  </w:style>
  <w:style w:type="paragraph" w:customStyle="1" w:styleId="xl380">
    <w:name w:val="xl380"/>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1">
    <w:name w:val="xl381"/>
    <w:basedOn w:val="Normal"/>
    <w:rsid w:val="004E5076"/>
    <w:pPr>
      <w:widowControl/>
      <w:pBdr>
        <w:top w:val="single" w:sz="8" w:space="0" w:color="auto"/>
        <w:left w:val="single" w:sz="4" w:space="0" w:color="auto"/>
        <w:bottom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2">
    <w:name w:val="xl382"/>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3">
    <w:name w:val="xl383"/>
    <w:basedOn w:val="Normal"/>
    <w:rsid w:val="004E5076"/>
    <w:pPr>
      <w:widowControl/>
      <w:pBdr>
        <w:top w:val="single" w:sz="8" w:space="0" w:color="auto"/>
        <w:left w:val="single" w:sz="4"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84">
    <w:name w:val="xl384"/>
    <w:basedOn w:val="Normal"/>
    <w:rsid w:val="004E5076"/>
    <w:pPr>
      <w:widowControl/>
      <w:pBdr>
        <w:top w:val="single" w:sz="8" w:space="0" w:color="auto"/>
        <w:left w:val="single" w:sz="4" w:space="0" w:color="auto"/>
        <w:righ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5">
    <w:name w:val="xl385"/>
    <w:basedOn w:val="Normal"/>
    <w:rsid w:val="004E5076"/>
    <w:pPr>
      <w:widowControl/>
      <w:pBdr>
        <w:top w:val="single" w:sz="8" w:space="0" w:color="auto"/>
        <w:lef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6">
    <w:name w:val="xl386"/>
    <w:basedOn w:val="Normal"/>
    <w:rsid w:val="004E5076"/>
    <w:pPr>
      <w:widowControl/>
      <w:pBdr>
        <w:top w:val="single" w:sz="8" w:space="0" w:color="auto"/>
        <w:left w:val="single" w:sz="4"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387">
    <w:name w:val="xl387"/>
    <w:basedOn w:val="Normal"/>
    <w:rsid w:val="004E5076"/>
    <w:pPr>
      <w:widowControl/>
      <w:pBdr>
        <w:top w:val="single" w:sz="8" w:space="0" w:color="auto"/>
        <w:left w:val="single" w:sz="4" w:space="0" w:color="auto"/>
        <w:right w:val="single" w:sz="8" w:space="0" w:color="auto"/>
      </w:pBdr>
      <w:shd w:val="clear" w:color="000000" w:fill="BACFED"/>
      <w:spacing w:before="100" w:beforeAutospacing="1" w:after="100" w:afterAutospacing="1"/>
      <w:jc w:val="right"/>
      <w:textAlignment w:val="center"/>
    </w:pPr>
    <w:rPr>
      <w:rFonts w:eastAsia="Times New Roman"/>
      <w:sz w:val="24"/>
      <w:szCs w:val="24"/>
      <w:lang w:eastAsia="es-ES"/>
    </w:rPr>
  </w:style>
  <w:style w:type="paragraph" w:customStyle="1" w:styleId="xl388">
    <w:name w:val="xl388"/>
    <w:basedOn w:val="Normal"/>
    <w:rsid w:val="004E5076"/>
    <w:pPr>
      <w:widowControl/>
      <w:pBdr>
        <w:top w:val="single" w:sz="8" w:space="0" w:color="auto"/>
        <w:left w:val="single" w:sz="4" w:space="0" w:color="auto"/>
        <w:bottom w:val="single" w:sz="8" w:space="0" w:color="auto"/>
        <w:right w:val="single" w:sz="4" w:space="0" w:color="auto"/>
      </w:pBdr>
      <w:shd w:val="clear" w:color="000000" w:fill="BACFED"/>
      <w:spacing w:before="100" w:beforeAutospacing="1" w:after="100" w:afterAutospacing="1"/>
      <w:jc w:val="center"/>
      <w:textAlignment w:val="center"/>
    </w:pPr>
    <w:rPr>
      <w:rFonts w:eastAsia="Times New Roman"/>
      <w:sz w:val="24"/>
      <w:szCs w:val="24"/>
      <w:lang w:eastAsia="es-ES"/>
    </w:rPr>
  </w:style>
  <w:style w:type="paragraph" w:customStyle="1" w:styleId="xl389">
    <w:name w:val="xl389"/>
    <w:basedOn w:val="Normal"/>
    <w:rsid w:val="004E5076"/>
    <w:pPr>
      <w:widowControl/>
      <w:pBdr>
        <w:top w:val="single" w:sz="8" w:space="0" w:color="auto"/>
        <w:left w:val="single" w:sz="4" w:space="0" w:color="auto"/>
        <w:bottom w:val="single" w:sz="8" w:space="0" w:color="auto"/>
        <w:right w:val="single" w:sz="4"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0">
    <w:name w:val="xl390"/>
    <w:basedOn w:val="Normal"/>
    <w:rsid w:val="004E5076"/>
    <w:pPr>
      <w:widowControl/>
      <w:pBdr>
        <w:top w:val="single" w:sz="8" w:space="0" w:color="auto"/>
        <w:left w:val="single" w:sz="4" w:space="0" w:color="auto"/>
        <w:bottom w:val="single" w:sz="8" w:space="0" w:color="auto"/>
        <w:right w:val="single" w:sz="4"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1">
    <w:name w:val="xl391"/>
    <w:basedOn w:val="Normal"/>
    <w:rsid w:val="004E5076"/>
    <w:pPr>
      <w:widowControl/>
      <w:pBdr>
        <w:top w:val="single" w:sz="8" w:space="0" w:color="auto"/>
        <w:left w:val="single" w:sz="4" w:space="0" w:color="auto"/>
        <w:bottom w:val="single" w:sz="8"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2">
    <w:name w:val="xl392"/>
    <w:basedOn w:val="Normal"/>
    <w:rsid w:val="004E5076"/>
    <w:pPr>
      <w:widowControl/>
      <w:pBdr>
        <w:top w:val="single" w:sz="8" w:space="0" w:color="auto"/>
        <w:left w:val="single" w:sz="4" w:space="0" w:color="auto"/>
        <w:bottom w:val="single" w:sz="8" w:space="0" w:color="auto"/>
      </w:pBdr>
      <w:shd w:val="clear" w:color="000000" w:fill="FFF191"/>
      <w:spacing w:before="100" w:beforeAutospacing="1" w:after="100" w:afterAutospacing="1"/>
      <w:jc w:val="center"/>
      <w:textAlignment w:val="center"/>
    </w:pPr>
    <w:rPr>
      <w:rFonts w:eastAsia="Times New Roman"/>
      <w:sz w:val="24"/>
      <w:szCs w:val="24"/>
      <w:lang w:eastAsia="es-ES"/>
    </w:rPr>
  </w:style>
  <w:style w:type="paragraph" w:customStyle="1" w:styleId="xl393">
    <w:name w:val="xl393"/>
    <w:basedOn w:val="Normal"/>
    <w:rsid w:val="004E5076"/>
    <w:pPr>
      <w:widowControl/>
      <w:pBdr>
        <w:top w:val="single" w:sz="8" w:space="0" w:color="auto"/>
        <w:left w:val="single" w:sz="4" w:space="0" w:color="auto"/>
        <w:bottom w:val="single" w:sz="8" w:space="0" w:color="auto"/>
        <w:right w:val="single" w:sz="8" w:space="0" w:color="auto"/>
      </w:pBdr>
      <w:shd w:val="clear" w:color="000000" w:fill="FFF191"/>
      <w:spacing w:before="100" w:beforeAutospacing="1" w:after="100" w:afterAutospacing="1"/>
      <w:jc w:val="right"/>
      <w:textAlignment w:val="center"/>
    </w:pPr>
    <w:rPr>
      <w:rFonts w:eastAsia="Times New Roman"/>
      <w:sz w:val="24"/>
      <w:szCs w:val="24"/>
      <w:lang w:eastAsia="es-ES"/>
    </w:rPr>
  </w:style>
  <w:style w:type="paragraph" w:customStyle="1" w:styleId="xl394">
    <w:name w:val="xl394"/>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sz w:val="24"/>
      <w:szCs w:val="24"/>
      <w:lang w:eastAsia="es-ES"/>
    </w:rPr>
  </w:style>
  <w:style w:type="paragraph" w:customStyle="1" w:styleId="xl395">
    <w:name w:val="xl395"/>
    <w:basedOn w:val="Normal"/>
    <w:rsid w:val="004E5076"/>
    <w:pPr>
      <w:widowControl/>
      <w:pBdr>
        <w:top w:val="single" w:sz="8" w:space="0" w:color="auto"/>
        <w:left w:val="single" w:sz="4" w:space="0" w:color="auto"/>
        <w:bottom w:val="single" w:sz="8" w:space="0" w:color="auto"/>
        <w:right w:val="single" w:sz="4"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6">
    <w:name w:val="xl396"/>
    <w:basedOn w:val="Normal"/>
    <w:rsid w:val="004E5076"/>
    <w:pPr>
      <w:widowControl/>
      <w:pBdr>
        <w:top w:val="single" w:sz="8" w:space="0" w:color="auto"/>
        <w:left w:val="single" w:sz="4" w:space="0" w:color="auto"/>
        <w:bottom w:val="single" w:sz="8" w:space="0" w:color="auto"/>
        <w:right w:val="single" w:sz="4"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7">
    <w:name w:val="xl397"/>
    <w:basedOn w:val="Normal"/>
    <w:rsid w:val="004E5076"/>
    <w:pPr>
      <w:widowControl/>
      <w:pBdr>
        <w:top w:val="single" w:sz="8" w:space="0" w:color="auto"/>
        <w:left w:val="single" w:sz="4" w:space="0" w:color="auto"/>
        <w:bottom w:val="single" w:sz="8"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8">
    <w:name w:val="xl398"/>
    <w:basedOn w:val="Normal"/>
    <w:rsid w:val="004E5076"/>
    <w:pPr>
      <w:widowControl/>
      <w:pBdr>
        <w:top w:val="single" w:sz="8" w:space="0" w:color="auto"/>
        <w:left w:val="single" w:sz="4" w:space="0" w:color="auto"/>
        <w:bottom w:val="single" w:sz="8" w:space="0" w:color="auto"/>
      </w:pBdr>
      <w:shd w:val="clear" w:color="000000" w:fill="FFFF93"/>
      <w:spacing w:before="100" w:beforeAutospacing="1" w:after="100" w:afterAutospacing="1"/>
      <w:jc w:val="center"/>
      <w:textAlignment w:val="center"/>
    </w:pPr>
    <w:rPr>
      <w:rFonts w:eastAsia="Times New Roman"/>
      <w:sz w:val="24"/>
      <w:szCs w:val="24"/>
      <w:lang w:eastAsia="es-ES"/>
    </w:rPr>
  </w:style>
  <w:style w:type="paragraph" w:customStyle="1" w:styleId="xl399">
    <w:name w:val="xl399"/>
    <w:basedOn w:val="Normal"/>
    <w:rsid w:val="004E5076"/>
    <w:pPr>
      <w:widowControl/>
      <w:pBdr>
        <w:top w:val="single" w:sz="8" w:space="0" w:color="auto"/>
        <w:left w:val="single" w:sz="4" w:space="0" w:color="auto"/>
        <w:bottom w:val="single" w:sz="8" w:space="0" w:color="auto"/>
        <w:right w:val="single" w:sz="8" w:space="0" w:color="auto"/>
      </w:pBdr>
      <w:shd w:val="clear" w:color="000000" w:fill="FFFF93"/>
      <w:spacing w:before="100" w:beforeAutospacing="1" w:after="100" w:afterAutospacing="1"/>
      <w:jc w:val="right"/>
      <w:textAlignment w:val="center"/>
    </w:pPr>
    <w:rPr>
      <w:rFonts w:eastAsia="Times New Roman"/>
      <w:sz w:val="24"/>
      <w:szCs w:val="24"/>
      <w:lang w:eastAsia="es-ES"/>
    </w:rPr>
  </w:style>
  <w:style w:type="paragraph" w:customStyle="1" w:styleId="xl400">
    <w:name w:val="xl400"/>
    <w:basedOn w:val="Normal"/>
    <w:rsid w:val="004E5076"/>
    <w:pPr>
      <w:widowControl/>
      <w:pBdr>
        <w:top w:val="single" w:sz="8" w:space="0" w:color="auto"/>
        <w:left w:val="single" w:sz="4" w:space="0" w:color="auto"/>
        <w:bottom w:val="single" w:sz="8" w:space="0" w:color="auto"/>
        <w:right w:val="single" w:sz="4"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1">
    <w:name w:val="xl401"/>
    <w:basedOn w:val="Normal"/>
    <w:rsid w:val="004E5076"/>
    <w:pPr>
      <w:widowControl/>
      <w:pBdr>
        <w:top w:val="single" w:sz="8" w:space="0" w:color="auto"/>
        <w:left w:val="single" w:sz="4" w:space="0" w:color="auto"/>
        <w:bottom w:val="single" w:sz="8" w:space="0" w:color="auto"/>
        <w:right w:val="single" w:sz="4"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2">
    <w:name w:val="xl402"/>
    <w:basedOn w:val="Normal"/>
    <w:rsid w:val="004E5076"/>
    <w:pPr>
      <w:widowControl/>
      <w:pBdr>
        <w:top w:val="single" w:sz="8" w:space="0" w:color="auto"/>
        <w:left w:val="single" w:sz="4" w:space="0" w:color="auto"/>
        <w:bottom w:val="single" w:sz="8"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3">
    <w:name w:val="xl403"/>
    <w:basedOn w:val="Normal"/>
    <w:rsid w:val="004E5076"/>
    <w:pPr>
      <w:widowControl/>
      <w:pBdr>
        <w:top w:val="single" w:sz="8" w:space="0" w:color="auto"/>
        <w:left w:val="single" w:sz="4" w:space="0" w:color="auto"/>
        <w:bottom w:val="single" w:sz="8" w:space="0" w:color="auto"/>
      </w:pBdr>
      <w:shd w:val="clear" w:color="000000" w:fill="FCB5D6"/>
      <w:spacing w:before="100" w:beforeAutospacing="1" w:after="100" w:afterAutospacing="1"/>
      <w:jc w:val="center"/>
      <w:textAlignment w:val="center"/>
    </w:pPr>
    <w:rPr>
      <w:rFonts w:eastAsia="Times New Roman"/>
      <w:sz w:val="24"/>
      <w:szCs w:val="24"/>
      <w:lang w:eastAsia="es-ES"/>
    </w:rPr>
  </w:style>
  <w:style w:type="paragraph" w:customStyle="1" w:styleId="xl404">
    <w:name w:val="xl404"/>
    <w:basedOn w:val="Normal"/>
    <w:rsid w:val="004E5076"/>
    <w:pPr>
      <w:widowControl/>
      <w:pBdr>
        <w:top w:val="single" w:sz="8" w:space="0" w:color="auto"/>
        <w:left w:val="single" w:sz="4" w:space="0" w:color="auto"/>
        <w:bottom w:val="single" w:sz="8" w:space="0" w:color="auto"/>
        <w:right w:val="single" w:sz="8" w:space="0" w:color="auto"/>
      </w:pBdr>
      <w:shd w:val="clear" w:color="000000" w:fill="FCB5D6"/>
      <w:spacing w:before="100" w:beforeAutospacing="1" w:after="100" w:afterAutospacing="1"/>
      <w:jc w:val="right"/>
      <w:textAlignment w:val="center"/>
    </w:pPr>
    <w:rPr>
      <w:rFonts w:eastAsia="Times New Roman"/>
      <w:sz w:val="24"/>
      <w:szCs w:val="24"/>
      <w:lang w:eastAsia="es-ES"/>
    </w:rPr>
  </w:style>
  <w:style w:type="paragraph" w:customStyle="1" w:styleId="xl405">
    <w:name w:val="xl405"/>
    <w:basedOn w:val="Normal"/>
    <w:rsid w:val="004E5076"/>
    <w:pPr>
      <w:widowControl/>
      <w:pBdr>
        <w:top w:val="single" w:sz="8" w:space="0" w:color="auto"/>
        <w:left w:val="single" w:sz="4" w:space="0" w:color="auto"/>
        <w:bottom w:val="single" w:sz="8" w:space="0" w:color="auto"/>
        <w:right w:val="single" w:sz="4"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6">
    <w:name w:val="xl406"/>
    <w:basedOn w:val="Normal"/>
    <w:rsid w:val="004E5076"/>
    <w:pPr>
      <w:widowControl/>
      <w:pBdr>
        <w:top w:val="single" w:sz="8" w:space="0" w:color="auto"/>
        <w:left w:val="single" w:sz="4" w:space="0" w:color="auto"/>
        <w:bottom w:val="single" w:sz="8" w:space="0" w:color="auto"/>
        <w:right w:val="single" w:sz="4"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7">
    <w:name w:val="xl407"/>
    <w:basedOn w:val="Normal"/>
    <w:rsid w:val="004E5076"/>
    <w:pPr>
      <w:widowControl/>
      <w:pBdr>
        <w:top w:val="single" w:sz="8" w:space="0" w:color="auto"/>
        <w:left w:val="single" w:sz="4" w:space="0" w:color="auto"/>
        <w:bottom w:val="single" w:sz="8"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8">
    <w:name w:val="xl408"/>
    <w:basedOn w:val="Normal"/>
    <w:rsid w:val="004E5076"/>
    <w:pPr>
      <w:widowControl/>
      <w:pBdr>
        <w:top w:val="single" w:sz="8" w:space="0" w:color="auto"/>
        <w:left w:val="single" w:sz="4" w:space="0" w:color="auto"/>
        <w:bottom w:val="single" w:sz="8" w:space="0" w:color="auto"/>
      </w:pBdr>
      <w:shd w:val="clear" w:color="000000" w:fill="DDF383"/>
      <w:spacing w:before="100" w:beforeAutospacing="1" w:after="100" w:afterAutospacing="1"/>
      <w:jc w:val="center"/>
      <w:textAlignment w:val="center"/>
    </w:pPr>
    <w:rPr>
      <w:rFonts w:eastAsia="Times New Roman"/>
      <w:sz w:val="24"/>
      <w:szCs w:val="24"/>
      <w:lang w:eastAsia="es-ES"/>
    </w:rPr>
  </w:style>
  <w:style w:type="paragraph" w:customStyle="1" w:styleId="xl409">
    <w:name w:val="xl409"/>
    <w:basedOn w:val="Normal"/>
    <w:rsid w:val="004E5076"/>
    <w:pPr>
      <w:widowControl/>
      <w:pBdr>
        <w:top w:val="single" w:sz="8" w:space="0" w:color="auto"/>
        <w:left w:val="single" w:sz="4" w:space="0" w:color="auto"/>
        <w:bottom w:val="single" w:sz="8" w:space="0" w:color="auto"/>
        <w:right w:val="single" w:sz="8" w:space="0" w:color="auto"/>
      </w:pBdr>
      <w:shd w:val="clear" w:color="000000" w:fill="DDF383"/>
      <w:spacing w:before="100" w:beforeAutospacing="1" w:after="100" w:afterAutospacing="1"/>
      <w:jc w:val="right"/>
      <w:textAlignment w:val="center"/>
    </w:pPr>
    <w:rPr>
      <w:rFonts w:eastAsia="Times New Roman"/>
      <w:sz w:val="24"/>
      <w:szCs w:val="24"/>
      <w:lang w:eastAsia="es-ES"/>
    </w:rPr>
  </w:style>
  <w:style w:type="paragraph" w:customStyle="1" w:styleId="xl410">
    <w:name w:val="xl410"/>
    <w:basedOn w:val="Normal"/>
    <w:rsid w:val="004E5076"/>
    <w:pPr>
      <w:widowControl/>
      <w:pBdr>
        <w:top w:val="single" w:sz="8" w:space="0" w:color="auto"/>
        <w:left w:val="single" w:sz="4" w:space="0" w:color="auto"/>
        <w:bottom w:val="single" w:sz="8" w:space="0" w:color="auto"/>
        <w:right w:val="single" w:sz="4"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1">
    <w:name w:val="xl411"/>
    <w:basedOn w:val="Normal"/>
    <w:rsid w:val="004E5076"/>
    <w:pPr>
      <w:widowControl/>
      <w:pBdr>
        <w:top w:val="single" w:sz="8" w:space="0" w:color="auto"/>
        <w:left w:val="single" w:sz="4" w:space="0" w:color="auto"/>
        <w:bottom w:val="single" w:sz="8" w:space="0" w:color="auto"/>
        <w:right w:val="single" w:sz="4"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2">
    <w:name w:val="xl412"/>
    <w:basedOn w:val="Normal"/>
    <w:rsid w:val="004E5076"/>
    <w:pPr>
      <w:widowControl/>
      <w:pBdr>
        <w:top w:val="single" w:sz="8" w:space="0" w:color="auto"/>
        <w:left w:val="single" w:sz="4" w:space="0" w:color="auto"/>
        <w:bottom w:val="single" w:sz="8"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3">
    <w:name w:val="xl413"/>
    <w:basedOn w:val="Normal"/>
    <w:rsid w:val="004E5076"/>
    <w:pPr>
      <w:widowControl/>
      <w:pBdr>
        <w:top w:val="single" w:sz="8" w:space="0" w:color="auto"/>
        <w:left w:val="single" w:sz="4" w:space="0" w:color="auto"/>
        <w:bottom w:val="single" w:sz="8" w:space="0" w:color="auto"/>
      </w:pBdr>
      <w:shd w:val="clear" w:color="000000" w:fill="EEEEEE"/>
      <w:spacing w:before="100" w:beforeAutospacing="1" w:after="100" w:afterAutospacing="1"/>
      <w:jc w:val="center"/>
      <w:textAlignment w:val="center"/>
    </w:pPr>
    <w:rPr>
      <w:rFonts w:eastAsia="Times New Roman"/>
      <w:sz w:val="24"/>
      <w:szCs w:val="24"/>
      <w:lang w:eastAsia="es-ES"/>
    </w:rPr>
  </w:style>
  <w:style w:type="paragraph" w:customStyle="1" w:styleId="xl414">
    <w:name w:val="xl414"/>
    <w:basedOn w:val="Normal"/>
    <w:rsid w:val="004E5076"/>
    <w:pPr>
      <w:widowControl/>
      <w:pBdr>
        <w:top w:val="single" w:sz="8" w:space="0" w:color="auto"/>
        <w:left w:val="single" w:sz="4" w:space="0" w:color="auto"/>
        <w:bottom w:val="single" w:sz="8"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15">
    <w:name w:val="xl415"/>
    <w:basedOn w:val="Normal"/>
    <w:rsid w:val="004E5076"/>
    <w:pPr>
      <w:widowControl/>
      <w:pBdr>
        <w:top w:val="single" w:sz="8" w:space="0" w:color="auto"/>
        <w:left w:val="single" w:sz="4" w:space="0" w:color="auto"/>
        <w:bottom w:val="single" w:sz="8" w:space="0" w:color="auto"/>
        <w:right w:val="single" w:sz="8" w:space="0" w:color="auto"/>
      </w:pBdr>
      <w:shd w:val="clear" w:color="000000" w:fill="F5F5DC"/>
      <w:spacing w:before="100" w:beforeAutospacing="1" w:after="100" w:afterAutospacing="1"/>
      <w:jc w:val="right"/>
      <w:textAlignment w:val="center"/>
    </w:pPr>
    <w:rPr>
      <w:rFonts w:eastAsia="Times New Roman"/>
      <w:sz w:val="24"/>
      <w:szCs w:val="24"/>
      <w:lang w:eastAsia="es-ES"/>
    </w:rPr>
  </w:style>
  <w:style w:type="paragraph" w:customStyle="1" w:styleId="xl416">
    <w:name w:val="xl416"/>
    <w:basedOn w:val="Normal"/>
    <w:rsid w:val="004E5076"/>
    <w:pPr>
      <w:widowControl/>
      <w:pBdr>
        <w:top w:val="single" w:sz="8" w:space="0" w:color="auto"/>
        <w:left w:val="single" w:sz="4" w:space="0" w:color="auto"/>
        <w:bottom w:val="single" w:sz="8" w:space="0" w:color="auto"/>
        <w:right w:val="single" w:sz="8" w:space="0" w:color="auto"/>
      </w:pBdr>
      <w:shd w:val="clear" w:color="000000" w:fill="D0C1E3"/>
      <w:spacing w:before="100" w:beforeAutospacing="1" w:after="100" w:afterAutospacing="1"/>
      <w:jc w:val="right"/>
      <w:textAlignment w:val="center"/>
    </w:pPr>
    <w:rPr>
      <w:rFonts w:eastAsia="Times New Roman"/>
      <w:sz w:val="24"/>
      <w:szCs w:val="24"/>
      <w:lang w:eastAsia="es-ES"/>
    </w:rPr>
  </w:style>
  <w:style w:type="paragraph" w:customStyle="1" w:styleId="xl417">
    <w:name w:val="xl417"/>
    <w:basedOn w:val="Normal"/>
    <w:rsid w:val="004E5076"/>
    <w:pPr>
      <w:widowControl/>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18">
    <w:name w:val="xl418"/>
    <w:basedOn w:val="Normal"/>
    <w:rsid w:val="004E5076"/>
    <w:pPr>
      <w:widowControl/>
      <w:pBdr>
        <w:top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19">
    <w:name w:val="xl419"/>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20">
    <w:name w:val="xl420"/>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21">
    <w:name w:val="xl421"/>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22">
    <w:name w:val="xl422"/>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23">
    <w:name w:val="xl423"/>
    <w:basedOn w:val="Normal"/>
    <w:rsid w:val="004E5076"/>
    <w:pPr>
      <w:widowControl/>
      <w:pBdr>
        <w:top w:val="single" w:sz="8" w:space="0" w:color="auto"/>
        <w:left w:val="single" w:sz="4" w:space="0" w:color="auto"/>
        <w:bottom w:val="single" w:sz="8" w:space="0" w:color="auto"/>
        <w:right w:val="single" w:sz="8" w:space="0" w:color="auto"/>
      </w:pBdr>
      <w:shd w:val="clear" w:color="000000" w:fill="BACFED"/>
      <w:spacing w:before="100" w:beforeAutospacing="1" w:after="100" w:afterAutospacing="1"/>
      <w:textAlignment w:val="center"/>
    </w:pPr>
    <w:rPr>
      <w:rFonts w:eastAsia="Times New Roman"/>
      <w:sz w:val="24"/>
      <w:szCs w:val="24"/>
      <w:lang w:eastAsia="es-ES"/>
    </w:rPr>
  </w:style>
  <w:style w:type="paragraph" w:customStyle="1" w:styleId="xl424">
    <w:name w:val="xl424"/>
    <w:basedOn w:val="Normal"/>
    <w:rsid w:val="004E5076"/>
    <w:pPr>
      <w:widowControl/>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right"/>
      <w:textAlignment w:val="center"/>
    </w:pPr>
    <w:rPr>
      <w:rFonts w:eastAsia="Times New Roman"/>
      <w:sz w:val="24"/>
      <w:szCs w:val="24"/>
      <w:lang w:eastAsia="es-ES"/>
    </w:rPr>
  </w:style>
  <w:style w:type="paragraph" w:customStyle="1" w:styleId="xl425">
    <w:name w:val="xl425"/>
    <w:basedOn w:val="Normal"/>
    <w:rsid w:val="004E5076"/>
    <w:pPr>
      <w:widowControl/>
      <w:shd w:val="clear" w:color="000000" w:fill="404040"/>
      <w:spacing w:before="100" w:beforeAutospacing="1" w:after="100" w:afterAutospacing="1"/>
      <w:jc w:val="right"/>
      <w:textAlignment w:val="center"/>
    </w:pPr>
    <w:rPr>
      <w:rFonts w:eastAsia="Times New Roman"/>
      <w:color w:val="FFFFFF"/>
      <w:sz w:val="24"/>
      <w:szCs w:val="24"/>
      <w:lang w:eastAsia="es-ES"/>
    </w:rPr>
  </w:style>
  <w:style w:type="character" w:customStyle="1" w:styleId="Listavistosa-nfasis1Car">
    <w:name w:val="Lista vistosa - Énfasis 1 Car"/>
    <w:link w:val="Listavistosa-nfasis11"/>
    <w:uiPriority w:val="34"/>
    <w:rsid w:val="004E5076"/>
    <w:rPr>
      <w:rFonts w:ascii="Calibri" w:eastAsia="Times New Roman" w:hAnsi="Calibri" w:cs="Calibri"/>
      <w:kern w:val="0"/>
      <w:lang w:val="en-US" w:eastAsia="es-PE"/>
    </w:rPr>
  </w:style>
  <w:style w:type="paragraph" w:customStyle="1" w:styleId="Sombreadovistoso-nfasis11">
    <w:name w:val="Sombreado vistoso - Énfasis 11"/>
    <w:hidden/>
    <w:uiPriority w:val="99"/>
    <w:rsid w:val="004E5076"/>
    <w:rPr>
      <w:rFonts w:ascii="Calibri" w:eastAsia="Calibri" w:hAnsi="Calibri" w:cs="Times New Roman"/>
    </w:rPr>
  </w:style>
  <w:style w:type="character" w:customStyle="1" w:styleId="Cuadrculamedia11">
    <w:name w:val="Cuadrícula media 11"/>
    <w:uiPriority w:val="99"/>
    <w:rsid w:val="004E5076"/>
    <w:rPr>
      <w:color w:val="808080"/>
    </w:rPr>
  </w:style>
  <w:style w:type="character" w:customStyle="1" w:styleId="Tabladecuadrcula1clara1">
    <w:name w:val="Tabla de cuadrícula 1 clara1"/>
    <w:uiPriority w:val="33"/>
    <w:qFormat/>
    <w:rsid w:val="004E5076"/>
    <w:rPr>
      <w:b/>
      <w:bCs/>
      <w:i/>
      <w:iCs/>
      <w:spacing w:val="5"/>
    </w:rPr>
  </w:style>
  <w:style w:type="paragraph" w:customStyle="1" w:styleId="EstiloTtulo1">
    <w:name w:val="Estilo Título 1"/>
    <w:basedOn w:val="EstiloTtulo2"/>
    <w:qFormat/>
    <w:rsid w:val="004E5076"/>
    <w:pPr>
      <w:numPr>
        <w:ilvl w:val="0"/>
        <w:numId w:val="0"/>
      </w:numPr>
      <w:tabs>
        <w:tab w:val="num" w:pos="720"/>
      </w:tabs>
      <w:autoSpaceDE/>
      <w:autoSpaceDN/>
      <w:adjustRightInd/>
      <w:spacing w:line="240" w:lineRule="auto"/>
      <w:ind w:left="720" w:hanging="720"/>
      <w:jc w:val="both"/>
    </w:pPr>
    <w:rPr>
      <w:rFonts w:eastAsia="Times New Roman" w:cs="Times New Roman"/>
      <w:bCs/>
      <w:color w:val="008FCB"/>
      <w:szCs w:val="20"/>
      <w:lang w:val="x-none" w:eastAsia="es-ES"/>
    </w:rPr>
  </w:style>
  <w:style w:type="numbering" w:customStyle="1" w:styleId="Lista211">
    <w:name w:val="Lista 211"/>
    <w:basedOn w:val="Sinlista"/>
    <w:rsid w:val="004E5076"/>
  </w:style>
  <w:style w:type="paragraph" w:customStyle="1" w:styleId="TextoCapitulo">
    <w:name w:val="Texto Capitulo"/>
    <w:basedOn w:val="TEXTO0"/>
    <w:link w:val="TextoCapituloCar"/>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
    <w:name w:val="Texto Capitulo Car"/>
    <w:link w:val="TextoCapitulo"/>
    <w:rsid w:val="004E5076"/>
    <w:rPr>
      <w:rFonts w:ascii="Georgia" w:eastAsia="Times New Roman" w:hAnsi="Georgia" w:cs="Times New Roman"/>
      <w:kern w:val="0"/>
      <w:szCs w:val="20"/>
      <w:lang w:val="x-none" w:eastAsia="fr-FR"/>
    </w:rPr>
  </w:style>
  <w:style w:type="character" w:customStyle="1" w:styleId="PrrafodelistaCar2">
    <w:name w:val="Párrafo de lista Car2"/>
    <w:uiPriority w:val="99"/>
    <w:rsid w:val="004E5076"/>
    <w:rPr>
      <w:rFonts w:ascii="Times New Roman" w:eastAsia="Times New Roman" w:hAnsi="Times New Roman" w:cs="Times New Roman"/>
      <w:sz w:val="20"/>
      <w:szCs w:val="20"/>
      <w:lang w:eastAsia="es-ES"/>
    </w:rPr>
  </w:style>
  <w:style w:type="paragraph" w:customStyle="1" w:styleId="Estilo11">
    <w:name w:val="Estilo11"/>
    <w:basedOn w:val="Normal"/>
    <w:qFormat/>
    <w:rsid w:val="004E5076"/>
    <w:pPr>
      <w:widowControl/>
      <w:tabs>
        <w:tab w:val="left" w:pos="3405"/>
      </w:tabs>
      <w:spacing w:after="160"/>
      <w:ind w:left="-567"/>
      <w:jc w:val="both"/>
    </w:pPr>
    <w:rPr>
      <w:rFonts w:ascii="Georgia" w:eastAsia="Calibri" w:hAnsi="Georgia" w:cs="Times New Roman"/>
      <w:sz w:val="40"/>
      <w:szCs w:val="40"/>
      <w:lang w:eastAsia="en-US"/>
    </w:rPr>
  </w:style>
  <w:style w:type="character" w:customStyle="1" w:styleId="Ttulo2Car1">
    <w:name w:val="Título 2 Car1"/>
    <w:aliases w:val="título 2 Car1,2 headline Car1,Title 2 Car1,Heading Car1,ALK_K2 Car1,ITTHEADER2 Car1,EPIC2 Car1,Puce rond Car1,Titulo 1 (Tittle 2) Car1,Apartado Car1"/>
    <w:uiPriority w:val="9"/>
    <w:rsid w:val="004E5076"/>
    <w:rPr>
      <w:rFonts w:ascii="Calibri Light" w:eastAsia="Times New Roman" w:hAnsi="Calibri Light" w:cs="Times New Roman"/>
      <w:color w:val="2E74B5"/>
      <w:sz w:val="26"/>
      <w:szCs w:val="26"/>
    </w:rPr>
  </w:style>
  <w:style w:type="character" w:customStyle="1" w:styleId="HTMLconformatoprevioCar1">
    <w:name w:val="HTML con formato previo Car1"/>
    <w:uiPriority w:val="99"/>
    <w:rsid w:val="004E5076"/>
    <w:rPr>
      <w:rFonts w:ascii="Courier New" w:eastAsia="Times New Roman" w:hAnsi="Courier New" w:cs="Courier New"/>
      <w:sz w:val="20"/>
      <w:szCs w:val="20"/>
      <w:lang w:val="en-US"/>
    </w:rPr>
  </w:style>
  <w:style w:type="character" w:customStyle="1" w:styleId="Ttulo5Car1">
    <w:name w:val="Título 5 Car1"/>
    <w:aliases w:val="Title 5 Car1,Titre 7+ Car1,Titre 7+1 Car1,Titre 7+2 Car1,Titre 7+3 Car1,Titre 7+11 Car1,Titre 7+21 Car1,Titre 7+4 Car1,Titre 7+12 Car1,Titre 7+22 Car1,Titre 7+31 Car1,Titre 7+111 Car1,Titre 7+211 Car1,Titre 7+5 Car1,Titre 7+13 Car1"/>
    <w:rsid w:val="004E5076"/>
    <w:rPr>
      <w:rFonts w:eastAsia="MS Gothic"/>
      <w:color w:val="243F60"/>
      <w:sz w:val="22"/>
      <w:szCs w:val="22"/>
      <w:lang w:eastAsia="en-US"/>
    </w:rPr>
  </w:style>
  <w:style w:type="paragraph" w:customStyle="1" w:styleId="Cuadrculamedia1-nfasis21">
    <w:name w:val="Cuadrícula media 1 - Énfasis 21"/>
    <w:basedOn w:val="Normal"/>
    <w:link w:val="Cuadrculamedia1-nfasis2Car"/>
    <w:uiPriority w:val="34"/>
    <w:qFormat/>
    <w:rsid w:val="004E5076"/>
    <w:pPr>
      <w:widowControl/>
      <w:ind w:left="720"/>
      <w:contextualSpacing/>
      <w:jc w:val="both"/>
    </w:pPr>
    <w:rPr>
      <w:rFonts w:ascii="Times New Roman" w:eastAsia="Times New Roman" w:hAnsi="Times New Roman" w:cs="Times New Roman"/>
      <w:sz w:val="20"/>
      <w:szCs w:val="20"/>
      <w:lang w:val="x-none" w:eastAsia="es-ES"/>
    </w:rPr>
  </w:style>
  <w:style w:type="character" w:customStyle="1" w:styleId="Cuadrculamedia1-nfasis2Car">
    <w:name w:val="Cuadrícula media 1 - Énfasis 2 Car"/>
    <w:link w:val="Cuadrculamedia1-nfasis21"/>
    <w:uiPriority w:val="34"/>
    <w:rsid w:val="004E5076"/>
    <w:rPr>
      <w:rFonts w:ascii="Times New Roman" w:eastAsia="Times New Roman" w:hAnsi="Times New Roman" w:cs="Times New Roman"/>
      <w:kern w:val="0"/>
      <w:sz w:val="20"/>
      <w:szCs w:val="20"/>
      <w:lang w:val="x-none" w:eastAsia="es-ES"/>
    </w:rPr>
  </w:style>
  <w:style w:type="paragraph" w:customStyle="1" w:styleId="Listamedia2-nfasis21">
    <w:name w:val="Lista media 2 - Énfasis 21"/>
    <w:hidden/>
    <w:uiPriority w:val="99"/>
    <w:rsid w:val="004E5076"/>
    <w:rPr>
      <w:rFonts w:ascii="Calibri" w:eastAsia="Calibri" w:hAnsi="Calibri" w:cs="Times New Roman"/>
    </w:rPr>
  </w:style>
  <w:style w:type="character" w:customStyle="1" w:styleId="Cuadrculaclara-nfasis12">
    <w:name w:val="Cuadrícula clara - Énfasis 12"/>
    <w:uiPriority w:val="99"/>
    <w:rsid w:val="004E5076"/>
    <w:rPr>
      <w:color w:val="808080"/>
    </w:rPr>
  </w:style>
  <w:style w:type="character" w:customStyle="1" w:styleId="Tabladecuadrcula1clara2">
    <w:name w:val="Tabla de cuadrícula 1 clara2"/>
    <w:uiPriority w:val="33"/>
    <w:qFormat/>
    <w:rsid w:val="004E5076"/>
    <w:rPr>
      <w:b/>
      <w:bCs/>
      <w:i/>
      <w:iCs/>
      <w:spacing w:val="5"/>
    </w:rPr>
  </w:style>
  <w:style w:type="paragraph" w:customStyle="1" w:styleId="T4INA">
    <w:name w:val="T4 INA"/>
    <w:basedOn w:val="EstiloTtulo4"/>
    <w:autoRedefine/>
    <w:qFormat/>
    <w:rsid w:val="004E5076"/>
    <w:pPr>
      <w:numPr>
        <w:ilvl w:val="0"/>
        <w:numId w:val="0"/>
      </w:numPr>
      <w:tabs>
        <w:tab w:val="num" w:pos="1191"/>
      </w:tabs>
      <w:autoSpaceDE/>
      <w:autoSpaceDN/>
      <w:adjustRightInd/>
      <w:spacing w:before="120" w:after="240" w:line="240" w:lineRule="auto"/>
      <w:ind w:left="2041" w:right="201" w:hanging="2041"/>
    </w:pPr>
    <w:rPr>
      <w:rFonts w:eastAsia="Times New Roman" w:cs="Arial"/>
      <w:i w:val="0"/>
      <w:color w:val="008ECB"/>
      <w:sz w:val="22"/>
      <w:szCs w:val="22"/>
      <w:lang w:val="es-ES_tradnl" w:eastAsia="es-ES"/>
    </w:rPr>
  </w:style>
  <w:style w:type="paragraph" w:customStyle="1" w:styleId="Cuadrculamediana1-nfasis21">
    <w:name w:val="Cuadrícula mediana 1 - Énfasis 21"/>
    <w:basedOn w:val="Normal"/>
    <w:link w:val="Cuadrculamediana1-nfasis2Car"/>
    <w:uiPriority w:val="34"/>
    <w:qFormat/>
    <w:rsid w:val="004E5076"/>
    <w:pPr>
      <w:widowControl/>
      <w:ind w:left="720"/>
      <w:contextualSpacing/>
      <w:jc w:val="both"/>
    </w:pPr>
    <w:rPr>
      <w:rFonts w:ascii="Times New Roman" w:eastAsia="Times New Roman" w:hAnsi="Times New Roman" w:cs="Times New Roman"/>
      <w:sz w:val="20"/>
      <w:szCs w:val="20"/>
      <w:lang w:val="x-none" w:eastAsia="es-ES"/>
    </w:rPr>
  </w:style>
  <w:style w:type="character" w:customStyle="1" w:styleId="Cuadrculamediana1-nfasis2Car">
    <w:name w:val="Cuadrícula mediana 1 - Énfasis 2 Car"/>
    <w:link w:val="Cuadrculamediana1-nfasis21"/>
    <w:uiPriority w:val="34"/>
    <w:rsid w:val="004E5076"/>
    <w:rPr>
      <w:rFonts w:ascii="Times New Roman" w:eastAsia="Times New Roman" w:hAnsi="Times New Roman" w:cs="Times New Roman"/>
      <w:kern w:val="0"/>
      <w:sz w:val="20"/>
      <w:szCs w:val="20"/>
      <w:lang w:val="x-none" w:eastAsia="es-ES"/>
    </w:rPr>
  </w:style>
  <w:style w:type="paragraph" w:customStyle="1" w:styleId="Listamediana2-nfasis21">
    <w:name w:val="Lista mediana 2 - Énfasis 21"/>
    <w:hidden/>
    <w:uiPriority w:val="99"/>
    <w:semiHidden/>
    <w:rsid w:val="004E5076"/>
    <w:rPr>
      <w:rFonts w:ascii="Calibri" w:eastAsia="Calibri" w:hAnsi="Calibri" w:cs="Times New Roman"/>
    </w:rPr>
  </w:style>
  <w:style w:type="character" w:customStyle="1" w:styleId="Cuadrculaclara-nfasis11">
    <w:name w:val="Cuadrícula clara - Énfasis 11"/>
    <w:uiPriority w:val="99"/>
    <w:semiHidden/>
    <w:rsid w:val="004E5076"/>
    <w:rPr>
      <w:color w:val="808080"/>
    </w:rPr>
  </w:style>
  <w:style w:type="paragraph" w:customStyle="1" w:styleId="TDC11">
    <w:name w:val="TDC 11"/>
    <w:basedOn w:val="Normal"/>
    <w:uiPriority w:val="1"/>
    <w:qFormat/>
    <w:rsid w:val="004E5076"/>
    <w:pPr>
      <w:spacing w:before="160"/>
      <w:ind w:left="1651" w:hanging="1133"/>
    </w:pPr>
    <w:rPr>
      <w:rFonts w:ascii="Arial Narrow" w:eastAsia="Arial Narrow" w:hAnsi="Arial Narrow" w:cs="Times New Roman"/>
      <w:b/>
      <w:bCs/>
      <w:i/>
      <w:lang w:val="en-US" w:eastAsia="en-US"/>
    </w:rPr>
  </w:style>
  <w:style w:type="paragraph" w:customStyle="1" w:styleId="TDC31">
    <w:name w:val="TDC 31"/>
    <w:basedOn w:val="Normal"/>
    <w:uiPriority w:val="1"/>
    <w:qFormat/>
    <w:rsid w:val="004E5076"/>
    <w:pPr>
      <w:spacing w:before="36"/>
      <w:ind w:left="1617" w:hanging="247"/>
    </w:pPr>
    <w:rPr>
      <w:rFonts w:ascii="Arial Narrow" w:eastAsia="Arial Narrow" w:hAnsi="Arial Narrow" w:cs="Times New Roman"/>
      <w:b/>
      <w:bCs/>
      <w:sz w:val="20"/>
      <w:szCs w:val="20"/>
      <w:lang w:val="en-US" w:eastAsia="en-US"/>
    </w:rPr>
  </w:style>
  <w:style w:type="paragraph" w:customStyle="1" w:styleId="TDC41">
    <w:name w:val="TDC 41"/>
    <w:basedOn w:val="Normal"/>
    <w:uiPriority w:val="1"/>
    <w:qFormat/>
    <w:rsid w:val="004E5076"/>
    <w:pPr>
      <w:spacing w:before="36"/>
      <w:ind w:left="1617" w:hanging="247"/>
    </w:pPr>
    <w:rPr>
      <w:rFonts w:ascii="Arial Narrow" w:eastAsia="Arial Narrow" w:hAnsi="Arial Narrow" w:cs="Times New Roman"/>
      <w:sz w:val="20"/>
      <w:szCs w:val="20"/>
      <w:lang w:val="en-US" w:eastAsia="en-US"/>
    </w:rPr>
  </w:style>
  <w:style w:type="paragraph" w:customStyle="1" w:styleId="TDC51">
    <w:name w:val="TDC 51"/>
    <w:basedOn w:val="Normal"/>
    <w:autoRedefine/>
    <w:uiPriority w:val="1"/>
    <w:qFormat/>
    <w:rsid w:val="004E5076"/>
    <w:pPr>
      <w:spacing w:before="36"/>
    </w:pPr>
    <w:rPr>
      <w:rFonts w:eastAsia="Arial Narrow" w:cs="Times New Roman"/>
      <w:b/>
      <w:bCs/>
      <w:i/>
      <w:lang w:val="en-US" w:eastAsia="en-US"/>
    </w:rPr>
  </w:style>
  <w:style w:type="paragraph" w:customStyle="1" w:styleId="Ttulo21">
    <w:name w:val="Título 21"/>
    <w:basedOn w:val="Normal"/>
    <w:uiPriority w:val="1"/>
    <w:qFormat/>
    <w:rsid w:val="004E5076"/>
    <w:pPr>
      <w:spacing w:before="116"/>
      <w:ind w:left="1808" w:hanging="360"/>
      <w:outlineLvl w:val="2"/>
    </w:pPr>
    <w:rPr>
      <w:rFonts w:ascii="Arial Narrow" w:eastAsia="Arial Narrow" w:hAnsi="Arial Narrow" w:cs="Times New Roman"/>
      <w:sz w:val="24"/>
      <w:szCs w:val="24"/>
      <w:lang w:val="en-US" w:eastAsia="en-US"/>
    </w:rPr>
  </w:style>
  <w:style w:type="paragraph" w:customStyle="1" w:styleId="Ttulo41">
    <w:name w:val="Título 41"/>
    <w:basedOn w:val="Normal"/>
    <w:uiPriority w:val="1"/>
    <w:qFormat/>
    <w:rsid w:val="004E5076"/>
    <w:pPr>
      <w:ind w:left="1229" w:hanging="708"/>
      <w:outlineLvl w:val="4"/>
    </w:pPr>
    <w:rPr>
      <w:rFonts w:ascii="Arial Narrow" w:eastAsia="Arial Narrow" w:hAnsi="Arial Narrow" w:cs="Times New Roman"/>
      <w:b/>
      <w:bCs/>
      <w:i/>
      <w:lang w:val="en-US" w:eastAsia="en-US"/>
    </w:rPr>
  </w:style>
  <w:style w:type="paragraph" w:customStyle="1" w:styleId="Listamulticolor-nfasis12">
    <w:name w:val="Lista multicolor - Énfasis 12"/>
    <w:basedOn w:val="Normal"/>
    <w:uiPriority w:val="1"/>
    <w:qFormat/>
    <w:rsid w:val="004E5076"/>
    <w:rPr>
      <w:rFonts w:ascii="Calibri" w:eastAsia="Calibri" w:hAnsi="Calibri" w:cs="Times New Roman"/>
      <w:lang w:val="en-US" w:eastAsia="en-US"/>
    </w:rPr>
  </w:style>
  <w:style w:type="paragraph" w:customStyle="1" w:styleId="Ttulo32">
    <w:name w:val="Título 32"/>
    <w:basedOn w:val="Normal"/>
    <w:uiPriority w:val="1"/>
    <w:qFormat/>
    <w:rsid w:val="004E5076"/>
    <w:pPr>
      <w:ind w:left="1087"/>
      <w:outlineLvl w:val="3"/>
    </w:pPr>
    <w:rPr>
      <w:rFonts w:ascii="Arial Narrow" w:eastAsia="Arial Narrow" w:hAnsi="Arial Narrow" w:cs="Times New Roman"/>
      <w:b/>
      <w:bCs/>
      <w:lang w:val="en-US" w:eastAsia="en-US"/>
    </w:rPr>
  </w:style>
  <w:style w:type="paragraph" w:customStyle="1" w:styleId="TDC12">
    <w:name w:val="TDC 12"/>
    <w:basedOn w:val="Normal"/>
    <w:uiPriority w:val="1"/>
    <w:qFormat/>
    <w:rsid w:val="004E5076"/>
    <w:pPr>
      <w:spacing w:before="160"/>
      <w:ind w:left="1651" w:hanging="1133"/>
    </w:pPr>
    <w:rPr>
      <w:rFonts w:ascii="Arial Narrow" w:eastAsia="Arial Narrow" w:hAnsi="Arial Narrow" w:cs="Times New Roman"/>
      <w:b/>
      <w:bCs/>
      <w:i/>
      <w:lang w:val="en-US" w:eastAsia="en-US"/>
    </w:rPr>
  </w:style>
  <w:style w:type="paragraph" w:customStyle="1" w:styleId="TDC22">
    <w:name w:val="TDC 22"/>
    <w:basedOn w:val="Normal"/>
    <w:uiPriority w:val="1"/>
    <w:qFormat/>
    <w:rsid w:val="004E5076"/>
    <w:pPr>
      <w:spacing w:before="161"/>
      <w:ind w:left="1651" w:hanging="912"/>
    </w:pPr>
    <w:rPr>
      <w:rFonts w:ascii="Arial Narrow" w:eastAsia="Arial Narrow" w:hAnsi="Arial Narrow" w:cs="Times New Roman"/>
      <w:b/>
      <w:bCs/>
      <w:lang w:val="en-US" w:eastAsia="en-US"/>
    </w:rPr>
  </w:style>
  <w:style w:type="paragraph" w:customStyle="1" w:styleId="TDC32">
    <w:name w:val="TDC 32"/>
    <w:basedOn w:val="Normal"/>
    <w:uiPriority w:val="1"/>
    <w:qFormat/>
    <w:rsid w:val="004E5076"/>
    <w:pPr>
      <w:spacing w:before="36"/>
      <w:ind w:left="1617" w:hanging="247"/>
    </w:pPr>
    <w:rPr>
      <w:rFonts w:ascii="Arial Narrow" w:eastAsia="Arial Narrow" w:hAnsi="Arial Narrow" w:cs="Times New Roman"/>
      <w:b/>
      <w:bCs/>
      <w:sz w:val="20"/>
      <w:szCs w:val="20"/>
      <w:lang w:val="en-US" w:eastAsia="en-US"/>
    </w:rPr>
  </w:style>
  <w:style w:type="paragraph" w:customStyle="1" w:styleId="TDC42">
    <w:name w:val="TDC 42"/>
    <w:basedOn w:val="Normal"/>
    <w:uiPriority w:val="1"/>
    <w:qFormat/>
    <w:rsid w:val="004E5076"/>
    <w:pPr>
      <w:spacing w:before="36"/>
      <w:ind w:left="1617" w:hanging="247"/>
    </w:pPr>
    <w:rPr>
      <w:rFonts w:ascii="Arial Narrow" w:eastAsia="Arial Narrow" w:hAnsi="Arial Narrow" w:cs="Times New Roman"/>
      <w:sz w:val="20"/>
      <w:szCs w:val="20"/>
      <w:lang w:val="en-US" w:eastAsia="en-US"/>
    </w:rPr>
  </w:style>
  <w:style w:type="paragraph" w:customStyle="1" w:styleId="TDC52">
    <w:name w:val="TDC 52"/>
    <w:basedOn w:val="Normal"/>
    <w:uiPriority w:val="1"/>
    <w:qFormat/>
    <w:rsid w:val="004E5076"/>
    <w:pPr>
      <w:spacing w:before="36"/>
      <w:ind w:left="1617" w:hanging="247"/>
    </w:pPr>
    <w:rPr>
      <w:rFonts w:ascii="Arial Narrow" w:eastAsia="Arial Narrow" w:hAnsi="Arial Narrow" w:cs="Times New Roman"/>
      <w:b/>
      <w:bCs/>
      <w:i/>
      <w:lang w:val="en-US" w:eastAsia="en-US"/>
    </w:rPr>
  </w:style>
  <w:style w:type="paragraph" w:customStyle="1" w:styleId="Ttulo12">
    <w:name w:val="Título 12"/>
    <w:basedOn w:val="Normal"/>
    <w:uiPriority w:val="1"/>
    <w:qFormat/>
    <w:rsid w:val="004E5076"/>
    <w:pPr>
      <w:ind w:left="1071" w:hanging="550"/>
      <w:outlineLvl w:val="1"/>
    </w:pPr>
    <w:rPr>
      <w:rFonts w:ascii="Calibri" w:eastAsia="Calibri" w:hAnsi="Calibri" w:cs="Times New Roman"/>
      <w:b/>
      <w:bCs/>
      <w:sz w:val="28"/>
      <w:szCs w:val="28"/>
      <w:lang w:val="en-US" w:eastAsia="en-US"/>
    </w:rPr>
  </w:style>
  <w:style w:type="paragraph" w:customStyle="1" w:styleId="Ttulo22">
    <w:name w:val="Título 22"/>
    <w:basedOn w:val="Normal"/>
    <w:uiPriority w:val="1"/>
    <w:qFormat/>
    <w:rsid w:val="004E5076"/>
    <w:pPr>
      <w:spacing w:before="116"/>
      <w:ind w:left="1808" w:hanging="360"/>
      <w:outlineLvl w:val="2"/>
    </w:pPr>
    <w:rPr>
      <w:rFonts w:ascii="Arial Narrow" w:eastAsia="Arial Narrow" w:hAnsi="Arial Narrow" w:cs="Times New Roman"/>
      <w:sz w:val="24"/>
      <w:szCs w:val="24"/>
      <w:lang w:val="en-US" w:eastAsia="en-US"/>
    </w:rPr>
  </w:style>
  <w:style w:type="paragraph" w:customStyle="1" w:styleId="Ttulo42">
    <w:name w:val="Título 42"/>
    <w:basedOn w:val="Normal"/>
    <w:uiPriority w:val="1"/>
    <w:qFormat/>
    <w:rsid w:val="004E5076"/>
    <w:pPr>
      <w:ind w:left="1229" w:hanging="708"/>
      <w:outlineLvl w:val="4"/>
    </w:pPr>
    <w:rPr>
      <w:rFonts w:ascii="Arial Narrow" w:eastAsia="Arial Narrow" w:hAnsi="Arial Narrow" w:cs="Times New Roman"/>
      <w:b/>
      <w:bCs/>
      <w:i/>
      <w:lang w:val="en-US" w:eastAsia="en-US"/>
    </w:rPr>
  </w:style>
  <w:style w:type="table" w:styleId="Cuadrculaclara-nfasis3">
    <w:name w:val="Light Grid Accent 3"/>
    <w:basedOn w:val="Tablanormal"/>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abladecuadrcula1clara3">
    <w:name w:val="Tabla de cuadrícula 1 clara3"/>
    <w:uiPriority w:val="33"/>
    <w:qFormat/>
    <w:rsid w:val="004E5076"/>
    <w:rPr>
      <w:b/>
      <w:bCs/>
      <w:i/>
      <w:iCs/>
      <w:spacing w:val="5"/>
    </w:rPr>
  </w:style>
  <w:style w:type="table" w:customStyle="1" w:styleId="Tabladecuadrcula6concolores1">
    <w:name w:val="Tabla de cuadrícula 6 con colores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uadrculamediana1-nfasis2Car1">
    <w:name w:val="Cuadrícula mediana 1 - Énfasis 2 Car1"/>
    <w:uiPriority w:val="34"/>
    <w:rsid w:val="004E5076"/>
    <w:rPr>
      <w:rFonts w:ascii="Times New Roman" w:eastAsia="Times New Roman" w:hAnsi="Times New Roman" w:cs="Times New Roman"/>
      <w:sz w:val="20"/>
      <w:szCs w:val="20"/>
      <w:lang w:eastAsia="es-ES"/>
    </w:rPr>
  </w:style>
  <w:style w:type="table" w:styleId="Sombreadovistoso-nfasis3">
    <w:name w:val="Colorful Shading Accent 3"/>
    <w:basedOn w:val="Tablanormal"/>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uadrculamedia1-nfasis2">
    <w:name w:val="Medium Grid 1 Accent 2"/>
    <w:basedOn w:val="Tablanormal"/>
    <w:uiPriority w:val="34"/>
    <w:rsid w:val="004E5076"/>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msolistparagraph0">
    <w:name w:val="msolistparagraph"/>
    <w:basedOn w:val="Normal"/>
    <w:rsid w:val="004E5076"/>
    <w:pPr>
      <w:widowControl/>
      <w:ind w:left="720"/>
    </w:pPr>
    <w:rPr>
      <w:rFonts w:ascii="Calibri" w:eastAsia="Times New Roman" w:hAnsi="Calibri" w:cs="Times New Roman"/>
      <w:lang w:eastAsia="es-ES"/>
    </w:rPr>
  </w:style>
  <w:style w:type="table" w:customStyle="1" w:styleId="Tabladecuadrcula5oscura1">
    <w:name w:val="Tabla de cuadrícula 5 oscura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
    <w:name w:val="Tabla de cuadrícula 5 oscura - Énfasis 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Listaconnmeros">
    <w:name w:val="List Number"/>
    <w:basedOn w:val="Normal"/>
    <w:uiPriority w:val="1"/>
    <w:qFormat/>
    <w:rsid w:val="004E5076"/>
    <w:pPr>
      <w:widowControl/>
      <w:tabs>
        <w:tab w:val="num" w:pos="360"/>
      </w:tabs>
      <w:ind w:left="360" w:hanging="360"/>
    </w:pPr>
    <w:rPr>
      <w:rFonts w:ascii="Times New Roman" w:eastAsia="Times New Roman" w:hAnsi="Times New Roman" w:cs="Times New Roman"/>
      <w:sz w:val="24"/>
      <w:szCs w:val="20"/>
      <w:lang w:val="es-PE"/>
    </w:rPr>
  </w:style>
  <w:style w:type="paragraph" w:styleId="Listaconnmeros2">
    <w:name w:val="List Number 2"/>
    <w:basedOn w:val="Normal"/>
    <w:uiPriority w:val="1"/>
    <w:qFormat/>
    <w:rsid w:val="004E5076"/>
    <w:pPr>
      <w:widowControl/>
      <w:tabs>
        <w:tab w:val="num" w:pos="643"/>
      </w:tabs>
      <w:ind w:left="643" w:hanging="360"/>
    </w:pPr>
    <w:rPr>
      <w:rFonts w:ascii="Times New Roman" w:eastAsia="Times New Roman" w:hAnsi="Times New Roman" w:cs="Times New Roman"/>
      <w:sz w:val="24"/>
      <w:szCs w:val="20"/>
      <w:lang w:val="es-PE"/>
    </w:rPr>
  </w:style>
  <w:style w:type="paragraph" w:styleId="Listaconnmeros3">
    <w:name w:val="List Number 3"/>
    <w:basedOn w:val="Normal"/>
    <w:uiPriority w:val="99"/>
    <w:rsid w:val="004E5076"/>
    <w:pPr>
      <w:widowControl/>
      <w:tabs>
        <w:tab w:val="num" w:pos="926"/>
      </w:tabs>
      <w:ind w:left="926" w:hanging="360"/>
    </w:pPr>
    <w:rPr>
      <w:rFonts w:ascii="Times New Roman" w:eastAsia="Times New Roman" w:hAnsi="Times New Roman" w:cs="Times New Roman"/>
      <w:sz w:val="24"/>
      <w:szCs w:val="20"/>
      <w:lang w:val="es-PE"/>
    </w:rPr>
  </w:style>
  <w:style w:type="paragraph" w:styleId="Listaconnmeros4">
    <w:name w:val="List Number 4"/>
    <w:basedOn w:val="Normal"/>
    <w:uiPriority w:val="99"/>
    <w:rsid w:val="004E5076"/>
    <w:pPr>
      <w:widowControl/>
      <w:tabs>
        <w:tab w:val="num" w:pos="1209"/>
      </w:tabs>
      <w:ind w:left="1209" w:hanging="360"/>
    </w:pPr>
    <w:rPr>
      <w:rFonts w:ascii="Times New Roman" w:eastAsia="Times New Roman" w:hAnsi="Times New Roman" w:cs="Times New Roman"/>
      <w:sz w:val="24"/>
      <w:szCs w:val="20"/>
      <w:lang w:val="es-PE"/>
    </w:rPr>
  </w:style>
  <w:style w:type="paragraph" w:styleId="Listaconnmeros5">
    <w:name w:val="List Number 5"/>
    <w:basedOn w:val="Normal"/>
    <w:uiPriority w:val="99"/>
    <w:rsid w:val="004E5076"/>
    <w:pPr>
      <w:widowControl/>
      <w:tabs>
        <w:tab w:val="num" w:pos="1492"/>
      </w:tabs>
      <w:ind w:left="1492" w:hanging="360"/>
    </w:pPr>
    <w:rPr>
      <w:rFonts w:ascii="Times New Roman" w:eastAsia="Times New Roman" w:hAnsi="Times New Roman" w:cs="Times New Roman"/>
      <w:sz w:val="24"/>
      <w:szCs w:val="20"/>
      <w:lang w:val="es-PE"/>
    </w:rPr>
  </w:style>
  <w:style w:type="paragraph" w:styleId="Listaconvietas2">
    <w:name w:val="List Bullet 2"/>
    <w:basedOn w:val="Normal"/>
    <w:autoRedefine/>
    <w:qFormat/>
    <w:rsid w:val="004E5076"/>
    <w:pPr>
      <w:widowControl/>
      <w:tabs>
        <w:tab w:val="num" w:pos="643"/>
      </w:tabs>
      <w:ind w:left="643" w:hanging="360"/>
    </w:pPr>
    <w:rPr>
      <w:rFonts w:ascii="Times New Roman" w:eastAsia="Times New Roman" w:hAnsi="Times New Roman" w:cs="Times New Roman"/>
      <w:sz w:val="24"/>
      <w:szCs w:val="20"/>
      <w:lang w:val="es-PE"/>
    </w:rPr>
  </w:style>
  <w:style w:type="paragraph" w:styleId="Listaconvietas3">
    <w:name w:val="List Bullet 3"/>
    <w:basedOn w:val="Normal"/>
    <w:autoRedefine/>
    <w:qFormat/>
    <w:rsid w:val="004E5076"/>
    <w:pPr>
      <w:widowControl/>
      <w:tabs>
        <w:tab w:val="num" w:pos="926"/>
      </w:tabs>
      <w:ind w:left="926" w:hanging="360"/>
    </w:pPr>
    <w:rPr>
      <w:rFonts w:ascii="Times New Roman" w:eastAsia="Times New Roman" w:hAnsi="Times New Roman" w:cs="Times New Roman"/>
      <w:sz w:val="24"/>
      <w:szCs w:val="20"/>
      <w:lang w:val="es-PE"/>
    </w:rPr>
  </w:style>
  <w:style w:type="paragraph" w:styleId="Listaconvietas4">
    <w:name w:val="List Bullet 4"/>
    <w:basedOn w:val="Normal"/>
    <w:autoRedefine/>
    <w:rsid w:val="004E5076"/>
    <w:pPr>
      <w:widowControl/>
      <w:tabs>
        <w:tab w:val="num" w:pos="1209"/>
      </w:tabs>
      <w:ind w:left="1209" w:hanging="360"/>
    </w:pPr>
    <w:rPr>
      <w:rFonts w:ascii="Times New Roman" w:eastAsia="Times New Roman" w:hAnsi="Times New Roman" w:cs="Times New Roman"/>
      <w:sz w:val="24"/>
      <w:szCs w:val="20"/>
      <w:lang w:val="es-PE"/>
    </w:rPr>
  </w:style>
  <w:style w:type="paragraph" w:styleId="Listaconvietas5">
    <w:name w:val="List Bullet 5"/>
    <w:basedOn w:val="Normal"/>
    <w:autoRedefine/>
    <w:rsid w:val="004E5076"/>
    <w:pPr>
      <w:widowControl/>
      <w:tabs>
        <w:tab w:val="num" w:pos="1492"/>
      </w:tabs>
      <w:ind w:left="1492" w:hanging="360"/>
    </w:pPr>
    <w:rPr>
      <w:rFonts w:ascii="Times New Roman" w:eastAsia="Times New Roman" w:hAnsi="Times New Roman" w:cs="Times New Roman"/>
      <w:sz w:val="24"/>
      <w:szCs w:val="20"/>
      <w:lang w:val="es-PE"/>
    </w:rPr>
  </w:style>
  <w:style w:type="paragraph" w:customStyle="1" w:styleId="Prrafonormal">
    <w:name w:val="Párrafo normal"/>
    <w:basedOn w:val="Normal"/>
    <w:rsid w:val="004E5076"/>
    <w:pPr>
      <w:widowControl/>
      <w:ind w:left="709"/>
      <w:jc w:val="both"/>
    </w:pPr>
    <w:rPr>
      <w:rFonts w:eastAsia="Times New Roman" w:cs="Times New Roman"/>
      <w:szCs w:val="20"/>
      <w:lang w:val="es-PE" w:eastAsia="es-MX"/>
    </w:rPr>
  </w:style>
  <w:style w:type="character" w:customStyle="1" w:styleId="listapeq1">
    <w:name w:val="listapeq1"/>
    <w:rsid w:val="004E5076"/>
    <w:rPr>
      <w:sz w:val="20"/>
      <w:szCs w:val="20"/>
    </w:rPr>
  </w:style>
  <w:style w:type="paragraph" w:customStyle="1" w:styleId="Cubiertadettulo">
    <w:name w:val="Cubierta de título"/>
    <w:basedOn w:val="Normal"/>
    <w:next w:val="Normal"/>
    <w:rsid w:val="004E5076"/>
    <w:pPr>
      <w:widowControl/>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rFonts w:ascii="Garamond" w:eastAsia="Times New Roman" w:hAnsi="Garamond" w:cs="Times New Roman"/>
      <w:color w:val="0000FF"/>
      <w:spacing w:val="-30"/>
      <w:kern w:val="28"/>
      <w:position w:val="6"/>
      <w:sz w:val="96"/>
      <w:szCs w:val="20"/>
      <w:lang w:eastAsia="es-ES"/>
    </w:rPr>
  </w:style>
  <w:style w:type="paragraph" w:customStyle="1" w:styleId="TextT2">
    <w:name w:val="TextT2"/>
    <w:basedOn w:val="Normal"/>
    <w:rsid w:val="004E5076"/>
    <w:pPr>
      <w:widowControl/>
      <w:spacing w:after="120" w:line="320" w:lineRule="exact"/>
      <w:ind w:left="567"/>
      <w:jc w:val="both"/>
    </w:pPr>
    <w:rPr>
      <w:rFonts w:eastAsia="Times New Roman" w:cs="Times New Roman"/>
      <w:szCs w:val="20"/>
      <w:lang w:eastAsia="es-ES"/>
    </w:rPr>
  </w:style>
  <w:style w:type="paragraph" w:customStyle="1" w:styleId="WW-Textoindependiente2">
    <w:name w:val="WW-Texto independiente 2"/>
    <w:basedOn w:val="Normal"/>
    <w:rsid w:val="004E5076"/>
    <w:pPr>
      <w:widowControl/>
      <w:suppressAutoHyphens/>
      <w:jc w:val="both"/>
    </w:pPr>
    <w:rPr>
      <w:rFonts w:eastAsia="Times New Roman" w:cs="Times New Roman"/>
      <w:sz w:val="24"/>
      <w:szCs w:val="20"/>
      <w:lang w:eastAsia="es-ES"/>
    </w:rPr>
  </w:style>
  <w:style w:type="paragraph" w:customStyle="1" w:styleId="Estilo4">
    <w:name w:val="Estilo4"/>
    <w:basedOn w:val="Normal"/>
    <w:qFormat/>
    <w:rsid w:val="004E5076"/>
    <w:pPr>
      <w:widowControl/>
      <w:spacing w:before="120" w:after="120"/>
      <w:jc w:val="center"/>
    </w:pPr>
    <w:rPr>
      <w:rFonts w:eastAsia="Times New Roman" w:cs="Times New Roman"/>
      <w:b/>
      <w:szCs w:val="20"/>
      <w:lang w:val="es-ES_tradnl" w:eastAsia="es-ES"/>
    </w:rPr>
  </w:style>
  <w:style w:type="paragraph" w:customStyle="1" w:styleId="TextT1">
    <w:name w:val="TextT1"/>
    <w:basedOn w:val="Normal"/>
    <w:rsid w:val="004E5076"/>
    <w:pPr>
      <w:widowControl/>
      <w:spacing w:after="120" w:line="320" w:lineRule="exact"/>
      <w:jc w:val="both"/>
    </w:pPr>
    <w:rPr>
      <w:rFonts w:eastAsia="Times New Roman" w:cs="Times New Roman"/>
      <w:szCs w:val="20"/>
      <w:lang w:eastAsia="es-ES"/>
    </w:rPr>
  </w:style>
  <w:style w:type="paragraph" w:customStyle="1" w:styleId="CM91">
    <w:name w:val="CM91"/>
    <w:basedOn w:val="Default"/>
    <w:next w:val="Default"/>
    <w:uiPriority w:val="99"/>
    <w:rsid w:val="004E5076"/>
    <w:rPr>
      <w:rFonts w:eastAsia="Calibri"/>
      <w:color w:val="auto"/>
      <w:lang w:val="es-ES"/>
    </w:rPr>
  </w:style>
  <w:style w:type="paragraph" w:customStyle="1" w:styleId="CM89">
    <w:name w:val="CM89"/>
    <w:basedOn w:val="Default"/>
    <w:next w:val="Default"/>
    <w:uiPriority w:val="99"/>
    <w:rsid w:val="004E5076"/>
    <w:rPr>
      <w:rFonts w:eastAsia="Calibri"/>
      <w:color w:val="auto"/>
      <w:lang w:val="es-ES"/>
    </w:rPr>
  </w:style>
  <w:style w:type="character" w:customStyle="1" w:styleId="ilad2">
    <w:name w:val="il_ad2"/>
    <w:rsid w:val="004E5076"/>
    <w:rPr>
      <w:vanish w:val="0"/>
      <w:webHidden w:val="0"/>
      <w:color w:val="009900"/>
      <w:u w:val="single"/>
      <w:specVanish w:val="0"/>
    </w:rPr>
  </w:style>
  <w:style w:type="character" w:customStyle="1" w:styleId="corchete-llamada1">
    <w:name w:val="corchete-llamada1"/>
    <w:rsid w:val="004E5076"/>
    <w:rPr>
      <w:vanish/>
      <w:webHidden w:val="0"/>
      <w:specVanish w:val="0"/>
    </w:rPr>
  </w:style>
  <w:style w:type="character" w:customStyle="1" w:styleId="plainlinksneverexpand1">
    <w:name w:val="plainlinksneverexpand1"/>
    <w:rsid w:val="004E5076"/>
  </w:style>
  <w:style w:type="character" w:customStyle="1" w:styleId="geo-dms1">
    <w:name w:val="geo-dms1"/>
    <w:rsid w:val="004E5076"/>
    <w:rPr>
      <w:vanish w:val="0"/>
      <w:webHidden w:val="0"/>
      <w:specVanish w:val="0"/>
    </w:rPr>
  </w:style>
  <w:style w:type="character" w:customStyle="1" w:styleId="latitude1">
    <w:name w:val="latitude1"/>
    <w:rsid w:val="004E5076"/>
  </w:style>
  <w:style w:type="character" w:customStyle="1" w:styleId="longitude1">
    <w:name w:val="longitude1"/>
    <w:rsid w:val="004E5076"/>
  </w:style>
  <w:style w:type="character" w:customStyle="1" w:styleId="geo-multi-punct1">
    <w:name w:val="geo-multi-punct1"/>
    <w:rsid w:val="004E5076"/>
    <w:rPr>
      <w:vanish/>
      <w:webHidden w:val="0"/>
      <w:specVanish w:val="0"/>
    </w:rPr>
  </w:style>
  <w:style w:type="character" w:customStyle="1" w:styleId="geo-dec1">
    <w:name w:val="geo-dec1"/>
    <w:rsid w:val="004E5076"/>
    <w:rPr>
      <w:vanish w:val="0"/>
      <w:webHidden w:val="0"/>
      <w:specVanish w:val="0"/>
    </w:rPr>
  </w:style>
  <w:style w:type="character" w:styleId="CdigoHTML">
    <w:name w:val="HTML Code"/>
    <w:uiPriority w:val="99"/>
    <w:unhideWhenUsed/>
    <w:rsid w:val="004E5076"/>
    <w:rPr>
      <w:rFonts w:ascii="Courier New" w:eastAsia="Times New Roman" w:hAnsi="Courier New" w:cs="Courier New"/>
      <w:sz w:val="20"/>
      <w:szCs w:val="20"/>
    </w:rPr>
  </w:style>
  <w:style w:type="character" w:customStyle="1" w:styleId="ipa1">
    <w:name w:val="ipa1"/>
    <w:rsid w:val="004E5076"/>
    <w:rPr>
      <w:rFonts w:ascii="inherit" w:hAnsi="inherit" w:hint="default"/>
    </w:rPr>
  </w:style>
  <w:style w:type="paragraph" w:customStyle="1" w:styleId="Normal11">
    <w:name w:val="Normal 1"/>
    <w:basedOn w:val="Normal"/>
    <w:rsid w:val="004E5076"/>
    <w:pPr>
      <w:widowControl/>
      <w:spacing w:line="280" w:lineRule="exact"/>
      <w:ind w:left="709"/>
      <w:jc w:val="both"/>
    </w:pPr>
    <w:rPr>
      <w:rFonts w:eastAsia="Times New Roman" w:cs="Times New Roman"/>
      <w:szCs w:val="24"/>
      <w:lang w:eastAsia="es-ES"/>
    </w:rPr>
  </w:style>
  <w:style w:type="paragraph" w:customStyle="1" w:styleId="WW-Listaconvietas3">
    <w:name w:val="WW-Lista con viñetas 3"/>
    <w:basedOn w:val="Normal"/>
    <w:rsid w:val="004E5076"/>
    <w:pPr>
      <w:widowControl/>
      <w:suppressAutoHyphens/>
    </w:pPr>
    <w:rPr>
      <w:rFonts w:ascii="Times New Roman" w:eastAsia="Times New Roman" w:hAnsi="Times New Roman" w:cs="Times New Roman"/>
      <w:sz w:val="24"/>
      <w:szCs w:val="20"/>
      <w:lang w:eastAsia="es-ES"/>
    </w:rPr>
  </w:style>
  <w:style w:type="paragraph" w:customStyle="1" w:styleId="estilo27">
    <w:name w:val="estilo27"/>
    <w:basedOn w:val="Normal"/>
    <w:rsid w:val="004E5076"/>
    <w:pPr>
      <w:widowControl/>
      <w:spacing w:before="100" w:beforeAutospacing="1" w:after="100" w:afterAutospacing="1"/>
    </w:pPr>
    <w:rPr>
      <w:rFonts w:eastAsia="Times New Roman"/>
      <w:sz w:val="23"/>
      <w:szCs w:val="23"/>
      <w:lang w:eastAsia="es-ES"/>
    </w:rPr>
  </w:style>
  <w:style w:type="character" w:customStyle="1" w:styleId="post-authorvcard">
    <w:name w:val="post-author vcard"/>
    <w:rsid w:val="004E5076"/>
  </w:style>
  <w:style w:type="paragraph" w:customStyle="1" w:styleId="textoarticulo">
    <w:name w:val="textoarticulo"/>
    <w:basedOn w:val="Normal"/>
    <w:rsid w:val="004E5076"/>
    <w:pPr>
      <w:widowControl/>
      <w:spacing w:before="240" w:after="240"/>
    </w:pPr>
    <w:rPr>
      <w:rFonts w:ascii="Times New Roman" w:eastAsia="Times New Roman" w:hAnsi="Times New Roman" w:cs="Times New Roman"/>
      <w:sz w:val="24"/>
      <w:szCs w:val="24"/>
      <w:lang w:eastAsia="es-ES"/>
    </w:rPr>
  </w:style>
  <w:style w:type="paragraph" w:customStyle="1" w:styleId="CarCar1CarCarCar1Car">
    <w:name w:val="Car Car1 Car Car Car1 Car"/>
    <w:basedOn w:val="Normal"/>
    <w:rsid w:val="004E5076"/>
    <w:pPr>
      <w:widowControl/>
      <w:spacing w:after="160" w:line="240" w:lineRule="exact"/>
    </w:pPr>
    <w:rPr>
      <w:rFonts w:ascii="Tahoma" w:eastAsia="Times New Roman" w:hAnsi="Tahoma" w:cs="Times New Roman"/>
      <w:sz w:val="20"/>
      <w:szCs w:val="20"/>
      <w:lang w:val="en-US" w:eastAsia="en-US"/>
    </w:rPr>
  </w:style>
  <w:style w:type="paragraph" w:customStyle="1" w:styleId="NormalArial1">
    <w:name w:val="Normal + Arial1"/>
    <w:aliases w:val="11 pt,Izquierda:  0.75 cm,Expandido  1 pto,Interlineado 1"/>
    <w:basedOn w:val="Normal"/>
    <w:rsid w:val="004E5076"/>
    <w:pPr>
      <w:widowControl/>
      <w:autoSpaceDE w:val="0"/>
      <w:autoSpaceDN w:val="0"/>
      <w:adjustRightInd w:val="0"/>
      <w:jc w:val="both"/>
    </w:pPr>
    <w:rPr>
      <w:rFonts w:eastAsia="Times New Roman" w:cs="Times New Roman"/>
      <w:sz w:val="24"/>
      <w:szCs w:val="20"/>
      <w:lang w:val="es-MX" w:eastAsia="es-ES"/>
    </w:rPr>
  </w:style>
  <w:style w:type="character" w:customStyle="1" w:styleId="CarCar21CarCar">
    <w:name w:val="Car Car21 Car Car"/>
    <w:locked/>
    <w:rsid w:val="004E5076"/>
    <w:rPr>
      <w:rFonts w:ascii="Arial" w:hAnsi="Arial"/>
      <w:sz w:val="22"/>
      <w:lang w:val="es-ES_tradnl" w:eastAsia="es-PE" w:bidi="ar-SA"/>
    </w:rPr>
  </w:style>
  <w:style w:type="paragraph" w:customStyle="1" w:styleId="MM">
    <w:name w:val="MM"/>
    <w:basedOn w:val="Normal"/>
    <w:autoRedefine/>
    <w:rsid w:val="004E5076"/>
    <w:pPr>
      <w:widowControl/>
      <w:spacing w:line="360" w:lineRule="auto"/>
      <w:ind w:left="426"/>
    </w:pPr>
    <w:rPr>
      <w:rFonts w:eastAsia="Times New Roman"/>
      <w:sz w:val="16"/>
      <w:szCs w:val="16"/>
      <w:lang w:eastAsia="es-ES"/>
    </w:rPr>
  </w:style>
  <w:style w:type="character" w:customStyle="1" w:styleId="ilad1">
    <w:name w:val="il_ad1"/>
    <w:rsid w:val="004E5076"/>
  </w:style>
  <w:style w:type="character" w:customStyle="1" w:styleId="edpnoticiacontenido4">
    <w:name w:val="edpnoticiacontenido4"/>
    <w:rsid w:val="004E5076"/>
    <w:rPr>
      <w:sz w:val="23"/>
      <w:szCs w:val="23"/>
    </w:rPr>
  </w:style>
  <w:style w:type="character" w:customStyle="1" w:styleId="by">
    <w:name w:val="by"/>
    <w:rsid w:val="004E5076"/>
  </w:style>
  <w:style w:type="character" w:customStyle="1" w:styleId="category">
    <w:name w:val="category"/>
    <w:rsid w:val="004E5076"/>
  </w:style>
  <w:style w:type="paragraph" w:customStyle="1" w:styleId="titulo2donivel1">
    <w:name w:val="titulo_2donivel1"/>
    <w:basedOn w:val="Normal"/>
    <w:rsid w:val="004E5076"/>
    <w:pPr>
      <w:widowControl/>
      <w:spacing w:before="100" w:beforeAutospacing="1" w:after="100" w:afterAutospacing="1"/>
      <w:jc w:val="both"/>
    </w:pPr>
    <w:rPr>
      <w:rFonts w:eastAsia="Batang"/>
      <w:color w:val="303030"/>
      <w:sz w:val="18"/>
      <w:szCs w:val="18"/>
      <w:lang w:eastAsia="ko-KR"/>
    </w:rPr>
  </w:style>
  <w:style w:type="character" w:customStyle="1" w:styleId="titulo3ernivel1">
    <w:name w:val="titulo_3ernivel1"/>
    <w:rsid w:val="004E5076"/>
    <w:rPr>
      <w:rFonts w:ascii="Arial" w:hAnsi="Arial" w:cs="Arial" w:hint="default"/>
    </w:rPr>
  </w:style>
  <w:style w:type="paragraph" w:customStyle="1" w:styleId="titulo4tonivel1">
    <w:name w:val="titulo_4tonivel1"/>
    <w:basedOn w:val="Normal"/>
    <w:rsid w:val="004E5076"/>
    <w:pPr>
      <w:widowControl/>
      <w:spacing w:before="100" w:beforeAutospacing="1" w:after="100" w:afterAutospacing="1"/>
      <w:jc w:val="both"/>
    </w:pPr>
    <w:rPr>
      <w:rFonts w:eastAsia="Batang"/>
      <w:color w:val="303030"/>
      <w:sz w:val="18"/>
      <w:szCs w:val="18"/>
      <w:lang w:eastAsia="ko-KR"/>
    </w:rPr>
  </w:style>
  <w:style w:type="character" w:customStyle="1" w:styleId="edpnoticiatitulo4">
    <w:name w:val="edpnoticiatitulo4"/>
    <w:rsid w:val="004E5076"/>
    <w:rPr>
      <w:b/>
      <w:bCs/>
      <w:strike w:val="0"/>
      <w:dstrike w:val="0"/>
      <w:color w:val="000000"/>
      <w:sz w:val="36"/>
      <w:szCs w:val="36"/>
      <w:u w:val="none"/>
      <w:effect w:val="none"/>
    </w:rPr>
  </w:style>
  <w:style w:type="paragraph" w:customStyle="1" w:styleId="mce">
    <w:name w:val="mce"/>
    <w:basedOn w:val="Normal"/>
    <w:rsid w:val="004E5076"/>
    <w:pPr>
      <w:widowControl/>
      <w:spacing w:before="100" w:beforeAutospacing="1" w:after="100" w:afterAutospacing="1"/>
    </w:pPr>
    <w:rPr>
      <w:rFonts w:ascii="Times New Roman" w:eastAsia="Batang" w:hAnsi="Times New Roman" w:cs="Times New Roman"/>
      <w:sz w:val="24"/>
      <w:szCs w:val="24"/>
      <w:lang w:eastAsia="ko-KR"/>
    </w:rPr>
  </w:style>
  <w:style w:type="paragraph" w:customStyle="1" w:styleId="Prrafodelista3">
    <w:name w:val="Párrafo de lista3"/>
    <w:basedOn w:val="Normal"/>
    <w:rsid w:val="004E5076"/>
    <w:pPr>
      <w:widowControl/>
      <w:spacing w:after="200" w:line="276" w:lineRule="auto"/>
      <w:ind w:left="708"/>
    </w:pPr>
    <w:rPr>
      <w:rFonts w:ascii="Calibri" w:eastAsia="MS Mincho" w:hAnsi="Calibri"/>
      <w:lang w:eastAsia="ja-JP"/>
    </w:rPr>
  </w:style>
  <w:style w:type="character" w:customStyle="1" w:styleId="BodyText3Char">
    <w:name w:val="Body Text 3 Char"/>
    <w:semiHidden/>
    <w:locked/>
    <w:rsid w:val="004E5076"/>
    <w:rPr>
      <w:rFonts w:ascii="Arial" w:hAnsi="Arial"/>
      <w:sz w:val="18"/>
      <w:lang w:val="es-PE" w:eastAsia="es-PE" w:bidi="ar-SA"/>
    </w:rPr>
  </w:style>
  <w:style w:type="character" w:customStyle="1" w:styleId="NormalArialCar1">
    <w:name w:val="Normal + Arial Car1"/>
    <w:aliases w:val="11 pt Car,Izquierda:  0.75 cm Car,Expandido  1 pto Car,Interlineado 1 Car,5 Car Car"/>
    <w:rsid w:val="004E5076"/>
    <w:rPr>
      <w:rFonts w:ascii="Arial" w:eastAsia="Times New Roman" w:hAnsi="Arial"/>
      <w:sz w:val="24"/>
      <w:lang w:val="es-MX" w:eastAsia="es-ES"/>
    </w:rPr>
  </w:style>
  <w:style w:type="character" w:customStyle="1" w:styleId="tablaficha21">
    <w:name w:val="tablaficha21"/>
    <w:rsid w:val="004E5076"/>
    <w:rPr>
      <w:sz w:val="17"/>
      <w:bdr w:val="single" w:sz="6" w:space="0" w:color="FFFFFF" w:frame="1"/>
    </w:rPr>
  </w:style>
  <w:style w:type="paragraph" w:customStyle="1" w:styleId="TexT1">
    <w:name w:val="TexT1"/>
    <w:basedOn w:val="Normal"/>
    <w:rsid w:val="004E5076"/>
    <w:pPr>
      <w:widowControl/>
      <w:spacing w:line="320" w:lineRule="exact"/>
      <w:jc w:val="both"/>
    </w:pPr>
    <w:rPr>
      <w:rFonts w:eastAsia="Times New Roman" w:cs="Times New Roman"/>
      <w:szCs w:val="20"/>
      <w:lang w:eastAsia="es-ES"/>
    </w:rPr>
  </w:style>
  <w:style w:type="character" w:styleId="CitaHTML">
    <w:name w:val="HTML Cite"/>
    <w:rsid w:val="004E5076"/>
    <w:rPr>
      <w:rFonts w:cs="Times New Roman"/>
      <w:color w:val="009933"/>
    </w:rPr>
  </w:style>
  <w:style w:type="character" w:customStyle="1" w:styleId="SubtitleChar">
    <w:name w:val="Subtitle Char"/>
    <w:locked/>
    <w:rsid w:val="004E5076"/>
    <w:rPr>
      <w:rFonts w:ascii="Times New Roman" w:hAnsi="Times New Roman" w:cs="Times New Roman"/>
      <w:b/>
      <w:bCs/>
      <w:sz w:val="20"/>
      <w:szCs w:val="20"/>
      <w:u w:val="single"/>
      <w:lang w:val="x-none" w:eastAsia="es-PE"/>
    </w:rPr>
  </w:style>
  <w:style w:type="character" w:customStyle="1" w:styleId="FooterChar">
    <w:name w:val="Footer Char"/>
    <w:locked/>
    <w:rsid w:val="004E5076"/>
    <w:rPr>
      <w:rFonts w:cs="Times New Roman"/>
    </w:rPr>
  </w:style>
  <w:style w:type="character" w:customStyle="1" w:styleId="BodyTextIndent3Char">
    <w:name w:val="Body Text Indent 3 Char"/>
    <w:semiHidden/>
    <w:locked/>
    <w:rsid w:val="004E5076"/>
    <w:rPr>
      <w:rFonts w:ascii="Arial" w:hAnsi="Arial" w:cs="Arial"/>
      <w:sz w:val="16"/>
      <w:szCs w:val="16"/>
      <w:lang w:val="es-ES" w:eastAsia="es-ES"/>
    </w:rPr>
  </w:style>
  <w:style w:type="character" w:customStyle="1" w:styleId="NormalWebCarCarCarChar">
    <w:name w:val="Normal (Web) Car Car Car Char"/>
    <w:locked/>
    <w:rsid w:val="004E5076"/>
    <w:rPr>
      <w:rFonts w:ascii="Times New Roman" w:hAnsi="Times New Roman"/>
      <w:sz w:val="24"/>
      <w:lang w:val="es-ES" w:eastAsia="es-ES"/>
    </w:rPr>
  </w:style>
  <w:style w:type="character" w:customStyle="1" w:styleId="EndnoteTextChar">
    <w:name w:val="Endnote Text Char"/>
    <w:semiHidden/>
    <w:locked/>
    <w:rsid w:val="004E5076"/>
    <w:rPr>
      <w:rFonts w:ascii="Arial" w:hAnsi="Arial" w:cs="Arial"/>
      <w:sz w:val="20"/>
      <w:szCs w:val="20"/>
      <w:lang w:val="es-ES" w:eastAsia="es-ES"/>
    </w:rPr>
  </w:style>
  <w:style w:type="paragraph" w:customStyle="1" w:styleId="FICHAS">
    <w:name w:val="FICHAS"/>
    <w:rsid w:val="004E5076"/>
    <w:pPr>
      <w:jc w:val="both"/>
    </w:pPr>
    <w:rPr>
      <w:rFonts w:eastAsia="Times New Roman" w:cs="Times New Roman"/>
      <w:szCs w:val="20"/>
      <w:lang w:eastAsia="es-ES"/>
    </w:rPr>
  </w:style>
  <w:style w:type="table" w:customStyle="1" w:styleId="Tablaconcuadrcula7">
    <w:name w:val="Tabla con cuadrícula7"/>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3">
    <w:name w:val="Párrafo de lista Car3"/>
    <w:uiPriority w:val="1"/>
    <w:rsid w:val="004E5076"/>
    <w:rPr>
      <w:rFonts w:ascii="Times New Roman" w:eastAsia="Times New Roman" w:hAnsi="Times New Roman" w:cs="Times New Roman"/>
      <w:sz w:val="20"/>
      <w:szCs w:val="20"/>
      <w:lang w:eastAsia="es-ES"/>
    </w:rPr>
  </w:style>
  <w:style w:type="paragraph" w:customStyle="1" w:styleId="T4INA1">
    <w:name w:val="T4 INA1"/>
    <w:basedOn w:val="Normal"/>
    <w:autoRedefine/>
    <w:qFormat/>
    <w:rsid w:val="004E5076"/>
    <w:pPr>
      <w:keepNext/>
      <w:widowControl/>
      <w:tabs>
        <w:tab w:val="num" w:pos="1191"/>
      </w:tabs>
      <w:spacing w:before="120" w:line="280" w:lineRule="exact"/>
      <w:ind w:left="2041" w:right="201" w:hanging="2041"/>
      <w:jc w:val="both"/>
      <w:outlineLvl w:val="3"/>
    </w:pPr>
    <w:rPr>
      <w:rFonts w:eastAsia="Times New Roman"/>
      <w:b/>
      <w:lang w:val="es-ES_tradnl" w:eastAsia="es-ES"/>
    </w:rPr>
  </w:style>
  <w:style w:type="paragraph" w:customStyle="1" w:styleId="TEXTO20">
    <w:name w:val="TEXTO2"/>
    <w:basedOn w:val="Normal"/>
    <w:qFormat/>
    <w:rsid w:val="004E5076"/>
    <w:pPr>
      <w:widowControl/>
      <w:spacing w:line="280" w:lineRule="exact"/>
      <w:ind w:right="2268"/>
      <w:jc w:val="both"/>
    </w:pPr>
    <w:rPr>
      <w:rFonts w:ascii="Times New Roman" w:eastAsia="Times New Roman" w:hAnsi="Times New Roman" w:cs="Times New Roman"/>
      <w:sz w:val="20"/>
      <w:szCs w:val="20"/>
      <w:lang w:eastAsia="es-ES"/>
    </w:rPr>
  </w:style>
  <w:style w:type="paragraph" w:customStyle="1" w:styleId="EstiloTtulo31">
    <w:name w:val="Estilo Título 31"/>
    <w:basedOn w:val="Ttulo3"/>
    <w:qFormat/>
    <w:rsid w:val="004E5076"/>
    <w:pPr>
      <w:keepLines w:val="0"/>
      <w:spacing w:before="0" w:after="0" w:line="260" w:lineRule="exact"/>
      <w:ind w:right="2268"/>
      <w:jc w:val="both"/>
    </w:pPr>
    <w:rPr>
      <w:rFonts w:ascii="Times New Roman" w:eastAsia="Times New Roman" w:hAnsi="Times New Roman" w:cs="Times New Roman"/>
      <w:b/>
      <w:bCs/>
      <w:color w:val="auto"/>
      <w:sz w:val="20"/>
      <w:szCs w:val="20"/>
      <w:lang w:eastAsia="es-ES"/>
    </w:rPr>
  </w:style>
  <w:style w:type="paragraph" w:customStyle="1" w:styleId="TextoCapitulo1">
    <w:name w:val="Texto Capitulo1"/>
    <w:basedOn w:val="TEXTO0"/>
    <w:qFormat/>
    <w:rsid w:val="004E5076"/>
    <w:pPr>
      <w:overflowPunct w:val="0"/>
      <w:jc w:val="left"/>
      <w:textAlignment w:val="baseline"/>
    </w:pPr>
    <w:rPr>
      <w:rFonts w:ascii="Georgia" w:eastAsia="Times New Roman" w:hAnsi="Georgia"/>
      <w:sz w:val="22"/>
      <w:lang w:val="es-ES_tradnl" w:eastAsia="fr-FR"/>
    </w:rPr>
  </w:style>
  <w:style w:type="character" w:customStyle="1" w:styleId="TextoCapituloCar1">
    <w:name w:val="Texto Capitulo Car1"/>
    <w:rsid w:val="004E5076"/>
    <w:rPr>
      <w:rFonts w:ascii="Georgia" w:eastAsia="Times New Roman" w:hAnsi="Georgia"/>
      <w:sz w:val="22"/>
      <w:lang w:val="es-ES_tradnl" w:eastAsia="fr-FR"/>
    </w:rPr>
  </w:style>
  <w:style w:type="character" w:customStyle="1" w:styleId="TextonotapieCar3">
    <w:name w:val="Texto nota pie Car3"/>
    <w:semiHidden/>
    <w:rsid w:val="004E5076"/>
    <w:rPr>
      <w:rFonts w:ascii="Verdana" w:eastAsia="Times New Roman" w:hAnsi="Verdana"/>
      <w:lang w:val="fr-FR" w:eastAsia="fr-FR"/>
    </w:rPr>
  </w:style>
  <w:style w:type="paragraph" w:customStyle="1" w:styleId="TextoCapitulo2">
    <w:name w:val="Texto Capitulo2"/>
    <w:basedOn w:val="TEXTO0"/>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2">
    <w:name w:val="Texto Capitulo Car2"/>
    <w:rsid w:val="004E5076"/>
    <w:rPr>
      <w:rFonts w:ascii="Georgia" w:eastAsia="Times New Roman" w:hAnsi="Georgia"/>
      <w:sz w:val="22"/>
      <w:lang w:eastAsia="fr-FR"/>
    </w:rPr>
  </w:style>
  <w:style w:type="character" w:customStyle="1" w:styleId="TextonotapieCar4">
    <w:name w:val="Texto nota pie Car4"/>
    <w:semiHidden/>
    <w:rsid w:val="004E5076"/>
    <w:rPr>
      <w:rFonts w:ascii="Verdana" w:eastAsia="Times New Roman" w:hAnsi="Verdana"/>
      <w:lang w:val="fr-FR" w:eastAsia="fr-FR"/>
    </w:rPr>
  </w:style>
  <w:style w:type="paragraph" w:customStyle="1" w:styleId="xl631">
    <w:name w:val="xl631"/>
    <w:basedOn w:val="Normal"/>
    <w:rsid w:val="004E507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lang w:val="es-ES_tradnl" w:eastAsia="es-ES_tradnl"/>
    </w:rPr>
  </w:style>
  <w:style w:type="paragraph" w:customStyle="1" w:styleId="xl641">
    <w:name w:val="xl641"/>
    <w:basedOn w:val="Normal"/>
    <w:rsid w:val="004E5076"/>
    <w:pPr>
      <w:widowControl/>
      <w:spacing w:before="100" w:beforeAutospacing="1" w:after="100" w:afterAutospacing="1"/>
      <w:textAlignment w:val="center"/>
    </w:pPr>
    <w:rPr>
      <w:rFonts w:eastAsia="Times New Roman"/>
      <w:lang w:val="es-ES_tradnl" w:eastAsia="es-ES_tradnl"/>
    </w:rPr>
  </w:style>
  <w:style w:type="paragraph" w:customStyle="1" w:styleId="xl651">
    <w:name w:val="xl65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661">
    <w:name w:val="xl66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71">
    <w:name w:val="xl67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681">
    <w:name w:val="xl68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91">
    <w:name w:val="xl691"/>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lang w:val="es-ES_tradnl" w:eastAsia="es-ES_tradnl"/>
    </w:rPr>
  </w:style>
  <w:style w:type="paragraph" w:customStyle="1" w:styleId="xl701">
    <w:name w:val="xl701"/>
    <w:basedOn w:val="Normal"/>
    <w:rsid w:val="004E5076"/>
    <w:pPr>
      <w:widowControl/>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center"/>
    </w:pPr>
    <w:rPr>
      <w:rFonts w:eastAsia="Times New Roman"/>
      <w:lang w:val="es-ES_tradnl" w:eastAsia="es-ES_tradnl"/>
    </w:rPr>
  </w:style>
  <w:style w:type="paragraph" w:customStyle="1" w:styleId="xl711">
    <w:name w:val="xl71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721">
    <w:name w:val="xl721"/>
    <w:basedOn w:val="Normal"/>
    <w:rsid w:val="004E5076"/>
    <w:pPr>
      <w:widowControl/>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rFonts w:eastAsia="Times New Roman"/>
      <w:lang w:val="es-ES_tradnl" w:eastAsia="es-ES_tradnl"/>
    </w:rPr>
  </w:style>
  <w:style w:type="paragraph" w:customStyle="1" w:styleId="xl731">
    <w:name w:val="xl731"/>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41">
    <w:name w:val="xl741"/>
    <w:basedOn w:val="Normal"/>
    <w:rsid w:val="004E5076"/>
    <w:pPr>
      <w:widowControl/>
      <w:spacing w:before="100" w:beforeAutospacing="1" w:after="100" w:afterAutospacing="1"/>
      <w:jc w:val="center"/>
      <w:textAlignment w:val="center"/>
    </w:pPr>
    <w:rPr>
      <w:rFonts w:eastAsia="Times New Roman"/>
      <w:b/>
      <w:bCs/>
      <w:lang w:val="es-ES_tradnl" w:eastAsia="es-ES_tradnl"/>
    </w:rPr>
  </w:style>
  <w:style w:type="paragraph" w:customStyle="1" w:styleId="xl751">
    <w:name w:val="xl751"/>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b/>
      <w:bCs/>
      <w:lang w:val="es-ES_tradnl" w:eastAsia="es-ES_tradnl"/>
    </w:rPr>
  </w:style>
  <w:style w:type="paragraph" w:customStyle="1" w:styleId="xl761">
    <w:name w:val="xl761"/>
    <w:basedOn w:val="Normal"/>
    <w:rsid w:val="004E5076"/>
    <w:pPr>
      <w:widowControl/>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textAlignment w:val="center"/>
    </w:pPr>
    <w:rPr>
      <w:rFonts w:eastAsia="Times New Roman"/>
      <w:lang w:val="es-ES_tradnl" w:eastAsia="es-ES_tradnl"/>
    </w:rPr>
  </w:style>
  <w:style w:type="paragraph" w:customStyle="1" w:styleId="xl771">
    <w:name w:val="xl77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781">
    <w:name w:val="xl781"/>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91">
    <w:name w:val="xl79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801">
    <w:name w:val="xl80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11">
    <w:name w:val="xl81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21">
    <w:name w:val="xl82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31">
    <w:name w:val="xl831"/>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EstiloTtulo32">
    <w:name w:val="Estilo Título 32"/>
    <w:basedOn w:val="Ttulo3"/>
    <w:qFormat/>
    <w:rsid w:val="004E5076"/>
    <w:pPr>
      <w:keepLines w:val="0"/>
      <w:spacing w:before="0" w:after="0" w:line="260" w:lineRule="exact"/>
      <w:ind w:right="2268"/>
      <w:jc w:val="both"/>
    </w:pPr>
    <w:rPr>
      <w:rFonts w:eastAsia="Times New Roman" w:cs="Times New Roman"/>
      <w:b/>
      <w:bCs/>
      <w:color w:val="008FCB"/>
      <w:sz w:val="22"/>
      <w:szCs w:val="20"/>
      <w:lang w:val="x-none" w:eastAsia="es-ES"/>
    </w:rPr>
  </w:style>
  <w:style w:type="character" w:customStyle="1" w:styleId="Ttulo2Car2">
    <w:name w:val="Título 2 Car2"/>
    <w:uiPriority w:val="9"/>
    <w:rsid w:val="004E5076"/>
    <w:rPr>
      <w:rFonts w:ascii="Calibri Light" w:eastAsia="Times New Roman" w:hAnsi="Calibri Light" w:cs="Times New Roman"/>
      <w:color w:val="2E74B5"/>
      <w:sz w:val="26"/>
      <w:szCs w:val="26"/>
    </w:rPr>
  </w:style>
  <w:style w:type="paragraph" w:customStyle="1" w:styleId="TextoCapitulo3">
    <w:name w:val="Texto Capitulo3"/>
    <w:basedOn w:val="TEXTO0"/>
    <w:qFormat/>
    <w:rsid w:val="004E5076"/>
    <w:pPr>
      <w:overflowPunct w:val="0"/>
      <w:spacing w:before="120"/>
      <w:ind w:left="646" w:hanging="646"/>
      <w:jc w:val="left"/>
      <w:textAlignment w:val="baseline"/>
    </w:pPr>
    <w:rPr>
      <w:rFonts w:ascii="Georgia" w:eastAsia="Times New Roman" w:hAnsi="Georgia"/>
      <w:sz w:val="22"/>
      <w:lang w:val="x-none" w:eastAsia="fr-FR"/>
    </w:rPr>
  </w:style>
  <w:style w:type="character" w:customStyle="1" w:styleId="TextoCapituloCar3">
    <w:name w:val="Texto Capitulo Car3"/>
    <w:rsid w:val="004E5076"/>
    <w:rPr>
      <w:rFonts w:ascii="Georgia" w:eastAsia="Times New Roman" w:hAnsi="Georgia"/>
      <w:sz w:val="22"/>
      <w:lang w:eastAsia="fr-FR"/>
    </w:rPr>
  </w:style>
  <w:style w:type="character" w:customStyle="1" w:styleId="TextonotapieCar5">
    <w:name w:val="Texto nota pie Car5"/>
    <w:semiHidden/>
    <w:rsid w:val="004E5076"/>
    <w:rPr>
      <w:rFonts w:ascii="Verdana" w:eastAsia="Times New Roman" w:hAnsi="Verdana"/>
      <w:lang w:val="fr-FR" w:eastAsia="fr-FR"/>
    </w:rPr>
  </w:style>
  <w:style w:type="paragraph" w:customStyle="1" w:styleId="xl632">
    <w:name w:val="xl632"/>
    <w:basedOn w:val="Normal"/>
    <w:rsid w:val="004E507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lang w:val="es-ES_tradnl" w:eastAsia="es-ES_tradnl"/>
    </w:rPr>
  </w:style>
  <w:style w:type="paragraph" w:customStyle="1" w:styleId="xl642">
    <w:name w:val="xl642"/>
    <w:basedOn w:val="Normal"/>
    <w:rsid w:val="004E5076"/>
    <w:pPr>
      <w:widowControl/>
      <w:spacing w:before="100" w:beforeAutospacing="1" w:after="100" w:afterAutospacing="1"/>
      <w:textAlignment w:val="center"/>
    </w:pPr>
    <w:rPr>
      <w:rFonts w:eastAsia="Times New Roman"/>
      <w:lang w:val="es-ES_tradnl" w:eastAsia="es-ES_tradnl"/>
    </w:rPr>
  </w:style>
  <w:style w:type="paragraph" w:customStyle="1" w:styleId="xl652">
    <w:name w:val="xl65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662">
    <w:name w:val="xl66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72">
    <w:name w:val="xl67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682">
    <w:name w:val="xl68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692">
    <w:name w:val="xl692"/>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lang w:val="es-ES_tradnl" w:eastAsia="es-ES_tradnl"/>
    </w:rPr>
  </w:style>
  <w:style w:type="paragraph" w:customStyle="1" w:styleId="xl702">
    <w:name w:val="xl702"/>
    <w:basedOn w:val="Normal"/>
    <w:rsid w:val="004E5076"/>
    <w:pPr>
      <w:widowControl/>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center"/>
    </w:pPr>
    <w:rPr>
      <w:rFonts w:eastAsia="Times New Roman"/>
      <w:lang w:val="es-ES_tradnl" w:eastAsia="es-ES_tradnl"/>
    </w:rPr>
  </w:style>
  <w:style w:type="paragraph" w:customStyle="1" w:styleId="xl712">
    <w:name w:val="xl71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val="es-ES_tradnl" w:eastAsia="es-ES_tradnl"/>
    </w:rPr>
  </w:style>
  <w:style w:type="paragraph" w:customStyle="1" w:styleId="xl722">
    <w:name w:val="xl722"/>
    <w:basedOn w:val="Normal"/>
    <w:rsid w:val="004E5076"/>
    <w:pPr>
      <w:widowControl/>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rFonts w:eastAsia="Times New Roman"/>
      <w:lang w:val="es-ES_tradnl" w:eastAsia="es-ES_tradnl"/>
    </w:rPr>
  </w:style>
  <w:style w:type="paragraph" w:customStyle="1" w:styleId="xl732">
    <w:name w:val="xl732"/>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42">
    <w:name w:val="xl742"/>
    <w:basedOn w:val="Normal"/>
    <w:rsid w:val="004E5076"/>
    <w:pPr>
      <w:widowControl/>
      <w:spacing w:before="100" w:beforeAutospacing="1" w:after="100" w:afterAutospacing="1"/>
      <w:jc w:val="center"/>
      <w:textAlignment w:val="center"/>
    </w:pPr>
    <w:rPr>
      <w:rFonts w:eastAsia="Times New Roman"/>
      <w:b/>
      <w:bCs/>
      <w:lang w:val="es-ES_tradnl" w:eastAsia="es-ES_tradnl"/>
    </w:rPr>
  </w:style>
  <w:style w:type="paragraph" w:customStyle="1" w:styleId="xl752">
    <w:name w:val="xl752"/>
    <w:basedOn w:val="Normal"/>
    <w:rsid w:val="004E5076"/>
    <w:pPr>
      <w:widowControl/>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eastAsia="Times New Roman"/>
      <w:b/>
      <w:bCs/>
      <w:lang w:val="es-ES_tradnl" w:eastAsia="es-ES_tradnl"/>
    </w:rPr>
  </w:style>
  <w:style w:type="paragraph" w:customStyle="1" w:styleId="xl762">
    <w:name w:val="xl762"/>
    <w:basedOn w:val="Normal"/>
    <w:rsid w:val="004E5076"/>
    <w:pPr>
      <w:widowControl/>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textAlignment w:val="center"/>
    </w:pPr>
    <w:rPr>
      <w:rFonts w:eastAsia="Times New Roman"/>
      <w:lang w:val="es-ES_tradnl" w:eastAsia="es-ES_tradnl"/>
    </w:rPr>
  </w:style>
  <w:style w:type="paragraph" w:customStyle="1" w:styleId="xl772">
    <w:name w:val="xl77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782">
    <w:name w:val="xl782"/>
    <w:basedOn w:val="Normal"/>
    <w:rsid w:val="004E5076"/>
    <w:pPr>
      <w:widowControl/>
      <w:spacing w:before="100" w:beforeAutospacing="1" w:after="100" w:afterAutospacing="1"/>
      <w:jc w:val="center"/>
      <w:textAlignment w:val="center"/>
    </w:pPr>
    <w:rPr>
      <w:rFonts w:eastAsia="Times New Roman"/>
      <w:lang w:val="es-ES_tradnl" w:eastAsia="es-ES_tradnl"/>
    </w:rPr>
  </w:style>
  <w:style w:type="paragraph" w:customStyle="1" w:styleId="xl792">
    <w:name w:val="xl79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val="es-ES_tradnl" w:eastAsia="es-ES_tradnl"/>
    </w:rPr>
  </w:style>
  <w:style w:type="paragraph" w:customStyle="1" w:styleId="xl802">
    <w:name w:val="xl80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12">
    <w:name w:val="xl81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22">
    <w:name w:val="xl82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paragraph" w:customStyle="1" w:styleId="xl832">
    <w:name w:val="xl832"/>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es-ES_tradnl" w:eastAsia="es-ES_tradnl"/>
    </w:rPr>
  </w:style>
  <w:style w:type="character" w:customStyle="1" w:styleId="Listavistosa-nfasis1Car2">
    <w:name w:val="Lista vistosa - Énfasis 1 Car2"/>
    <w:uiPriority w:val="34"/>
    <w:rsid w:val="004E5076"/>
    <w:rPr>
      <w:rFonts w:ascii="Times New Roman" w:eastAsia="Times New Roman" w:hAnsi="Times New Roman" w:cs="Times New Roman"/>
      <w:sz w:val="20"/>
      <w:szCs w:val="20"/>
      <w:lang w:eastAsia="es-ES"/>
    </w:rPr>
  </w:style>
  <w:style w:type="paragraph" w:customStyle="1" w:styleId="EpgrafeCarCarCarCarCar2">
    <w:name w:val="Epígrafe Car Car Car Car Car2"/>
    <w:aliases w:val="Epígrafe Car Car Car Car Car Car Car Car2,Epígrafe Car Car Car Car Car Car Car Car Car Car Car2,Epígrafe Car Car Car Car Car Car Car Car Car Car Car Car Car Car Car C2,Epigrafe2,Epígrafe 12,Epígrafe 1 Car Car2,Descripción2"/>
    <w:basedOn w:val="Normal"/>
    <w:next w:val="Normal"/>
    <w:qFormat/>
    <w:rsid w:val="004E5076"/>
    <w:pPr>
      <w:widowControl/>
    </w:pPr>
    <w:rPr>
      <w:rFonts w:ascii="Times New Roman" w:eastAsia="Times New Roman" w:hAnsi="Times New Roman" w:cs="Times New Roman"/>
      <w:b/>
      <w:bCs/>
      <w:sz w:val="20"/>
      <w:szCs w:val="20"/>
    </w:rPr>
  </w:style>
  <w:style w:type="character" w:customStyle="1" w:styleId="Sangra3detindependienteCar2">
    <w:name w:val="Sangría 3 de t. independiente Car2"/>
    <w:rsid w:val="004E5076"/>
    <w:rPr>
      <w:rFonts w:ascii="Times New Roman" w:eastAsia="Times New Roman" w:hAnsi="Times New Roman"/>
      <w:sz w:val="16"/>
      <w:szCs w:val="16"/>
      <w:lang w:val="es-PE" w:eastAsia="es-PE"/>
    </w:rPr>
  </w:style>
  <w:style w:type="table" w:customStyle="1" w:styleId="Tabladelista3-nfasis512">
    <w:name w:val="Tabla de lista 3 - Énfasis 5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1">
    <w:name w:val="Tabla con cuadrícula61"/>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
    <w:name w:val="Tabla de cuadrícula 4 - Énfasis 5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
    <w:name w:val="Tabla de lista 3 - Énfasis 5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
    <w:name w:val="Tabla con cuadrícula5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
    <w:name w:val="Tabla de lista 3 - Énfasis 5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
    <w:name w:val="Tabla con cuadrícula21"/>
    <w:basedOn w:val="Tablanormal"/>
    <w:next w:val="Tablaconcuadrcula"/>
    <w:uiPriority w:val="3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
    <w:name w:val="Tabla de lista 3 - Énfasis 5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
    <w:name w:val="Tabla con cuadrícula3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
    <w:name w:val="Tabla de cuadrícula 4 - Énfasis 5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
    <w:name w:val="Tabla de lista 3 - Énfasis 5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
    <w:name w:val="Tabla con cuadrícula5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3">
    <w:name w:val="Tabla de lista 3 - Énfasis 513"/>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8">
    <w:name w:val="Tabla con cuadrícula8"/>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3">
    <w:name w:val="Tabla de cuadrícula 4 - Énfasis 513"/>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3">
    <w:name w:val="Tabla de lista 3 - Énfasis 523"/>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3">
    <w:name w:val="Tabla con cuadrícula53"/>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2">
    <w:name w:val="Tabla de lista 3 - Énfasis 53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2">
    <w:name w:val="Tabla con cuadrícula2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2">
    <w:name w:val="Tabla de lista 3 - Énfasis 5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2">
    <w:name w:val="Tabla con cuadrícula3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2">
    <w:name w:val="Tabla de cuadrícula 4 - Énfasis 51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2">
    <w:name w:val="Tabla de lista 3 - Énfasis 52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2">
    <w:name w:val="Tabla con cuadrícula512"/>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
    <w:name w:val="Lista vistosa - Énfasis 12"/>
    <w:basedOn w:val="Tablanormal"/>
    <w:next w:val="Listavistosa-nfasis1"/>
    <w:uiPriority w:val="34"/>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delista3-nfasis5121">
    <w:name w:val="Tabla de lista 3 - Énfasis 5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2">
    <w:name w:val="Tabla con cuadrícula62"/>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1">
    <w:name w:val="Tabla de cuadrícula 4 - Énfasis 512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1">
    <w:name w:val="Tabla de lista 3 - Énfasis 52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1">
    <w:name w:val="Tabla con cuadrícula5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1">
    <w:name w:val="Tabla de lista 3 - Énfasis 53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1">
    <w:name w:val="Tabla con cuadrícula2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1">
    <w:name w:val="Tabla de lista 3 - Énfasis 5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1">
    <w:name w:val="Tabla con cuadrícula3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1">
    <w:name w:val="Tabla de cuadrícula 4 - Énfasis 51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1">
    <w:name w:val="Tabla de lista 3 - Énfasis 52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1">
    <w:name w:val="Tabla con cuadrícula51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1">
    <w:name w:val="Estilo21"/>
    <w:uiPriority w:val="99"/>
    <w:rsid w:val="004E5076"/>
  </w:style>
  <w:style w:type="table" w:customStyle="1" w:styleId="Cuadrculaclara-nfasis31">
    <w:name w:val="Cuadrícula clara - Énfasis 31"/>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1">
    <w:name w:val="Tabla de cuadrícula 6 con colores1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1">
    <w:name w:val="Sombreado vistoso - Énfasis 31"/>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2">
    <w:name w:val="Cuadrícula media 1 - Énfasis 22"/>
    <w:basedOn w:val="Tablanormal"/>
    <w:next w:val="Cuadrculamedia1-nfasis2"/>
    <w:uiPriority w:val="34"/>
    <w:rsid w:val="004E5076"/>
    <w:rPr>
      <w:rFonts w:eastAsia="Calibri" w:cs="Times New Roman"/>
      <w:lang w:val="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1">
    <w:name w:val="Tabla de cuadrícula 5 oscura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1">
    <w:name w:val="Tabla de cuadrícula 5 oscura - Énfasis 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aconcuadrcula71">
    <w:name w:val="Tabla con cuadrícula71"/>
    <w:basedOn w:val="Tablanormal"/>
    <w:next w:val="Tablaconcuadrcula"/>
    <w:uiPriority w:val="3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concuadrcula611">
    <w:name w:val="Tabla con cuadrícula61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
    <w:name w:val="Table Normal21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numbering" w:customStyle="1" w:styleId="List7111">
    <w:name w:val="List 7111"/>
    <w:basedOn w:val="Sinlista"/>
    <w:rsid w:val="004E5076"/>
  </w:style>
  <w:style w:type="numbering" w:customStyle="1" w:styleId="List8111">
    <w:name w:val="List 8111"/>
    <w:basedOn w:val="Sinlista"/>
    <w:rsid w:val="004E5076"/>
  </w:style>
  <w:style w:type="numbering" w:customStyle="1" w:styleId="List9111">
    <w:name w:val="List 9111"/>
    <w:basedOn w:val="Sinlista"/>
    <w:rsid w:val="004E5076"/>
  </w:style>
  <w:style w:type="numbering" w:customStyle="1" w:styleId="List10111">
    <w:name w:val="List 10111"/>
    <w:basedOn w:val="Sinlista"/>
    <w:rsid w:val="004E5076"/>
  </w:style>
  <w:style w:type="numbering" w:customStyle="1" w:styleId="List11111">
    <w:name w:val="List 11111"/>
    <w:basedOn w:val="Sinlista"/>
    <w:rsid w:val="004E5076"/>
  </w:style>
  <w:style w:type="numbering" w:customStyle="1" w:styleId="List12111">
    <w:name w:val="List 12111"/>
    <w:basedOn w:val="Sinlista"/>
    <w:rsid w:val="004E5076"/>
  </w:style>
  <w:style w:type="numbering" w:customStyle="1" w:styleId="List13111">
    <w:name w:val="List 13111"/>
    <w:basedOn w:val="Sinlista"/>
    <w:rsid w:val="004E5076"/>
  </w:style>
  <w:style w:type="numbering" w:customStyle="1" w:styleId="List14111">
    <w:name w:val="List 14111"/>
    <w:basedOn w:val="Sinlista"/>
    <w:rsid w:val="004E5076"/>
  </w:style>
  <w:style w:type="numbering" w:customStyle="1" w:styleId="Lista21112">
    <w:name w:val="Lista 21112"/>
    <w:basedOn w:val="Sinlista"/>
    <w:rsid w:val="004E5076"/>
  </w:style>
  <w:style w:type="paragraph" w:customStyle="1" w:styleId="EstiloTITULO4">
    <w:name w:val="Estilo TITULO 4"/>
    <w:basedOn w:val="Normal"/>
    <w:qFormat/>
    <w:rsid w:val="004E5076"/>
    <w:pPr>
      <w:widowControl/>
      <w:tabs>
        <w:tab w:val="num" w:pos="2880"/>
      </w:tabs>
      <w:spacing w:after="240"/>
      <w:ind w:left="2880" w:hanging="720"/>
      <w:jc w:val="both"/>
    </w:pPr>
    <w:rPr>
      <w:rFonts w:eastAsia="Times New Roman"/>
      <w:bCs/>
      <w:color w:val="008FCB"/>
      <w:lang w:eastAsia="fr-FR"/>
    </w:rPr>
  </w:style>
  <w:style w:type="table" w:customStyle="1" w:styleId="Cuadrculamedia1-nfasis23">
    <w:name w:val="Cuadrícula media 1 - Énfasis 23"/>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lista3-nfasis514">
    <w:name w:val="Tabla de lista 3 - Énfasis 5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9">
    <w:name w:val="Tabla con cuadrícula9"/>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4">
    <w:name w:val="Tabla de cuadrícula 4 - Énfasis 514"/>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4">
    <w:name w:val="Tabla de lista 3 - Énfasis 52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4">
    <w:name w:val="Tabla con cuadrícula5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3">
    <w:name w:val="Tabla de lista 3 - Énfasis 53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3">
    <w:name w:val="Tabla con cuadrícula23"/>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3">
    <w:name w:val="Tabla de lista 3 - Énfasis 511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3">
    <w:name w:val="Tabla con cuadrícula33"/>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3">
    <w:name w:val="Tabla de cuadrícula 4 - Énfasis 5113"/>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3">
    <w:name w:val="Tabla de lista 3 - Énfasis 5213"/>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3">
    <w:name w:val="Tabla con cuadrícula513"/>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Cuadrculaclara-nfasis32">
    <w:name w:val="Cuadrícula clara - Énfasis 32"/>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2">
    <w:name w:val="Tabla de cuadrícula 6 con colores12"/>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2">
    <w:name w:val="Sombreado vistoso - Énfasis 32"/>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
    <w:name w:val="Cuadrícula media 1 - Énfasis 24"/>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2">
    <w:name w:val="Tabla de cuadrícula 5 oscura12"/>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2">
    <w:name w:val="Tabla de cuadrícula 5 oscura - Énfasis 112"/>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stavistosa-nfasis13">
    <w:name w:val="Lista vistosa - Énfasis 13"/>
    <w:basedOn w:val="Tablanormal"/>
    <w:next w:val="Listavistosa-nfasis1"/>
    <w:uiPriority w:val="99"/>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concuadrcula63">
    <w:name w:val="Tabla con cuadrícula63"/>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2">
    <w:name w:val="Table Normal3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lista3-nfasis5122">
    <w:name w:val="Tabla de lista 3 - Énfasis 51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12">
    <w:name w:val="Tabla con cuadrícula612"/>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2">
    <w:name w:val="Table Normal212"/>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2">
    <w:name w:val="Tabla de cuadrícula 4 - Énfasis 512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2">
    <w:name w:val="Tabla de lista 3 - Énfasis 522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2">
    <w:name w:val="Tabla con cuadrícula52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2">
    <w:name w:val="Tabla de lista 3 - Énfasis 53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2">
    <w:name w:val="Tabla con cuadrícula21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2">
    <w:name w:val="Tabla de lista 3 - Énfasis 51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2">
    <w:name w:val="Tabla con cuadrícula312"/>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2">
    <w:name w:val="Table Normal112"/>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2">
    <w:name w:val="Tabla de cuadrícula 4 - Énfasis 51112"/>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2">
    <w:name w:val="Tabla de lista 3 - Énfasis 52112"/>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2">
    <w:name w:val="Tabla con cuadrícula5112"/>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31">
    <w:name w:val="Tabla de lista 3 - Énfasis 51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81">
    <w:name w:val="Tabla con cuadrícula8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31">
    <w:name w:val="Tabla de cuadrícula 4 - Énfasis 513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31">
    <w:name w:val="Tabla de lista 3 - Énfasis 523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31">
    <w:name w:val="Tabla con cuadrícula53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21">
    <w:name w:val="Tabla de lista 3 - Énfasis 53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21">
    <w:name w:val="Tabla con cuadrícula22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21">
    <w:name w:val="Tabla de lista 3 - Énfasis 51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21">
    <w:name w:val="Tabla con cuadrícula32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21">
    <w:name w:val="Tabla de cuadrícula 4 - Énfasis 5112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21">
    <w:name w:val="Tabla de lista 3 - Énfasis 5212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21">
    <w:name w:val="Tabla con cuadrícula512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1">
    <w:name w:val="Lista vistosa - Énfasis 121"/>
    <w:basedOn w:val="Tablanormal"/>
    <w:next w:val="Listavistosa-nfasis1"/>
    <w:uiPriority w:val="34"/>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delista3-nfasis51211">
    <w:name w:val="Tabla de lista 3 - Énfasis 51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621">
    <w:name w:val="Tabla con cuadrícula62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211">
    <w:name w:val="Tabla de cuadrícula 4 - Énfasis 512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211">
    <w:name w:val="Tabla de lista 3 - Énfasis 522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211">
    <w:name w:val="Tabla con cuadrícula52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39"/>
    <w:rsid w:val="004E5076"/>
    <w:rPr>
      <w:rFonts w:ascii="Times New Roman" w:eastAsia="Calibri"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111">
    <w:name w:val="Tabla de lista 3 - Énfasis 53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111">
    <w:name w:val="Tabla con cuadrícula21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111">
    <w:name w:val="Tabla de lista 3 - Énfasis 51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111">
    <w:name w:val="Tabla con cuadrícula3111"/>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39"/>
    <w:rsid w:val="004E5076"/>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111">
    <w:name w:val="Tabla de cuadrícula 4 - Énfasis 511111"/>
    <w:basedOn w:val="Tablanormal"/>
    <w:uiPriority w:val="49"/>
    <w:rsid w:val="004E5076"/>
    <w:rPr>
      <w:rFonts w:ascii="Calibri" w:eastAsia="Calibri" w:hAnsi="Calibri" w:cs="Times New Roman"/>
      <w:sz w:val="20"/>
      <w:szCs w:val="20"/>
      <w:lang w:val="es-ES_tradnl" w:eastAsia="es-ES_tradn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111">
    <w:name w:val="Tabla de lista 3 - Énfasis 521111"/>
    <w:basedOn w:val="Tablanormal"/>
    <w:uiPriority w:val="48"/>
    <w:rsid w:val="004E5076"/>
    <w:rPr>
      <w:rFonts w:ascii="Times New Roman" w:eastAsia="Times New Roman" w:hAnsi="Times New Roman" w:cs="Times New Roman"/>
      <w:sz w:val="20"/>
      <w:szCs w:val="20"/>
      <w:lang w:val="es-ES_tradnl"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111">
    <w:name w:val="Tabla con cuadrícula51111"/>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nfasis311">
    <w:name w:val="Cuadrícula clara - Énfasis 311"/>
    <w:basedOn w:val="Tablanormal"/>
    <w:next w:val="Cuadrculaclara-nfasis3"/>
    <w:uiPriority w:val="34"/>
    <w:unhideWhenUsed/>
    <w:rsid w:val="004E5076"/>
    <w:rPr>
      <w:rFonts w:ascii="Times New Roman" w:eastAsia="Times New Roman" w:hAnsi="Times New Roman" w:cs="Times New Roman"/>
      <w:sz w:val="20"/>
      <w:szCs w:val="20"/>
      <w:lang w:val="es-ES_tradnl" w:eastAsia="es-E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111">
    <w:name w:val="Tabla de cuadrícula 6 con colores111"/>
    <w:basedOn w:val="Tablanormal"/>
    <w:uiPriority w:val="51"/>
    <w:rsid w:val="004E5076"/>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dovistoso-nfasis311">
    <w:name w:val="Sombreado vistoso - Énfasis 311"/>
    <w:basedOn w:val="Tablanormal"/>
    <w:next w:val="Sombreadovistoso-nfasis3"/>
    <w:uiPriority w:val="34"/>
    <w:unhideWhenUsed/>
    <w:rsid w:val="004E5076"/>
    <w:rPr>
      <w:rFonts w:ascii="Times New Roman" w:eastAsia="Times New Roman" w:hAnsi="Times New Roman" w:cs="Times New Roman"/>
      <w:sz w:val="20"/>
      <w:szCs w:val="20"/>
      <w:lang w:val="es-ES_tradnl" w:eastAsia="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21">
    <w:name w:val="Cuadrícula media 1 - Énfasis 221"/>
    <w:basedOn w:val="Tablanormal"/>
    <w:next w:val="Cuadrculamedia1-nfasis2"/>
    <w:uiPriority w:val="34"/>
    <w:rsid w:val="004E5076"/>
    <w:rPr>
      <w:rFonts w:eastAsia="Calibri" w:cs="Times New Roman"/>
      <w:lang w:val="es-ES_tradn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5oscura111">
    <w:name w:val="Tabla de cuadrícula 5 oscura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adecuadrcula5oscura-nfasis1111">
    <w:name w:val="Tabla de cuadrícula 5 oscura - Énfasis 1111"/>
    <w:basedOn w:val="Tablanormal"/>
    <w:uiPriority w:val="50"/>
    <w:rsid w:val="004E5076"/>
    <w:rPr>
      <w:rFonts w:ascii="Times New Roman" w:eastAsia="Times New Roman" w:hAnsi="Times New Roman" w:cs="Times New Roman"/>
      <w:sz w:val="20"/>
      <w:szCs w:val="20"/>
      <w:lang w:val="es-ES_tradnl" w:eastAsia="es-ES_tradn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aconcuadrcula711">
    <w:name w:val="Tabla con cuadrícula711"/>
    <w:basedOn w:val="Tablanormal"/>
    <w:next w:val="Tablaconcuadrcula"/>
    <w:uiPriority w:val="59"/>
    <w:rsid w:val="004E5076"/>
    <w:rPr>
      <w:rFonts w:ascii="Calibri" w:eastAsia="Calibri" w:hAnsi="Calibri" w:cs="Times New Roman"/>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1">
    <w:name w:val="Table Normal311"/>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concuadrcula6111">
    <w:name w:val="Tabla con cuadrícula6111"/>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11">
    <w:name w:val="Table Normal2111"/>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Cuadrculamedia1-nfasis231">
    <w:name w:val="Cuadrícula media 1 - Énfasis 231"/>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5">
    <w:name w:val="Cuadrícula media 1 - Énfasis 25"/>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1">
    <w:name w:val="Cuadrícula media 1 - Énfasis 241"/>
    <w:basedOn w:val="Tablanormal"/>
    <w:next w:val="Cuadrculamedia1-nfasis2"/>
    <w:uiPriority w:val="34"/>
    <w:rsid w:val="004E5076"/>
    <w:rPr>
      <w:rFonts w:eastAsia="Calibri"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uadrculamedia1-nfasis2411">
    <w:name w:val="Cuadrícula media 1 - Énfasis 2411"/>
    <w:basedOn w:val="Tablanormal"/>
    <w:next w:val="Cuadrculamedia1-nfasis2"/>
    <w:uiPriority w:val="34"/>
    <w:rsid w:val="004E5076"/>
    <w:rPr>
      <w:rFonts w:eastAsia="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xl426">
    <w:name w:val="xl426"/>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7">
    <w:name w:val="xl427"/>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8">
    <w:name w:val="xl428"/>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29">
    <w:name w:val="xl429"/>
    <w:basedOn w:val="Normal"/>
    <w:rsid w:val="004E5076"/>
    <w:pPr>
      <w:widowControl/>
      <w:spacing w:before="100" w:beforeAutospacing="1" w:after="100" w:afterAutospacing="1"/>
      <w:textAlignment w:val="center"/>
    </w:pPr>
    <w:rPr>
      <w:rFonts w:eastAsia="Times New Roman"/>
      <w:sz w:val="24"/>
      <w:szCs w:val="24"/>
      <w:lang w:val="es-PE"/>
    </w:rPr>
  </w:style>
  <w:style w:type="paragraph" w:customStyle="1" w:styleId="xl430">
    <w:name w:val="xl430"/>
    <w:basedOn w:val="Normal"/>
    <w:rsid w:val="004E5076"/>
    <w:pPr>
      <w:widowControl/>
      <w:spacing w:before="100" w:beforeAutospacing="1" w:after="100" w:afterAutospacing="1"/>
      <w:jc w:val="right"/>
      <w:textAlignment w:val="center"/>
    </w:pPr>
    <w:rPr>
      <w:rFonts w:eastAsia="Times New Roman"/>
      <w:b/>
      <w:bCs/>
      <w:sz w:val="24"/>
      <w:szCs w:val="24"/>
      <w:lang w:val="es-PE"/>
    </w:rPr>
  </w:style>
  <w:style w:type="paragraph" w:customStyle="1" w:styleId="xl431">
    <w:name w:val="xl431"/>
    <w:basedOn w:val="Normal"/>
    <w:rsid w:val="004E5076"/>
    <w:pPr>
      <w:widowControl/>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32">
    <w:name w:val="xl432"/>
    <w:basedOn w:val="Normal"/>
    <w:rsid w:val="004E5076"/>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szCs w:val="24"/>
      <w:lang w:eastAsia="es-ES"/>
    </w:rPr>
  </w:style>
  <w:style w:type="paragraph" w:customStyle="1" w:styleId="xl433">
    <w:name w:val="xl433"/>
    <w:basedOn w:val="Normal"/>
    <w:rsid w:val="004E5076"/>
    <w:pPr>
      <w:widowControl/>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34">
    <w:name w:val="xl434"/>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35">
    <w:name w:val="xl435"/>
    <w:basedOn w:val="Normal"/>
    <w:rsid w:val="004E5076"/>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36">
    <w:name w:val="xl436"/>
    <w:basedOn w:val="Normal"/>
    <w:rsid w:val="004E5076"/>
    <w:pPr>
      <w:widowControl/>
      <w:pBdr>
        <w:top w:val="single" w:sz="4" w:space="0" w:color="auto"/>
        <w:left w:val="single" w:sz="4" w:space="0" w:color="auto"/>
        <w:right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37">
    <w:name w:val="xl437"/>
    <w:basedOn w:val="Normal"/>
    <w:rsid w:val="004E5076"/>
    <w:pPr>
      <w:widowControl/>
      <w:pBdr>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438">
    <w:name w:val="xl438"/>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439">
    <w:name w:val="xl439"/>
    <w:basedOn w:val="Normal"/>
    <w:rsid w:val="004E5076"/>
    <w:pPr>
      <w:widowControl/>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b/>
      <w:bCs/>
      <w:sz w:val="24"/>
      <w:szCs w:val="24"/>
      <w:lang w:eastAsia="es-ES"/>
    </w:rPr>
  </w:style>
  <w:style w:type="paragraph" w:customStyle="1" w:styleId="xl440">
    <w:name w:val="xl440"/>
    <w:basedOn w:val="Normal"/>
    <w:rsid w:val="004E5076"/>
    <w:pPr>
      <w:widowControl/>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41">
    <w:name w:val="xl441"/>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lang w:eastAsia="es-ES"/>
    </w:rPr>
  </w:style>
  <w:style w:type="paragraph" w:customStyle="1" w:styleId="xl442">
    <w:name w:val="xl442"/>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b/>
      <w:bCs/>
      <w:sz w:val="24"/>
      <w:szCs w:val="24"/>
      <w:lang w:eastAsia="es-ES"/>
    </w:rPr>
  </w:style>
  <w:style w:type="paragraph" w:customStyle="1" w:styleId="xl443">
    <w:name w:val="xl443"/>
    <w:basedOn w:val="Normal"/>
    <w:rsid w:val="004E5076"/>
    <w:pPr>
      <w:widowControl/>
      <w:pBdr>
        <w:top w:val="single" w:sz="4" w:space="0" w:color="auto"/>
        <w:left w:val="single" w:sz="8" w:space="0" w:color="auto"/>
        <w:bottom w:val="single" w:sz="4" w:space="0" w:color="auto"/>
        <w:right w:val="single" w:sz="4" w:space="0" w:color="auto"/>
      </w:pBdr>
      <w:shd w:val="clear" w:color="000000" w:fill="E7E6E6"/>
      <w:spacing w:before="100" w:beforeAutospacing="1" w:after="100" w:afterAutospacing="1"/>
      <w:textAlignment w:val="center"/>
    </w:pPr>
    <w:rPr>
      <w:rFonts w:eastAsia="Times New Roman"/>
      <w:b/>
      <w:bCs/>
      <w:sz w:val="24"/>
      <w:szCs w:val="24"/>
      <w:u w:val="single"/>
      <w:lang w:eastAsia="es-ES"/>
    </w:rPr>
  </w:style>
  <w:style w:type="paragraph" w:customStyle="1" w:styleId="xl444">
    <w:name w:val="xl444"/>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eastAsia="Times New Roman"/>
      <w:sz w:val="24"/>
      <w:szCs w:val="24"/>
      <w:lang w:eastAsia="es-ES"/>
    </w:rPr>
  </w:style>
  <w:style w:type="paragraph" w:customStyle="1" w:styleId="xl445">
    <w:name w:val="xl445"/>
    <w:basedOn w:val="Normal"/>
    <w:rsid w:val="004E5076"/>
    <w:pPr>
      <w:widowControl/>
      <w:pBdr>
        <w:top w:val="single" w:sz="4" w:space="0" w:color="auto"/>
        <w:left w:val="single" w:sz="4" w:space="0" w:color="auto"/>
        <w:bottom w:val="single" w:sz="4" w:space="0" w:color="auto"/>
        <w:right w:val="single" w:sz="8"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446">
    <w:name w:val="xl446"/>
    <w:basedOn w:val="Normal"/>
    <w:rsid w:val="004E5076"/>
    <w:pPr>
      <w:widowControl/>
      <w:pBdr>
        <w:top w:val="single" w:sz="4" w:space="0" w:color="auto"/>
        <w:left w:val="single" w:sz="8"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b/>
      <w:bCs/>
      <w:sz w:val="24"/>
      <w:szCs w:val="24"/>
      <w:lang w:eastAsia="es-ES"/>
    </w:rPr>
  </w:style>
  <w:style w:type="paragraph" w:customStyle="1" w:styleId="xl447">
    <w:name w:val="xl447"/>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b/>
      <w:bCs/>
      <w:sz w:val="24"/>
      <w:szCs w:val="24"/>
      <w:lang w:eastAsia="es-ES"/>
    </w:rPr>
  </w:style>
  <w:style w:type="paragraph" w:customStyle="1" w:styleId="xl448">
    <w:name w:val="xl448"/>
    <w:basedOn w:val="Normal"/>
    <w:rsid w:val="004E5076"/>
    <w:pPr>
      <w:widowControl/>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49">
    <w:name w:val="xl449"/>
    <w:basedOn w:val="Normal"/>
    <w:rsid w:val="004E5076"/>
    <w:pPr>
      <w:widowControl/>
      <w:pBdr>
        <w:top w:val="single" w:sz="4" w:space="0" w:color="auto"/>
        <w:left w:val="single" w:sz="4" w:space="0" w:color="auto"/>
        <w:bottom w:val="single" w:sz="4"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50">
    <w:name w:val="xl450"/>
    <w:basedOn w:val="Normal"/>
    <w:rsid w:val="004E5076"/>
    <w:pPr>
      <w:widowControl/>
      <w:pBdr>
        <w:top w:val="single" w:sz="8" w:space="0" w:color="auto"/>
        <w:left w:val="single" w:sz="4" w:space="0" w:color="auto"/>
        <w:bottom w:val="single" w:sz="8" w:space="0" w:color="auto"/>
        <w:right w:val="single" w:sz="8" w:space="0" w:color="auto"/>
      </w:pBdr>
      <w:shd w:val="clear" w:color="000000" w:fill="EEEEEE"/>
      <w:spacing w:before="100" w:beforeAutospacing="1" w:after="100" w:afterAutospacing="1"/>
      <w:jc w:val="right"/>
      <w:textAlignment w:val="center"/>
    </w:pPr>
    <w:rPr>
      <w:rFonts w:eastAsia="Times New Roman"/>
      <w:sz w:val="24"/>
      <w:szCs w:val="24"/>
      <w:lang w:eastAsia="es-ES"/>
    </w:rPr>
  </w:style>
  <w:style w:type="paragraph" w:customStyle="1" w:styleId="xl451">
    <w:name w:val="xl451"/>
    <w:basedOn w:val="Normal"/>
    <w:rsid w:val="004E5076"/>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52">
    <w:name w:val="xl452"/>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53">
    <w:name w:val="xl453"/>
    <w:basedOn w:val="Normal"/>
    <w:rsid w:val="004E5076"/>
    <w:pPr>
      <w:widowControl/>
      <w:pBdr>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54">
    <w:name w:val="xl454"/>
    <w:basedOn w:val="Normal"/>
    <w:rsid w:val="004E5076"/>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eastAsia="Times New Roman"/>
      <w:sz w:val="24"/>
      <w:szCs w:val="24"/>
      <w:lang w:eastAsia="es-ES"/>
    </w:rPr>
  </w:style>
  <w:style w:type="paragraph" w:customStyle="1" w:styleId="xl455">
    <w:name w:val="xl455"/>
    <w:basedOn w:val="Normal"/>
    <w:rsid w:val="004E5076"/>
    <w:pPr>
      <w:widowControl/>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56">
    <w:name w:val="xl456"/>
    <w:basedOn w:val="Normal"/>
    <w:rsid w:val="004E5076"/>
    <w:pPr>
      <w:widowControl/>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eastAsia="Times New Roman"/>
      <w:sz w:val="24"/>
      <w:szCs w:val="24"/>
      <w:lang w:eastAsia="es-ES"/>
    </w:rPr>
  </w:style>
  <w:style w:type="paragraph" w:customStyle="1" w:styleId="xl457">
    <w:name w:val="xl457"/>
    <w:basedOn w:val="Normal"/>
    <w:rsid w:val="004E5076"/>
    <w:pPr>
      <w:widowControl/>
      <w:pBdr>
        <w:top w:val="single" w:sz="4" w:space="0" w:color="auto"/>
        <w:left w:val="single" w:sz="4" w:space="0" w:color="auto"/>
        <w:bottom w:val="single" w:sz="4" w:space="0" w:color="auto"/>
        <w:right w:val="single" w:sz="4" w:space="0" w:color="auto"/>
      </w:pBdr>
      <w:shd w:val="clear" w:color="000000" w:fill="EEEEEE"/>
      <w:spacing w:before="100" w:beforeAutospacing="1" w:after="100" w:afterAutospacing="1"/>
    </w:pPr>
    <w:rPr>
      <w:rFonts w:eastAsia="Times New Roman"/>
      <w:sz w:val="24"/>
      <w:szCs w:val="24"/>
      <w:lang w:eastAsia="es-ES"/>
    </w:rPr>
  </w:style>
  <w:style w:type="paragraph" w:customStyle="1" w:styleId="xl458">
    <w:name w:val="xl458"/>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59">
    <w:name w:val="xl459"/>
    <w:basedOn w:val="Normal"/>
    <w:rsid w:val="004E5076"/>
    <w:pPr>
      <w:widowControl/>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4"/>
      <w:szCs w:val="24"/>
      <w:lang w:eastAsia="es-ES"/>
    </w:rPr>
  </w:style>
  <w:style w:type="paragraph" w:customStyle="1" w:styleId="xl460">
    <w:name w:val="xl460"/>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1">
    <w:name w:val="xl461"/>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2">
    <w:name w:val="xl462"/>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es-ES"/>
    </w:rPr>
  </w:style>
  <w:style w:type="paragraph" w:customStyle="1" w:styleId="xl463">
    <w:name w:val="xl463"/>
    <w:basedOn w:val="Normal"/>
    <w:rsid w:val="004E507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lang w:eastAsia="es-ES"/>
    </w:rPr>
  </w:style>
  <w:style w:type="paragraph" w:customStyle="1" w:styleId="xl464">
    <w:name w:val="xl464"/>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65">
    <w:name w:val="xl465"/>
    <w:basedOn w:val="Normal"/>
    <w:rsid w:val="004E5076"/>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66">
    <w:name w:val="xl466"/>
    <w:basedOn w:val="Normal"/>
    <w:rsid w:val="004E5076"/>
    <w:pPr>
      <w:widowControl/>
      <w:pBdr>
        <w:top w:val="single" w:sz="4" w:space="0" w:color="auto"/>
        <w:left w:val="single" w:sz="4" w:space="0" w:color="auto"/>
        <w:bottom w:val="single" w:sz="4" w:space="0" w:color="auto"/>
      </w:pBdr>
      <w:spacing w:before="100" w:beforeAutospacing="1" w:after="100" w:afterAutospacing="1"/>
      <w:jc w:val="right"/>
      <w:textAlignment w:val="top"/>
    </w:pPr>
    <w:rPr>
      <w:rFonts w:eastAsia="Times New Roman"/>
      <w:sz w:val="24"/>
      <w:szCs w:val="24"/>
      <w:lang w:eastAsia="es-ES"/>
    </w:rPr>
  </w:style>
  <w:style w:type="paragraph" w:customStyle="1" w:styleId="xl467">
    <w:name w:val="xl467"/>
    <w:basedOn w:val="Normal"/>
    <w:rsid w:val="004E5076"/>
    <w:pPr>
      <w:widowControl/>
      <w:pBdr>
        <w:left w:val="single" w:sz="4" w:space="0" w:color="auto"/>
        <w:bottom w:val="single" w:sz="8" w:space="0" w:color="auto"/>
      </w:pBdr>
      <w:spacing w:before="100" w:beforeAutospacing="1" w:after="100" w:afterAutospacing="1"/>
      <w:jc w:val="right"/>
    </w:pPr>
    <w:rPr>
      <w:rFonts w:eastAsia="Times New Roman"/>
      <w:sz w:val="24"/>
      <w:szCs w:val="24"/>
      <w:lang w:eastAsia="es-ES"/>
    </w:rPr>
  </w:style>
  <w:style w:type="paragraph" w:customStyle="1" w:styleId="xl468">
    <w:name w:val="xl468"/>
    <w:basedOn w:val="Normal"/>
    <w:rsid w:val="004E5076"/>
    <w:pPr>
      <w:widowControl/>
      <w:pBdr>
        <w:left w:val="single" w:sz="4" w:space="0" w:color="auto"/>
        <w:bottom w:val="single" w:sz="8" w:space="0" w:color="auto"/>
      </w:pBdr>
      <w:spacing w:before="100" w:beforeAutospacing="1" w:after="100" w:afterAutospacing="1"/>
      <w:jc w:val="right"/>
    </w:pPr>
    <w:rPr>
      <w:rFonts w:eastAsia="Times New Roman"/>
      <w:sz w:val="24"/>
      <w:szCs w:val="24"/>
      <w:lang w:eastAsia="es-ES"/>
    </w:rPr>
  </w:style>
  <w:style w:type="paragraph" w:customStyle="1" w:styleId="xl469">
    <w:name w:val="xl469"/>
    <w:basedOn w:val="Normal"/>
    <w:rsid w:val="004E5076"/>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eastAsia="Times New Roman"/>
      <w:sz w:val="24"/>
      <w:szCs w:val="24"/>
      <w:lang w:eastAsia="es-ES"/>
    </w:rPr>
  </w:style>
  <w:style w:type="paragraph" w:customStyle="1" w:styleId="xl470">
    <w:name w:val="xl470"/>
    <w:basedOn w:val="Normal"/>
    <w:rsid w:val="004E5076"/>
    <w:pPr>
      <w:widowControl/>
      <w:pBdr>
        <w:top w:val="single" w:sz="4" w:space="0" w:color="auto"/>
        <w:left w:val="single" w:sz="4" w:space="0" w:color="auto"/>
        <w:bottom w:val="single" w:sz="8" w:space="0" w:color="auto"/>
      </w:pBdr>
      <w:spacing w:before="100" w:beforeAutospacing="1" w:after="100" w:afterAutospacing="1"/>
      <w:jc w:val="right"/>
      <w:textAlignment w:val="center"/>
    </w:pPr>
    <w:rPr>
      <w:rFonts w:eastAsia="Times New Roman"/>
      <w:sz w:val="24"/>
      <w:szCs w:val="24"/>
      <w:lang w:eastAsia="es-ES"/>
    </w:rPr>
  </w:style>
  <w:style w:type="paragraph" w:customStyle="1" w:styleId="xl471">
    <w:name w:val="xl471"/>
    <w:basedOn w:val="Normal"/>
    <w:rsid w:val="004E5076"/>
    <w:pPr>
      <w:widowControl/>
      <w:pBdr>
        <w:top w:val="single" w:sz="4" w:space="0" w:color="auto"/>
        <w:left w:val="single" w:sz="4" w:space="0" w:color="auto"/>
        <w:bottom w:val="single" w:sz="4" w:space="0" w:color="auto"/>
        <w:right w:val="single" w:sz="4" w:space="0" w:color="auto"/>
      </w:pBdr>
      <w:shd w:val="clear" w:color="000000" w:fill="EEEEEE"/>
      <w:spacing w:before="100" w:beforeAutospacing="1" w:after="100" w:afterAutospacing="1"/>
    </w:pPr>
    <w:rPr>
      <w:rFonts w:eastAsia="Times New Roman"/>
      <w:sz w:val="24"/>
      <w:szCs w:val="24"/>
      <w:lang w:eastAsia="es-ES"/>
    </w:rPr>
  </w:style>
  <w:style w:type="paragraph" w:customStyle="1" w:styleId="xl472">
    <w:name w:val="xl472"/>
    <w:basedOn w:val="Normal"/>
    <w:rsid w:val="004E5076"/>
    <w:pPr>
      <w:widowControl/>
      <w:pBdr>
        <w:top w:val="single" w:sz="8" w:space="0" w:color="auto"/>
        <w:left w:val="single" w:sz="8" w:space="0" w:color="auto"/>
        <w:right w:val="single" w:sz="4" w:space="0" w:color="auto"/>
      </w:pBdr>
      <w:shd w:val="clear" w:color="000000" w:fill="E7E6E6"/>
      <w:spacing w:before="100" w:beforeAutospacing="1" w:after="100" w:afterAutospacing="1"/>
    </w:pPr>
    <w:rPr>
      <w:rFonts w:eastAsia="Times New Roman"/>
      <w:b/>
      <w:bCs/>
      <w:sz w:val="24"/>
      <w:szCs w:val="24"/>
      <w:lang w:eastAsia="es-ES"/>
    </w:rPr>
  </w:style>
  <w:style w:type="paragraph" w:customStyle="1" w:styleId="xl473">
    <w:name w:val="xl473"/>
    <w:basedOn w:val="Normal"/>
    <w:rsid w:val="004E5076"/>
    <w:pPr>
      <w:widowControl/>
      <w:pBdr>
        <w:top w:val="single" w:sz="8" w:space="0" w:color="auto"/>
        <w:left w:val="single" w:sz="4" w:space="0" w:color="auto"/>
        <w:right w:val="single" w:sz="4" w:space="0" w:color="auto"/>
      </w:pBdr>
      <w:shd w:val="clear" w:color="000000" w:fill="E7E6E6"/>
      <w:spacing w:before="100" w:beforeAutospacing="1" w:after="100" w:afterAutospacing="1"/>
      <w:jc w:val="center"/>
    </w:pPr>
    <w:rPr>
      <w:rFonts w:eastAsia="Times New Roman"/>
      <w:sz w:val="24"/>
      <w:szCs w:val="24"/>
      <w:lang w:eastAsia="es-ES"/>
    </w:rPr>
  </w:style>
  <w:style w:type="paragraph" w:customStyle="1" w:styleId="xl474">
    <w:name w:val="xl474"/>
    <w:basedOn w:val="Normal"/>
    <w:rsid w:val="004E5076"/>
    <w:pPr>
      <w:widowControl/>
      <w:pBdr>
        <w:top w:val="single" w:sz="8" w:space="0" w:color="auto"/>
        <w:left w:val="single" w:sz="4" w:space="0" w:color="auto"/>
        <w:right w:val="single" w:sz="4" w:space="0" w:color="auto"/>
      </w:pBdr>
      <w:shd w:val="clear" w:color="000000" w:fill="E7E6E6"/>
      <w:spacing w:before="100" w:beforeAutospacing="1" w:after="100" w:afterAutospacing="1"/>
      <w:jc w:val="right"/>
    </w:pPr>
    <w:rPr>
      <w:rFonts w:eastAsia="Times New Roman"/>
      <w:sz w:val="24"/>
      <w:szCs w:val="24"/>
      <w:lang w:eastAsia="es-ES"/>
    </w:rPr>
  </w:style>
  <w:style w:type="paragraph" w:customStyle="1" w:styleId="xl475">
    <w:name w:val="xl475"/>
    <w:basedOn w:val="Normal"/>
    <w:rsid w:val="004E5076"/>
    <w:pPr>
      <w:widowControl/>
      <w:pBdr>
        <w:top w:val="single" w:sz="8" w:space="0" w:color="auto"/>
        <w:left w:val="single" w:sz="4" w:space="0" w:color="auto"/>
      </w:pBdr>
      <w:shd w:val="clear" w:color="000000" w:fill="E7E6E6"/>
      <w:spacing w:before="100" w:beforeAutospacing="1" w:after="100" w:afterAutospacing="1"/>
      <w:jc w:val="right"/>
    </w:pPr>
    <w:rPr>
      <w:rFonts w:eastAsia="Times New Roman"/>
      <w:sz w:val="24"/>
      <w:szCs w:val="24"/>
      <w:lang w:eastAsia="es-ES"/>
    </w:rPr>
  </w:style>
  <w:style w:type="paragraph" w:customStyle="1" w:styleId="xl476">
    <w:name w:val="xl476"/>
    <w:basedOn w:val="Normal"/>
    <w:rsid w:val="004E5076"/>
    <w:pPr>
      <w:widowControl/>
      <w:pBdr>
        <w:top w:val="single" w:sz="8" w:space="0" w:color="auto"/>
        <w:left w:val="single" w:sz="4" w:space="0" w:color="auto"/>
        <w:right w:val="single" w:sz="8" w:space="0" w:color="auto"/>
      </w:pBdr>
      <w:shd w:val="clear" w:color="000000" w:fill="E7E6E6"/>
      <w:spacing w:before="100" w:beforeAutospacing="1" w:after="100" w:afterAutospacing="1"/>
      <w:jc w:val="right"/>
      <w:textAlignment w:val="center"/>
    </w:pPr>
    <w:rPr>
      <w:rFonts w:eastAsia="Times New Roman"/>
      <w:sz w:val="24"/>
      <w:szCs w:val="24"/>
      <w:lang w:eastAsia="es-ES"/>
    </w:rPr>
  </w:style>
  <w:style w:type="paragraph" w:customStyle="1" w:styleId="xl477">
    <w:name w:val="xl477"/>
    <w:basedOn w:val="Normal"/>
    <w:rsid w:val="004E5076"/>
    <w:pPr>
      <w:widowControl/>
      <w:pBdr>
        <w:top w:val="single" w:sz="8" w:space="0" w:color="auto"/>
        <w:left w:val="single" w:sz="8" w:space="0" w:color="auto"/>
        <w:bottom w:val="single" w:sz="4" w:space="0" w:color="auto"/>
        <w:right w:val="single" w:sz="4" w:space="0" w:color="auto"/>
      </w:pBdr>
      <w:spacing w:before="100" w:beforeAutospacing="1" w:after="100" w:afterAutospacing="1"/>
    </w:pPr>
    <w:rPr>
      <w:rFonts w:eastAsia="Times New Roman"/>
      <w:sz w:val="24"/>
      <w:szCs w:val="24"/>
      <w:lang w:eastAsia="es-ES"/>
    </w:rPr>
  </w:style>
  <w:style w:type="paragraph" w:customStyle="1" w:styleId="xl478">
    <w:name w:val="xl478"/>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es-ES"/>
    </w:rPr>
  </w:style>
  <w:style w:type="paragraph" w:customStyle="1" w:styleId="xl479">
    <w:name w:val="xl479"/>
    <w:basedOn w:val="Normal"/>
    <w:rsid w:val="004E5076"/>
    <w:pPr>
      <w:widowControl/>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4"/>
      <w:szCs w:val="24"/>
      <w:lang w:eastAsia="es-ES"/>
    </w:rPr>
  </w:style>
  <w:style w:type="paragraph" w:customStyle="1" w:styleId="xl480">
    <w:name w:val="xl480"/>
    <w:basedOn w:val="Normal"/>
    <w:rsid w:val="004E5076"/>
    <w:pPr>
      <w:widowControl/>
      <w:pBdr>
        <w:top w:val="single" w:sz="8" w:space="0" w:color="auto"/>
        <w:left w:val="single" w:sz="4" w:space="0" w:color="auto"/>
        <w:bottom w:val="single" w:sz="4" w:space="0" w:color="auto"/>
      </w:pBdr>
      <w:spacing w:before="100" w:beforeAutospacing="1" w:after="100" w:afterAutospacing="1"/>
      <w:textAlignment w:val="top"/>
    </w:pPr>
    <w:rPr>
      <w:rFonts w:eastAsia="Times New Roman"/>
      <w:sz w:val="24"/>
      <w:szCs w:val="24"/>
      <w:lang w:eastAsia="es-ES"/>
    </w:rPr>
  </w:style>
  <w:style w:type="paragraph" w:customStyle="1" w:styleId="xl481">
    <w:name w:val="xl481"/>
    <w:basedOn w:val="Normal"/>
    <w:rsid w:val="004E5076"/>
    <w:pPr>
      <w:widowControl/>
      <w:pBdr>
        <w:top w:val="single" w:sz="4" w:space="0" w:color="auto"/>
        <w:left w:val="single" w:sz="4" w:space="0" w:color="auto"/>
        <w:bottom w:val="single" w:sz="4" w:space="0" w:color="auto"/>
        <w:right w:val="single" w:sz="8" w:space="0" w:color="auto"/>
      </w:pBdr>
      <w:shd w:val="clear" w:color="000000" w:fill="92D050"/>
      <w:spacing w:before="100" w:beforeAutospacing="1" w:after="100" w:afterAutospacing="1"/>
      <w:jc w:val="right"/>
      <w:textAlignment w:val="center"/>
    </w:pPr>
    <w:rPr>
      <w:rFonts w:eastAsia="Times New Roman"/>
      <w:sz w:val="24"/>
      <w:szCs w:val="24"/>
      <w:lang w:eastAsia="es-ES"/>
    </w:rPr>
  </w:style>
  <w:style w:type="paragraph" w:customStyle="1" w:styleId="xl482">
    <w:name w:val="xl482"/>
    <w:basedOn w:val="Normal"/>
    <w:rsid w:val="004E5076"/>
    <w:pPr>
      <w:widowControl/>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right"/>
      <w:textAlignment w:val="center"/>
    </w:pPr>
    <w:rPr>
      <w:rFonts w:eastAsia="Times New Roman"/>
      <w:sz w:val="24"/>
      <w:szCs w:val="24"/>
      <w:lang w:eastAsia="es-ES"/>
    </w:rPr>
  </w:style>
  <w:style w:type="paragraph" w:customStyle="1" w:styleId="xl483">
    <w:name w:val="xl483"/>
    <w:basedOn w:val="Normal"/>
    <w:rsid w:val="004E5076"/>
    <w:pPr>
      <w:widowControl/>
      <w:pBdr>
        <w:top w:val="single" w:sz="8" w:space="0" w:color="auto"/>
        <w:left w:val="single" w:sz="8" w:space="0" w:color="auto"/>
        <w:bottom w:val="single" w:sz="8" w:space="0" w:color="auto"/>
      </w:pBdr>
      <w:spacing w:before="100" w:beforeAutospacing="1" w:after="100" w:afterAutospacing="1"/>
      <w:textAlignment w:val="center"/>
    </w:pPr>
    <w:rPr>
      <w:rFonts w:eastAsia="Times New Roman"/>
      <w:b/>
      <w:bCs/>
      <w:sz w:val="24"/>
      <w:szCs w:val="24"/>
      <w:lang w:eastAsia="es-ES"/>
    </w:rPr>
  </w:style>
  <w:style w:type="paragraph" w:customStyle="1" w:styleId="xl484">
    <w:name w:val="xl484"/>
    <w:basedOn w:val="Normal"/>
    <w:rsid w:val="004E5076"/>
    <w:pPr>
      <w:widowControl/>
      <w:pBdr>
        <w:top w:val="single" w:sz="8" w:space="0" w:color="auto"/>
        <w:bottom w:val="single" w:sz="8" w:space="0" w:color="auto"/>
      </w:pBdr>
      <w:spacing w:before="100" w:beforeAutospacing="1" w:after="100" w:afterAutospacing="1"/>
      <w:textAlignment w:val="center"/>
    </w:pPr>
    <w:rPr>
      <w:rFonts w:eastAsia="Times New Roman"/>
      <w:b/>
      <w:bCs/>
      <w:sz w:val="24"/>
      <w:szCs w:val="24"/>
      <w:lang w:eastAsia="es-ES"/>
    </w:rPr>
  </w:style>
  <w:style w:type="paragraph" w:customStyle="1" w:styleId="xl485">
    <w:name w:val="xl485"/>
    <w:basedOn w:val="Normal"/>
    <w:rsid w:val="004E5076"/>
    <w:pPr>
      <w:widowControl/>
      <w:pBdr>
        <w:top w:val="single" w:sz="8" w:space="0" w:color="auto"/>
        <w:bottom w:val="single" w:sz="8" w:space="0" w:color="auto"/>
        <w:right w:val="single" w:sz="8" w:space="0" w:color="auto"/>
      </w:pBdr>
      <w:spacing w:before="100" w:beforeAutospacing="1" w:after="100" w:afterAutospacing="1"/>
      <w:textAlignment w:val="center"/>
    </w:pPr>
    <w:rPr>
      <w:rFonts w:eastAsia="Times New Roman"/>
      <w:b/>
      <w:bCs/>
      <w:sz w:val="24"/>
      <w:szCs w:val="24"/>
      <w:lang w:eastAsia="es-ES"/>
    </w:rPr>
  </w:style>
  <w:style w:type="table" w:customStyle="1" w:styleId="NormalTable00">
    <w:name w:val="Normal Table00"/>
    <w:uiPriority w:val="99"/>
    <w:unhideWhenUsed/>
    <w:rsid w:val="004E5076"/>
    <w:pPr>
      <w:spacing w:after="200" w:line="276" w:lineRule="auto"/>
    </w:pPr>
    <w:rPr>
      <w:rFonts w:ascii="Calibri" w:eastAsia="Calibri" w:hAnsi="Calibri" w:cs="Calibri"/>
      <w:lang w:eastAsia="ja-JP"/>
    </w:rPr>
    <w:tblPr>
      <w:tblInd w:w="0" w:type="dxa"/>
      <w:tblCellMar>
        <w:top w:w="0" w:type="dxa"/>
        <w:left w:w="108" w:type="dxa"/>
        <w:bottom w:w="0" w:type="dxa"/>
        <w:right w:w="108" w:type="dxa"/>
      </w:tblCellMar>
    </w:tblPr>
  </w:style>
  <w:style w:type="numbering" w:customStyle="1" w:styleId="Listaactual1">
    <w:name w:val="Lista actual1"/>
    <w:rsid w:val="004E5076"/>
  </w:style>
  <w:style w:type="paragraph" w:customStyle="1" w:styleId="Epgrafe1">
    <w:name w:val="Epígrafe1"/>
    <w:aliases w:val="Didascalia Carattere,Didascalia Carattere Carattere,Didascalia Carattere Carattere Carattere,Didascalia Carattere Carattere Carattere Carattere Carattere Carattere,Didascalia1,Map,Map Carattere,Map Carattere Carattere Carattere1,caption,Anexo"/>
    <w:basedOn w:val="Normal0"/>
    <w:next w:val="Normal0"/>
    <w:link w:val="DescripcinCar"/>
    <w:uiPriority w:val="35"/>
    <w:unhideWhenUsed/>
    <w:qFormat/>
    <w:rsid w:val="004E5076"/>
    <w:pPr>
      <w:autoSpaceDE/>
      <w:autoSpaceDN/>
      <w:adjustRightInd/>
      <w:spacing w:after="0" w:line="240" w:lineRule="auto"/>
    </w:pPr>
    <w:rPr>
      <w:rFonts w:ascii="Times New Roman" w:eastAsiaTheme="minorHAnsi" w:hAnsi="Times New Roman" w:cstheme="minorBidi"/>
      <w:b/>
      <w:caps/>
      <w:kern w:val="2"/>
      <w:sz w:val="18"/>
      <w:lang w:val="x-none" w:eastAsia="en-US"/>
    </w:rPr>
  </w:style>
  <w:style w:type="paragraph" w:customStyle="1" w:styleId="ListNumber10">
    <w:name w:val="List Number 1"/>
    <w:basedOn w:val="Default"/>
    <w:next w:val="Default"/>
    <w:uiPriority w:val="99"/>
    <w:rsid w:val="004E5076"/>
    <w:pPr>
      <w:spacing w:after="240" w:line="276" w:lineRule="auto"/>
    </w:pPr>
    <w:rPr>
      <w:rFonts w:ascii="FAALAJ+TimesNewRoman" w:eastAsia="Times New Roman" w:hAnsi="FAALAJ+TimesNewRoman" w:cs="Times New Roman"/>
      <w:color w:val="auto"/>
      <w:lang w:val="es-ES" w:eastAsia="es-ES"/>
    </w:rPr>
  </w:style>
  <w:style w:type="numbering" w:customStyle="1" w:styleId="Estilo6">
    <w:name w:val="Estilo6"/>
    <w:uiPriority w:val="99"/>
    <w:rsid w:val="004E5076"/>
  </w:style>
  <w:style w:type="table" w:customStyle="1" w:styleId="Tablageocontrol">
    <w:name w:val="Tabla geocontrol"/>
    <w:rsid w:val="004E5076"/>
    <w:pPr>
      <w:spacing w:before="60" w:after="60" w:line="276" w:lineRule="auto"/>
      <w:jc w:val="center"/>
    </w:pPr>
    <w:rPr>
      <w:rFonts w:eastAsia="Times New Roman" w:cs="Calibri"/>
      <w:lang w:eastAsia="es-ES"/>
    </w:rPr>
    <w:tblPr>
      <w:jc w:val="center"/>
      <w:tblInd w:w="0"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CellMar>
        <w:top w:w="0" w:type="dxa"/>
        <w:left w:w="108" w:type="dxa"/>
        <w:bottom w:w="0" w:type="dxa"/>
        <w:right w:w="108" w:type="dxa"/>
      </w:tblCellMar>
    </w:tblPr>
    <w:trPr>
      <w:jc w:val="center"/>
    </w:trPr>
  </w:style>
  <w:style w:type="table" w:customStyle="1" w:styleId="Tablasinborde">
    <w:name w:val="Tabla sin borde"/>
    <w:rsid w:val="004E5076"/>
    <w:pPr>
      <w:spacing w:before="60" w:after="60" w:line="276" w:lineRule="auto"/>
      <w:jc w:val="center"/>
    </w:pPr>
    <w:rPr>
      <w:rFonts w:eastAsia="Times New Roman" w:cs="Calibri"/>
      <w:lang w:eastAsia="es-ES"/>
    </w:rPr>
    <w:tblPr>
      <w:jc w:val="center"/>
      <w:tblInd w:w="0" w:type="dxa"/>
      <w:tblCellMar>
        <w:top w:w="0" w:type="dxa"/>
        <w:left w:w="108" w:type="dxa"/>
        <w:bottom w:w="0" w:type="dxa"/>
        <w:right w:w="108" w:type="dxa"/>
      </w:tblCellMar>
    </w:tblPr>
    <w:trPr>
      <w:jc w:val="center"/>
    </w:trPr>
  </w:style>
  <w:style w:type="table" w:customStyle="1" w:styleId="Tablaweb11">
    <w:name w:val="Tabla web 11"/>
    <w:basedOn w:val="NormalTable00"/>
    <w:next w:val="Tablaweb1"/>
    <w:uiPriority w:val="99"/>
    <w:semiHidden/>
    <w:unhideWhenUsed/>
    <w:rsid w:val="004E5076"/>
    <w:rPr>
      <w:lang w:val="es-MX"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geocontrol1">
    <w:name w:val="Tabla geocontrol1"/>
    <w:basedOn w:val="NormalTable00"/>
    <w:rsid w:val="004E5076"/>
    <w:pPr>
      <w:spacing w:before="60" w:after="60"/>
      <w:jc w:val="center"/>
    </w:pPr>
    <w:rPr>
      <w:rFonts w:ascii="Arial" w:eastAsia="Times New Roman" w:hAnsi="Arial"/>
      <w:lang w:eastAsia="es-ES"/>
    </w:rPr>
    <w:tblPr>
      <w:jc w:val="center"/>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Pr>
    <w:trPr>
      <w:jc w:val="center"/>
    </w:trPr>
    <w:tcPr>
      <w:vAlign w:val="center"/>
    </w:tcPr>
    <w:tblStylePr w:type="firstRow">
      <w:rPr>
        <w:b/>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tcPr>
    </w:tblStylePr>
  </w:style>
  <w:style w:type="table" w:customStyle="1" w:styleId="Tablasinborde1">
    <w:name w:val="Tabla sin borde1"/>
    <w:basedOn w:val="NormalTable00"/>
    <w:rsid w:val="004E5076"/>
    <w:pPr>
      <w:spacing w:before="60" w:after="60"/>
      <w:jc w:val="center"/>
    </w:pPr>
    <w:rPr>
      <w:rFonts w:ascii="Arial" w:eastAsia="Times New Roman" w:hAnsi="Arial"/>
      <w:lang w:eastAsia="es-ES"/>
    </w:rPr>
    <w:tblPr>
      <w:jc w:val="center"/>
    </w:tblPr>
    <w:trPr>
      <w:jc w:val="center"/>
    </w:trPr>
    <w:tcPr>
      <w:vAlign w:val="center"/>
    </w:tcPr>
  </w:style>
  <w:style w:type="paragraph" w:styleId="Fecha">
    <w:name w:val="Date"/>
    <w:basedOn w:val="Normal0"/>
    <w:next w:val="Normal0"/>
    <w:link w:val="FechaCar"/>
    <w:unhideWhenUsed/>
    <w:rsid w:val="004E5076"/>
    <w:pPr>
      <w:autoSpaceDE/>
      <w:autoSpaceDN/>
      <w:adjustRightInd/>
    </w:pPr>
    <w:rPr>
      <w:rFonts w:eastAsia="Calibri"/>
    </w:rPr>
  </w:style>
  <w:style w:type="character" w:customStyle="1" w:styleId="FechaCar">
    <w:name w:val="Fecha Car"/>
    <w:basedOn w:val="Fuentedeprrafopredeter"/>
    <w:link w:val="Fecha"/>
    <w:rsid w:val="004E5076"/>
    <w:rPr>
      <w:rFonts w:ascii="Calibri" w:eastAsia="Calibri" w:hAnsi="Calibri" w:cs="Calibri"/>
      <w:kern w:val="0"/>
      <w:lang w:eastAsia="es-PE"/>
    </w:rPr>
  </w:style>
  <w:style w:type="table" w:customStyle="1" w:styleId="none1">
    <w:name w:val="none1"/>
    <w:basedOn w:val="NormalTable00"/>
    <w:next w:val="Tablaconcuadrcula"/>
    <w:uiPriority w:val="59"/>
    <w:rsid w:val="004E5076"/>
    <w:pPr>
      <w:spacing w:after="160" w:line="259" w:lineRule="auto"/>
    </w:pPr>
    <w:rPr>
      <w:rFonts w:ascii="Times New Roman" w:eastAsia="Times New Roman" w:hAnsi="Times New Roman" w:cs="Arial"/>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Ecology">
    <w:name w:val="Tabela Ecology"/>
    <w:basedOn w:val="Tablanormal"/>
    <w:rsid w:val="004E5076"/>
    <w:pPr>
      <w:spacing w:before="40" w:after="40"/>
      <w:jc w:val="center"/>
    </w:pPr>
    <w:rPr>
      <w:rFonts w:ascii="Trebuchet MS" w:eastAsia="Times New Roman" w:hAnsi="Trebuchet MS" w:cs="Times New Roman"/>
      <w:sz w:val="16"/>
      <w:szCs w:val="20"/>
      <w:lang w:val="pt-BR" w:eastAsia="pt-BR"/>
    </w:rPr>
    <w:tblPr>
      <w:tblStyleRowBandSize w:val="1"/>
      <w:tblBorders>
        <w:top w:val="single" w:sz="8" w:space="0" w:color="auto"/>
        <w:left w:val="single" w:sz="8" w:space="0" w:color="auto"/>
        <w:bottom w:val="single" w:sz="8" w:space="0" w:color="auto"/>
        <w:right w:val="single" w:sz="8" w:space="0" w:color="auto"/>
        <w:insideV w:val="single" w:sz="8" w:space="0" w:color="auto"/>
      </w:tblBorders>
    </w:tblPr>
    <w:tcPr>
      <w:vAlign w:val="center"/>
    </w:tcPr>
    <w:tblStylePr w:type="firstRow">
      <w:tblPr/>
      <w:tcPr>
        <w:shd w:val="clear" w:color="auto" w:fill="A6A6A6"/>
      </w:tcPr>
    </w:tblStylePr>
    <w:tblStylePr w:type="band1Horz">
      <w:rPr>
        <w:rFonts w:ascii="Arial Unicode MS" w:hAnsi="Arial Unicode MS"/>
        <w:sz w:val="16"/>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FFFFFF"/>
      </w:tcPr>
    </w:tblStylePr>
    <w:tblStylePr w:type="band2Horz">
      <w:tblPr/>
      <w:tcPr>
        <w:shd w:val="clear" w:color="auto" w:fill="D9D9D9"/>
      </w:tcPr>
    </w:tblStylePr>
  </w:style>
  <w:style w:type="table" w:customStyle="1" w:styleId="Tabelacomgrade1">
    <w:name w:val="Tabela com grade1"/>
    <w:basedOn w:val="Tablanormal"/>
    <w:uiPriority w:val="39"/>
    <w:rsid w:val="004E5076"/>
    <w:pPr>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4">
    <w:name w:val="Estilo14"/>
    <w:uiPriority w:val="99"/>
    <w:rsid w:val="004E5076"/>
  </w:style>
  <w:style w:type="numbering" w:customStyle="1" w:styleId="ESSALUD5">
    <w:name w:val="ESSALUD5"/>
    <w:uiPriority w:val="99"/>
    <w:rsid w:val="004E5076"/>
  </w:style>
  <w:style w:type="table" w:customStyle="1" w:styleId="TableNormal16">
    <w:name w:val="Table Normal16"/>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lista3-nfasis515">
    <w:name w:val="Tabla de lista 3 - Énfasis 5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5">
    <w:name w:val="Tabla con cuadrícula1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5">
    <w:name w:val="Tabla de cuadrícula 4 - Énfasis 515"/>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5">
    <w:name w:val="Tabla de lista 3 - Énfasis 52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5">
    <w:name w:val="Tabla con cuadrícula5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4">
    <w:name w:val="Tabla de lista 3 - Énfasis 53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4">
    <w:name w:val="Tabla con cuadrícula24"/>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4">
    <w:name w:val="Tabla de lista 3 - Énfasis 51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4">
    <w:name w:val="Tabla con cuadrícula34"/>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4">
    <w:name w:val="Tabla de cuadrícula 4 - Énfasis 5114"/>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4">
    <w:name w:val="Tabla de lista 3 - Énfasis 5214"/>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4">
    <w:name w:val="Tabla con cuadrícula514"/>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6">
    <w:name w:val="Tabla de lista 3 - Énfasis 516"/>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0">
    <w:name w:val="Tabla con cuadrícula10"/>
    <w:basedOn w:val="Tablanormal"/>
    <w:next w:val="Tablaconcuadrcula"/>
    <w:uiPriority w:val="59"/>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qFormat/>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numbering" w:customStyle="1" w:styleId="List75">
    <w:name w:val="List 75"/>
    <w:basedOn w:val="Sinlista"/>
    <w:rsid w:val="004E5076"/>
  </w:style>
  <w:style w:type="numbering" w:customStyle="1" w:styleId="List105">
    <w:name w:val="List 105"/>
    <w:basedOn w:val="Sinlista"/>
    <w:rsid w:val="004E5076"/>
  </w:style>
  <w:style w:type="numbering" w:customStyle="1" w:styleId="List115">
    <w:name w:val="List 115"/>
    <w:basedOn w:val="Sinlista"/>
    <w:rsid w:val="004E5076"/>
  </w:style>
  <w:style w:type="table" w:customStyle="1" w:styleId="Tabladecuadrcula4-nfasis516">
    <w:name w:val="Tabla de cuadrícula 4 - Énfasis 516"/>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6">
    <w:name w:val="Tabla de lista 3 - Énfasis 526"/>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6">
    <w:name w:val="Tabla con cuadrícula56"/>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39"/>
    <w:rsid w:val="004E5076"/>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5">
    <w:name w:val="Tabla de lista 3 - Énfasis 53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5">
    <w:name w:val="Tabla con cuadrícula25"/>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5">
    <w:name w:val="Tabla de lista 3 - Énfasis 51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5">
    <w:name w:val="Tabla con cuadrícula35"/>
    <w:basedOn w:val="Tablanormal"/>
    <w:next w:val="Tablaconcuadrcula"/>
    <w:rsid w:val="004E5076"/>
    <w:pPr>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39"/>
    <w:rsid w:val="004E5076"/>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rsid w:val="004E5076"/>
    <w:pPr>
      <w:pBdr>
        <w:top w:val="nil"/>
        <w:left w:val="nil"/>
        <w:bottom w:val="nil"/>
        <w:right w:val="nil"/>
        <w:between w:val="nil"/>
        <w:bar w:val="nil"/>
      </w:pBdr>
    </w:pPr>
    <w:rPr>
      <w:rFonts w:ascii="Times New Roman" w:eastAsia="Arial Unicode MS" w:hAnsi="Times New Roman" w:cs="Times New Roman"/>
      <w:sz w:val="20"/>
      <w:szCs w:val="20"/>
      <w:bdr w:val="nil"/>
      <w:lang w:val="es-ES_tradnl" w:eastAsia="es-ES_tradnl"/>
    </w:rPr>
    <w:tblPr>
      <w:tblInd w:w="0" w:type="dxa"/>
      <w:tblCellMar>
        <w:top w:w="0" w:type="dxa"/>
        <w:left w:w="0" w:type="dxa"/>
        <w:bottom w:w="0" w:type="dxa"/>
        <w:right w:w="0" w:type="dxa"/>
      </w:tblCellMar>
    </w:tblPr>
  </w:style>
  <w:style w:type="table" w:customStyle="1" w:styleId="Tabladecuadrcula4-nfasis5115">
    <w:name w:val="Tabla de cuadrícula 4 - Énfasis 5115"/>
    <w:basedOn w:val="Tablanormal"/>
    <w:uiPriority w:val="49"/>
    <w:rsid w:val="004E5076"/>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15">
    <w:name w:val="Tabla de lista 3 - Énfasis 5215"/>
    <w:basedOn w:val="Tablanormal"/>
    <w:uiPriority w:val="48"/>
    <w:rsid w:val="004E5076"/>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15">
    <w:name w:val="Tabla con cuadrícula515"/>
    <w:basedOn w:val="Tablanormal"/>
    <w:rsid w:val="004E5076"/>
    <w:pPr>
      <w:overflowPunct w:val="0"/>
      <w:autoSpaceDE w:val="0"/>
      <w:autoSpaceDN w:val="0"/>
      <w:adjustRightInd w:val="0"/>
      <w:ind w:left="2268"/>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anormal"/>
    <w:uiPriority w:val="40"/>
    <w:rsid w:val="004E5076"/>
    <w:rPr>
      <w:rFonts w:ascii="Times New Roman" w:eastAsia="Times New Roman" w:hAnsi="Times New Roman" w:cs="Times New Roman"/>
      <w:sz w:val="20"/>
      <w:szCs w:val="20"/>
      <w:lang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7">
    <w:name w:val="Table Normal7"/>
    <w:rsid w:val="004E5076"/>
    <w:pPr>
      <w:spacing w:line="276" w:lineRule="auto"/>
      <w:jc w:val="both"/>
    </w:pPr>
    <w:rPr>
      <w:rFonts w:ascii="Calibri" w:eastAsia="Calibri" w:hAnsi="Calibri" w:cs="Calibri"/>
      <w:lang w:eastAsia="es-CL"/>
    </w:rPr>
    <w:tblPr>
      <w:tblCellMar>
        <w:top w:w="0" w:type="dxa"/>
        <w:left w:w="0" w:type="dxa"/>
        <w:bottom w:w="0" w:type="dxa"/>
        <w:right w:w="0" w:type="dxa"/>
      </w:tblCellMar>
    </w:tblPr>
  </w:style>
  <w:style w:type="table" w:customStyle="1" w:styleId="Tablanormal51">
    <w:name w:val="Tabla normal 51"/>
    <w:basedOn w:val="Tablanormal"/>
    <w:uiPriority w:val="45"/>
    <w:rsid w:val="004E5076"/>
    <w:pPr>
      <w:jc w:val="both"/>
    </w:pPr>
    <w:rPr>
      <w:rFonts w:ascii="Calibri" w:eastAsia="Calibri" w:hAnsi="Calibri" w:cs="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cuadrcula3-nfasis11">
    <w:name w:val="Tabla de cuadrícula 3 - Énfasis 11"/>
    <w:basedOn w:val="Tablanormal"/>
    <w:uiPriority w:val="48"/>
    <w:rsid w:val="004E5076"/>
    <w:pPr>
      <w:jc w:val="both"/>
    </w:pPr>
    <w:rPr>
      <w:rFonts w:ascii="Calibri" w:eastAsia="Calibri" w:hAnsi="Calibri" w:cs="Calibri"/>
      <w:lang w:val="es-ES_trad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Styledetableau10">
    <w:name w:val="Style de tableau 1"/>
    <w:rsid w:val="004E5076"/>
    <w:pPr>
      <w:pBdr>
        <w:top w:val="nil"/>
        <w:left w:val="nil"/>
        <w:bottom w:val="nil"/>
        <w:right w:val="nil"/>
        <w:between w:val="nil"/>
        <w:bar w:val="nil"/>
      </w:pBdr>
    </w:pPr>
    <w:rPr>
      <w:rFonts w:ascii="Helvetica Neue" w:eastAsia="Helvetica Neue" w:hAnsi="Helvetica Neue" w:cs="Helvetica Neue"/>
      <w:b/>
      <w:bCs/>
      <w:color w:val="000000"/>
      <w:sz w:val="20"/>
      <w:szCs w:val="20"/>
      <w:bdr w:val="nil"/>
      <w:lang w:val="en-US"/>
    </w:rPr>
  </w:style>
  <w:style w:type="paragraph" w:customStyle="1" w:styleId="Styledetableau2">
    <w:name w:val="Style de tableau 2"/>
    <w:rsid w:val="004E5076"/>
    <w:pPr>
      <w:pBdr>
        <w:top w:val="nil"/>
        <w:left w:val="nil"/>
        <w:bottom w:val="nil"/>
        <w:right w:val="nil"/>
        <w:between w:val="nil"/>
        <w:bar w:val="nil"/>
      </w:pBdr>
    </w:pPr>
    <w:rPr>
      <w:rFonts w:ascii="Helvetica Neue" w:eastAsia="Helvetica Neue" w:hAnsi="Helvetica Neue" w:cs="Helvetica Neue"/>
      <w:color w:val="000000"/>
      <w:sz w:val="20"/>
      <w:szCs w:val="20"/>
      <w:bdr w:val="nil"/>
      <w:lang w:val="en-US"/>
    </w:rPr>
  </w:style>
  <w:style w:type="table" w:customStyle="1" w:styleId="GridTable41">
    <w:name w:val="Grid Table 41"/>
    <w:basedOn w:val="Tablanormal"/>
    <w:uiPriority w:val="49"/>
    <w:rsid w:val="004E5076"/>
    <w:rPr>
      <w:rFonts w:ascii="Calibri" w:eastAsia="Calibri" w:hAnsi="Calibri" w:cs="Calibri"/>
      <w:sz w:val="24"/>
      <w:szCs w:val="24"/>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1">
    <w:name w:val="Tabla de cuadrícula 41"/>
    <w:basedOn w:val="Tablanormal"/>
    <w:uiPriority w:val="49"/>
    <w:rsid w:val="004E5076"/>
    <w:rPr>
      <w:rFonts w:ascii="Calibri" w:eastAsia="Calibri" w:hAnsi="Calibri" w:cs="Calibr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ombreadomedio11">
    <w:name w:val="Sombreado medio 11"/>
    <w:basedOn w:val="Tablanormal"/>
    <w:uiPriority w:val="63"/>
    <w:rsid w:val="004E5076"/>
    <w:rPr>
      <w:rFonts w:ascii="Calibri" w:eastAsiaTheme="minorEastAsia" w:hAnsi="Calibri" w:cs="Calibri"/>
      <w:sz w:val="24"/>
      <w:szCs w:val="24"/>
      <w:lang w:val="en-US" w:eastAsia="es-E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numbering" w:customStyle="1" w:styleId="WWNum10">
    <w:name w:val="WWNum10"/>
    <w:basedOn w:val="Sinlista"/>
    <w:rsid w:val="004E5076"/>
  </w:style>
  <w:style w:type="table" w:customStyle="1" w:styleId="GridTable1Light-Accent51">
    <w:name w:val="Grid Table 1 Light - Accent 51"/>
    <w:basedOn w:val="Tablanormal"/>
    <w:uiPriority w:val="46"/>
    <w:rsid w:val="004E5076"/>
    <w:rPr>
      <w:rFonts w:ascii="Times New Roman" w:eastAsia="Times New Roman" w:hAnsi="Times New Roman" w:cs="Times New Roman"/>
      <w:sz w:val="20"/>
      <w:szCs w:val="20"/>
      <w:lang w:eastAsia="es-E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numbering" w:customStyle="1" w:styleId="Istanbul">
    <w:name w:val="Istanbul"/>
    <w:uiPriority w:val="99"/>
    <w:rsid w:val="004E5076"/>
  </w:style>
  <w:style w:type="table" w:customStyle="1" w:styleId="LightGrid-Accent11">
    <w:name w:val="Light Grid - Accent 11"/>
    <w:uiPriority w:val="62"/>
    <w:rsid w:val="004E5076"/>
    <w:rPr>
      <w:rFonts w:ascii="Calibri" w:eastAsia="Calibri" w:hAnsi="Calibri" w:cs="Times New Roman"/>
      <w:sz w:val="20"/>
      <w:szCs w:val="20"/>
      <w:lang w:val="es-ES_tradnl" w:eastAsia="es-ES_tradnl"/>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TableGrid3">
    <w:name w:val="Table Grid3"/>
    <w:basedOn w:val="Tablanormal"/>
    <w:next w:val="Tablaconcuadrcula"/>
    <w:uiPriority w:val="39"/>
    <w:rsid w:val="004E5076"/>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anormal"/>
    <w:next w:val="Tablaconcuadrcula"/>
    <w:uiPriority w:val="39"/>
    <w:rsid w:val="004E5076"/>
    <w:rPr>
      <w:rFonts w:ascii="Calibri" w:eastAsia="Calibri" w:hAnsi="Calibri" w:cs="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anormal"/>
    <w:next w:val="Tablaconcuadrcula"/>
    <w:uiPriority w:val="39"/>
    <w:rsid w:val="004E5076"/>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4E5076"/>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anormal"/>
    <w:uiPriority w:val="49"/>
    <w:rsid w:val="004E5076"/>
    <w:rPr>
      <w:rFonts w:ascii="Calibri" w:eastAsia="Calibri" w:hAnsi="Calibri" w:cs="Times New Roman"/>
      <w:lang w:val="es-CL" w:eastAsia="es-C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ombreadomedio1-nfasis11">
    <w:name w:val="Sombreado medio 1 - Énfasis 11"/>
    <w:basedOn w:val="Tablanormal"/>
    <w:uiPriority w:val="63"/>
    <w:rsid w:val="004E5076"/>
    <w:rPr>
      <w:rFonts w:ascii="Calibri" w:eastAsia="Calibri" w:hAnsi="Calibri" w:cs="Calibri"/>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customStyle="1" w:styleId="Tabladecuadrcula1clara-nfasis51">
    <w:name w:val="Tabla de cuadrícula 1 clara - Énfasis 51"/>
    <w:basedOn w:val="Tablanormal"/>
    <w:uiPriority w:val="46"/>
    <w:rsid w:val="004E5076"/>
    <w:rPr>
      <w:rFonts w:ascii="Times New Roman" w:eastAsia="Times New Roman" w:hAnsi="Times New Roman" w:cs="Times New Roman"/>
      <w:sz w:val="20"/>
      <w:szCs w:val="20"/>
      <w:lang w:eastAsia="es-E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Cuadrculadetablaclara1">
    <w:name w:val="Cuadrícula de tabla clara1"/>
    <w:basedOn w:val="Tablanormal"/>
    <w:rsid w:val="004E5076"/>
    <w:rPr>
      <w:rFonts w:ascii="Times New Roman" w:eastAsia="Times New Roman" w:hAnsi="Times New Roman" w:cs="Times New Roman"/>
      <w:sz w:val="20"/>
      <w:szCs w:val="20"/>
      <w:lang w:val="es-ES_tradnl"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clara1">
    <w:name w:val="Tabla con cuadrícula clara1"/>
    <w:basedOn w:val="Tablanormal"/>
    <w:uiPriority w:val="40"/>
    <w:rsid w:val="004E5076"/>
    <w:pPr>
      <w:autoSpaceDE w:val="0"/>
      <w:autoSpaceDN w:val="0"/>
    </w:pPr>
    <w:rPr>
      <w:rFonts w:ascii="Calibri" w:eastAsia="Calibri" w:hAnsi="Calibri" w:cs="Calibri"/>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WWOutlineListStyle2">
    <w:name w:val="WW_OutlineListStyle_2"/>
    <w:basedOn w:val="Sinlista"/>
    <w:rsid w:val="004E5076"/>
  </w:style>
  <w:style w:type="table" w:customStyle="1" w:styleId="GridTable4-Accent11">
    <w:name w:val="Grid Table 4 - Accent 11"/>
    <w:basedOn w:val="Tablanormal"/>
    <w:uiPriority w:val="49"/>
    <w:rsid w:val="004E5076"/>
    <w:rPr>
      <w:rFonts w:ascii="Calibri" w:eastAsia="Calibri" w:hAnsi="Calibri" w:cs="Calibri"/>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111">
    <w:name w:val="Grid Table 1 Light - Accent 111"/>
    <w:basedOn w:val="Tablanormal"/>
    <w:uiPriority w:val="46"/>
    <w:rsid w:val="004E5076"/>
    <w:rPr>
      <w:rFonts w:ascii="Calibri" w:eastAsia="Calibri" w:hAnsi="Calibri" w:cs="Times New Roman"/>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Custom">
    <w:name w:val="Table Custom"/>
    <w:basedOn w:val="Tablanormal"/>
    <w:uiPriority w:val="99"/>
    <w:rsid w:val="004E5076"/>
    <w:rPr>
      <w:rFonts w:eastAsiaTheme="minorEastAsia" w:cs="Calibri"/>
      <w:caps/>
      <w:color w:val="FFFFFF" w:themeColor="background1"/>
      <w:sz w:val="18"/>
      <w:szCs w:val="24"/>
      <w:lang w:val="en-US"/>
    </w:rPr>
    <w:tblPr>
      <w:tblStyleRowBandSize w:val="1"/>
      <w:tblStyleColBandSize w:val="1"/>
      <w:tblBorders>
        <w:top w:val="single" w:sz="12" w:space="0" w:color="005596"/>
        <w:left w:val="single" w:sz="4" w:space="0" w:color="B8CCE4"/>
        <w:bottom w:val="single" w:sz="12" w:space="0" w:color="005596"/>
        <w:right w:val="single" w:sz="4" w:space="0" w:color="B8CCE4"/>
        <w:insideH w:val="single" w:sz="4" w:space="0" w:color="B4C6E7" w:themeColor="accent1" w:themeTint="66"/>
        <w:insideV w:val="single" w:sz="4" w:space="0" w:color="B4C6E7" w:themeColor="accent1" w:themeTint="66"/>
      </w:tblBorders>
      <w:tblCellMar>
        <w:top w:w="43" w:type="dxa"/>
        <w:left w:w="115" w:type="dxa"/>
        <w:bottom w:w="43" w:type="dxa"/>
        <w:right w:w="115" w:type="dxa"/>
      </w:tblCellMar>
    </w:tblPr>
    <w:trPr>
      <w:cantSplit/>
    </w:trPr>
    <w:tcPr>
      <w:shd w:val="clear" w:color="auto" w:fill="auto"/>
    </w:tcPr>
    <w:tblStylePr w:type="firstRow">
      <w:rPr>
        <w:rFonts w:ascii="Microsoft YaHei UI" w:hAnsi="Microsoft YaHei UI"/>
        <w:b/>
        <w:caps/>
        <w:smallCaps w:val="0"/>
        <w:color w:val="FFFFFF" w:themeColor="background1"/>
        <w:sz w:val="18"/>
      </w:rPr>
      <w:tblPr/>
      <w:trPr>
        <w:tblHeader/>
      </w:trPr>
      <w:tcPr>
        <w:shd w:val="clear" w:color="auto" w:fill="005596"/>
      </w:tcPr>
    </w:tblStylePr>
    <w:tblStylePr w:type="firstCol">
      <w:rPr>
        <w:b w:val="0"/>
      </w:rPr>
    </w:tblStylePr>
    <w:tblStylePr w:type="band2Horz">
      <w:tblPr/>
      <w:tcPr>
        <w:shd w:val="clear" w:color="auto" w:fill="EDF2F4"/>
      </w:tcPr>
    </w:tblStylePr>
  </w:style>
  <w:style w:type="table" w:customStyle="1" w:styleId="bancomundial">
    <w:name w:val="banco mundial"/>
    <w:basedOn w:val="Tablanormal"/>
    <w:rsid w:val="004E5076"/>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Frutiger 45 Light" w:hAnsi="Frutiger 45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numbering" w:customStyle="1" w:styleId="Style10">
    <w:name w:val="Style1"/>
    <w:uiPriority w:val="99"/>
    <w:rsid w:val="004E5076"/>
  </w:style>
  <w:style w:type="table" w:customStyle="1" w:styleId="GridTable43">
    <w:name w:val="Grid Table 43"/>
    <w:basedOn w:val="Tablanormal"/>
    <w:uiPriority w:val="49"/>
    <w:rsid w:val="004E5076"/>
    <w:rPr>
      <w:rFonts w:ascii="Calibri" w:eastAsia="Calibri" w:hAnsi="Calibri" w:cs="Calibri"/>
      <w:lang w:val="es-MX"/>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anormal"/>
    <w:uiPriority w:val="46"/>
    <w:rsid w:val="004E5076"/>
    <w:rPr>
      <w:rFonts w:ascii="Calibri" w:eastAsiaTheme="minorEastAsia" w:hAnsi="Calibri" w:cs="Calibri"/>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29" w:type="dxa"/>
        <w:bottom w:w="29"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bancomundial1">
    <w:name w:val="banco mundial1"/>
    <w:basedOn w:val="Tablanormal"/>
    <w:rsid w:val="004E5076"/>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Arial-ItalicMT" w:hAnsi="Arial-ItalicM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TableGrid2">
    <w:name w:val="Table Grid2"/>
    <w:basedOn w:val="Tablanormal"/>
    <w:next w:val="Tablaconcuadrcula"/>
    <w:uiPriority w:val="59"/>
    <w:rsid w:val="004E5076"/>
    <w:rPr>
      <w:rFonts w:ascii="Calibri" w:eastAsia="Times New Roman" w:hAnsi="Calibri"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21">
    <w:name w:val="Plain Table 21"/>
    <w:basedOn w:val="Tablanormal"/>
    <w:uiPriority w:val="42"/>
    <w:rsid w:val="004E5076"/>
    <w:rPr>
      <w:rFonts w:ascii="Calibri" w:eastAsia="Calibri" w:hAnsi="Calibri" w:cs="Calibri"/>
      <w:lang w:val="es-MX"/>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3-nfasis12">
    <w:name w:val="Tabla de cuadrícula 3 - Énfasis 12"/>
    <w:basedOn w:val="Tablanormal"/>
    <w:uiPriority w:val="48"/>
    <w:rsid w:val="004E5076"/>
    <w:pPr>
      <w:jc w:val="both"/>
    </w:pPr>
    <w:rPr>
      <w:rFonts w:ascii="Calibri" w:eastAsia="Calibri" w:hAnsi="Calibri" w:cs="Calibri"/>
      <w:lang w:val="es-ES_trad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Tablanormal52">
    <w:name w:val="Tabla normal 52"/>
    <w:basedOn w:val="Tablanormal"/>
    <w:uiPriority w:val="45"/>
    <w:rsid w:val="004E5076"/>
    <w:pPr>
      <w:jc w:val="both"/>
    </w:pPr>
    <w:rPr>
      <w:rFonts w:ascii="Calibri" w:eastAsia="Calibri" w:hAnsi="Calibri" w:cs="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aclara1">
    <w:name w:val="Lista clara1"/>
    <w:basedOn w:val="Tablanormal"/>
    <w:uiPriority w:val="61"/>
    <w:rsid w:val="004E5076"/>
    <w:rPr>
      <w:rFonts w:ascii="Calibri" w:eastAsia="Calibri" w:hAnsi="Calibri" w:cs="Times New Roman"/>
      <w:sz w:val="20"/>
      <w:szCs w:val="20"/>
      <w:lang w:val="es-ES_tradn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1">
    <w:name w:val="Light List1"/>
    <w:basedOn w:val="Tablanormal"/>
    <w:uiPriority w:val="61"/>
    <w:rsid w:val="004E5076"/>
    <w:rPr>
      <w:rFonts w:ascii="Calibri" w:eastAsia="Calibri" w:hAnsi="Calibri" w:cs="Times New Roman"/>
      <w:sz w:val="20"/>
      <w:szCs w:val="20"/>
      <w:lang w:val="es-ES_tradn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Estilo5">
    <w:name w:val="Estilo5"/>
    <w:uiPriority w:val="99"/>
    <w:rsid w:val="004E5076"/>
  </w:style>
  <w:style w:type="numbering" w:customStyle="1" w:styleId="Estilo7">
    <w:name w:val="Estilo7"/>
    <w:uiPriority w:val="99"/>
    <w:rsid w:val="004E5076"/>
  </w:style>
  <w:style w:type="numbering" w:customStyle="1" w:styleId="Estilo8">
    <w:name w:val="Estilo8"/>
    <w:uiPriority w:val="99"/>
    <w:rsid w:val="004E5076"/>
  </w:style>
  <w:style w:type="numbering" w:customStyle="1" w:styleId="Estilo9">
    <w:name w:val="Estilo9"/>
    <w:uiPriority w:val="99"/>
    <w:rsid w:val="004E5076"/>
  </w:style>
  <w:style w:type="numbering" w:customStyle="1" w:styleId="Estilo100">
    <w:name w:val="Estilo10"/>
    <w:uiPriority w:val="99"/>
    <w:rsid w:val="004E5076"/>
  </w:style>
  <w:style w:type="numbering" w:customStyle="1" w:styleId="Estilo12">
    <w:name w:val="Estilo12"/>
    <w:uiPriority w:val="99"/>
    <w:rsid w:val="004E5076"/>
  </w:style>
  <w:style w:type="numbering" w:customStyle="1" w:styleId="Estilo13">
    <w:name w:val="Estilo13"/>
    <w:uiPriority w:val="99"/>
    <w:rsid w:val="004E5076"/>
  </w:style>
  <w:style w:type="table" w:customStyle="1" w:styleId="TableGridLight2">
    <w:name w:val="Table Grid Light2"/>
    <w:basedOn w:val="Tablanormal"/>
    <w:uiPriority w:val="40"/>
    <w:rsid w:val="004E5076"/>
    <w:pPr>
      <w:autoSpaceDE w:val="0"/>
      <w:autoSpaceDN w:val="0"/>
    </w:pPr>
    <w:rPr>
      <w:rFonts w:ascii="Calibri" w:eastAsia="Calibri" w:hAnsi="Calibri" w:cs="Calibri"/>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Istanbul1">
    <w:name w:val="Istanbul1"/>
    <w:uiPriority w:val="99"/>
    <w:rsid w:val="004E5076"/>
  </w:style>
  <w:style w:type="paragraph" w:customStyle="1" w:styleId="xl16375">
    <w:name w:val="xl16375"/>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color w:val="333333"/>
      <w:sz w:val="20"/>
      <w:szCs w:val="20"/>
      <w:lang w:val="es-PE"/>
    </w:rPr>
  </w:style>
  <w:style w:type="paragraph" w:customStyle="1" w:styleId="xl16376">
    <w:name w:val="xl16376"/>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7">
    <w:name w:val="xl16377"/>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8">
    <w:name w:val="xl16378"/>
    <w:basedOn w:val="Normal"/>
    <w:rsid w:val="004E5076"/>
    <w:pPr>
      <w:widowControl/>
      <w:pBdr>
        <w:top w:val="single" w:sz="4" w:space="0" w:color="5B9BD5"/>
        <w:left w:val="single" w:sz="4" w:space="0" w:color="5B9BD5"/>
        <w:bottom w:val="single" w:sz="4" w:space="0" w:color="5B9BD5"/>
        <w:right w:val="single" w:sz="4" w:space="0" w:color="5B9BD5"/>
      </w:pBdr>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79">
    <w:name w:val="xl16379"/>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jc w:val="center"/>
    </w:pPr>
    <w:rPr>
      <w:rFonts w:ascii="Garamond" w:eastAsia="Times New Roman" w:hAnsi="Garamond" w:cs="Times New Roman"/>
      <w:sz w:val="20"/>
      <w:szCs w:val="20"/>
      <w:lang w:val="es-PE"/>
    </w:rPr>
  </w:style>
  <w:style w:type="paragraph" w:customStyle="1" w:styleId="xl16380">
    <w:name w:val="xl16380"/>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pPr>
    <w:rPr>
      <w:rFonts w:ascii="Garamond" w:eastAsia="Times New Roman" w:hAnsi="Garamond" w:cs="Times New Roman"/>
      <w:sz w:val="20"/>
      <w:szCs w:val="20"/>
      <w:lang w:val="es-PE"/>
    </w:rPr>
  </w:style>
  <w:style w:type="paragraph" w:customStyle="1" w:styleId="xl16381">
    <w:name w:val="xl16381"/>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jc w:val="center"/>
    </w:pPr>
    <w:rPr>
      <w:rFonts w:ascii="Garamond" w:eastAsia="Times New Roman" w:hAnsi="Garamond" w:cs="Times New Roman"/>
      <w:sz w:val="20"/>
      <w:szCs w:val="20"/>
      <w:lang w:val="es-PE"/>
    </w:rPr>
  </w:style>
  <w:style w:type="paragraph" w:customStyle="1" w:styleId="xl16382">
    <w:name w:val="xl16382"/>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pPr>
    <w:rPr>
      <w:rFonts w:ascii="Garamond" w:eastAsia="Times New Roman" w:hAnsi="Garamond" w:cs="Times New Roman"/>
      <w:sz w:val="20"/>
      <w:szCs w:val="20"/>
      <w:lang w:val="es-PE"/>
    </w:rPr>
  </w:style>
  <w:style w:type="paragraph" w:customStyle="1" w:styleId="xl16383">
    <w:name w:val="xl16383"/>
    <w:basedOn w:val="Normal"/>
    <w:rsid w:val="004E5076"/>
    <w:pPr>
      <w:widowControl/>
      <w:pBdr>
        <w:left w:val="single" w:sz="4" w:space="0" w:color="5B9BD5"/>
        <w:bottom w:val="single" w:sz="4" w:space="0" w:color="5B9BD5"/>
        <w:right w:val="single" w:sz="4" w:space="0" w:color="5B9BD5"/>
      </w:pBdr>
      <w:shd w:val="clear" w:color="000000" w:fill="FFFFFF"/>
      <w:spacing w:before="100" w:beforeAutospacing="1" w:after="100" w:afterAutospacing="1"/>
      <w:jc w:val="center"/>
      <w:textAlignment w:val="center"/>
    </w:pPr>
    <w:rPr>
      <w:rFonts w:ascii="Garamond" w:eastAsia="Times New Roman" w:hAnsi="Garamond" w:cs="Times New Roman"/>
      <w:sz w:val="20"/>
      <w:szCs w:val="20"/>
      <w:lang w:val="es-PE"/>
    </w:rPr>
  </w:style>
  <w:style w:type="paragraph" w:customStyle="1" w:styleId="xl16384">
    <w:name w:val="xl16384"/>
    <w:basedOn w:val="Normal"/>
    <w:rsid w:val="004E5076"/>
    <w:pPr>
      <w:widowControl/>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jc w:val="center"/>
      <w:textAlignment w:val="center"/>
    </w:pPr>
    <w:rPr>
      <w:rFonts w:ascii="Garamond" w:eastAsia="Times New Roman" w:hAnsi="Garamond" w:cs="Times New Roman"/>
      <w:sz w:val="20"/>
      <w:szCs w:val="20"/>
      <w:lang w:val="es-PE"/>
    </w:rPr>
  </w:style>
  <w:style w:type="character" w:customStyle="1" w:styleId="Hipervnculovisitado1">
    <w:name w:val="Hipervínculo visitado1"/>
    <w:basedOn w:val="Fuentedeprrafopredeter"/>
    <w:rsid w:val="004E5076"/>
    <w:rPr>
      <w:rFonts w:cs="Times New Roman"/>
      <w:b/>
      <w:color w:val="auto"/>
      <w:u w:val="single"/>
    </w:rPr>
  </w:style>
  <w:style w:type="paragraph" w:customStyle="1" w:styleId="EstiloTtulo2SinNegritaCursivaIzquierda0cmPrimeral">
    <w:name w:val="Estilo Título 2 + Sin Negrita Cursiva Izquierda:  0 cm Primera lí..."/>
    <w:basedOn w:val="Ttulo2"/>
    <w:rsid w:val="004E5076"/>
    <w:pPr>
      <w:keepLines w:val="0"/>
      <w:tabs>
        <w:tab w:val="num" w:pos="720"/>
      </w:tabs>
      <w:spacing w:before="0" w:after="0"/>
      <w:ind w:left="720" w:hanging="720"/>
      <w:contextualSpacing/>
      <w:jc w:val="both"/>
    </w:pPr>
    <w:rPr>
      <w:rFonts w:ascii="Arial" w:eastAsia="Times New Roman" w:hAnsi="Arial" w:cs="Times New Roman"/>
      <w:b/>
      <w:iCs/>
      <w:color w:val="auto"/>
      <w:sz w:val="22"/>
      <w:szCs w:val="20"/>
      <w:lang w:eastAsia="es-ES"/>
    </w:rPr>
  </w:style>
  <w:style w:type="paragraph" w:customStyle="1" w:styleId="EstiloIzquierda0cmSangrafrancesa095cm">
    <w:name w:val="Estilo Izquierda:  0 cm Sangría francesa:  0.95 cm"/>
    <w:basedOn w:val="Normal"/>
    <w:rsid w:val="004E5076"/>
    <w:pPr>
      <w:widowControl/>
      <w:tabs>
        <w:tab w:val="num" w:pos="2007"/>
      </w:tabs>
      <w:ind w:left="2007" w:hanging="567"/>
      <w:jc w:val="both"/>
    </w:pPr>
    <w:rPr>
      <w:rFonts w:eastAsia="Times New Roman" w:cs="Times New Roman"/>
      <w:sz w:val="24"/>
      <w:szCs w:val="20"/>
      <w:lang w:val="es-PE" w:eastAsia="es-ES"/>
    </w:rPr>
  </w:style>
  <w:style w:type="paragraph" w:customStyle="1" w:styleId="EstiloIzquierda222cm">
    <w:name w:val="Estilo Izquierda:  2.22 cm"/>
    <w:basedOn w:val="Normal"/>
    <w:rsid w:val="004E5076"/>
    <w:pPr>
      <w:widowControl/>
      <w:ind w:left="1134"/>
      <w:jc w:val="both"/>
    </w:pPr>
    <w:rPr>
      <w:rFonts w:eastAsia="Times New Roman" w:cs="Times New Roman"/>
      <w:sz w:val="24"/>
      <w:szCs w:val="20"/>
      <w:lang w:val="es-PE" w:eastAsia="es-ES"/>
    </w:rPr>
  </w:style>
  <w:style w:type="paragraph" w:customStyle="1" w:styleId="Anexos0">
    <w:name w:val="Anexos"/>
    <w:basedOn w:val="Normal"/>
    <w:next w:val="Normal"/>
    <w:link w:val="AnexosCar"/>
    <w:autoRedefine/>
    <w:rsid w:val="004E5076"/>
    <w:pPr>
      <w:widowControl/>
      <w:ind w:left="1418"/>
      <w:jc w:val="both"/>
    </w:pPr>
    <w:rPr>
      <w:rFonts w:eastAsia="Times New Roman"/>
      <w:color w:val="000080"/>
      <w:spacing w:val="-10"/>
      <w:kern w:val="28"/>
      <w:sz w:val="24"/>
      <w:szCs w:val="20"/>
      <w:lang w:eastAsia="es-ES"/>
    </w:rPr>
  </w:style>
  <w:style w:type="paragraph" w:customStyle="1" w:styleId="NombredelFormulario">
    <w:name w:val="Nombre del Formulario"/>
    <w:next w:val="Normal"/>
    <w:rsid w:val="004E5076"/>
    <w:pPr>
      <w:spacing w:before="120"/>
      <w:jc w:val="center"/>
      <w:outlineLvl w:val="5"/>
    </w:pPr>
    <w:rPr>
      <w:rFonts w:eastAsia="Times New Roman"/>
      <w:b/>
      <w:sz w:val="24"/>
      <w:lang w:eastAsia="es-ES"/>
    </w:rPr>
  </w:style>
  <w:style w:type="paragraph" w:customStyle="1" w:styleId="NorPara">
    <w:name w:val="NorPara"/>
    <w:basedOn w:val="Normal"/>
    <w:rsid w:val="004E5076"/>
    <w:pPr>
      <w:widowControl/>
      <w:jc w:val="both"/>
    </w:pPr>
    <w:rPr>
      <w:rFonts w:ascii="Frutiger 45 Light" w:eastAsia="Times New Roman" w:hAnsi="Frutiger 45 Light"/>
      <w:sz w:val="20"/>
      <w:szCs w:val="20"/>
      <w:lang w:val="es-ES_tradnl" w:eastAsia="es-ES"/>
    </w:rPr>
  </w:style>
  <w:style w:type="paragraph" w:customStyle="1" w:styleId="EstiloCentrado">
    <w:name w:val="Estilo Centrado"/>
    <w:basedOn w:val="Anexos0"/>
    <w:rsid w:val="004E5076"/>
    <w:rPr>
      <w:rFonts w:cs="Times New Roman"/>
    </w:rPr>
  </w:style>
  <w:style w:type="character" w:customStyle="1" w:styleId="AnexosCar">
    <w:name w:val="Anexos Car"/>
    <w:basedOn w:val="TtuloCar"/>
    <w:link w:val="Anexos0"/>
    <w:locked/>
    <w:rsid w:val="004E5076"/>
    <w:rPr>
      <w:rFonts w:ascii="Arial" w:eastAsia="Times New Roman" w:hAnsi="Arial" w:cs="Arial"/>
      <w:color w:val="000080"/>
      <w:spacing w:val="-10"/>
      <w:kern w:val="28"/>
      <w:sz w:val="24"/>
      <w:szCs w:val="20"/>
      <w:lang w:val="es-ES" w:eastAsia="es-ES"/>
    </w:rPr>
  </w:style>
  <w:style w:type="character" w:customStyle="1" w:styleId="Estilo4Car">
    <w:name w:val="Estilo4 Car"/>
    <w:basedOn w:val="AnexosCar"/>
    <w:locked/>
    <w:rsid w:val="004E5076"/>
    <w:rPr>
      <w:rFonts w:ascii="Arial" w:eastAsia="Times New Roman" w:hAnsi="Arial" w:cs="Arial"/>
      <w:color w:val="000080"/>
      <w:spacing w:val="-10"/>
      <w:kern w:val="28"/>
      <w:sz w:val="24"/>
      <w:szCs w:val="20"/>
      <w:lang w:val="es-ES" w:eastAsia="es-ES"/>
    </w:rPr>
  </w:style>
  <w:style w:type="numbering" w:customStyle="1" w:styleId="EstiloNumerado">
    <w:name w:val="Estilo Numerado"/>
    <w:rsid w:val="004E5076"/>
  </w:style>
  <w:style w:type="paragraph" w:customStyle="1" w:styleId="T-01">
    <w:name w:val="T-01"/>
    <w:basedOn w:val="Normal"/>
    <w:qFormat/>
    <w:rsid w:val="004E5076"/>
    <w:pPr>
      <w:widowControl/>
    </w:pPr>
    <w:rPr>
      <w:rFonts w:ascii="Times New Roman" w:eastAsia="Times New Roman" w:hAnsi="Times New Roman" w:cs="Times New Roman"/>
      <w:sz w:val="24"/>
      <w:szCs w:val="24"/>
      <w:lang w:eastAsia="es-ES"/>
    </w:rPr>
  </w:style>
  <w:style w:type="paragraph" w:customStyle="1" w:styleId="P-00">
    <w:name w:val="P-00"/>
    <w:basedOn w:val="Normal"/>
    <w:qFormat/>
    <w:rsid w:val="004E5076"/>
    <w:pPr>
      <w:widowControl/>
      <w:spacing w:before="240" w:after="240" w:line="276" w:lineRule="auto"/>
      <w:jc w:val="both"/>
    </w:pPr>
    <w:rPr>
      <w:rFonts w:ascii="Calibri" w:eastAsia="Calibri" w:hAnsi="Calibri" w:cs="Times New Roman"/>
      <w:sz w:val="24"/>
      <w:szCs w:val="24"/>
      <w:lang w:val="es-PE" w:eastAsia="en-US"/>
    </w:rPr>
  </w:style>
  <w:style w:type="paragraph" w:customStyle="1" w:styleId="T-02">
    <w:name w:val="T-02"/>
    <w:basedOn w:val="Normal"/>
    <w:link w:val="T-02Car"/>
    <w:qFormat/>
    <w:rsid w:val="004E5076"/>
    <w:pPr>
      <w:widowControl/>
      <w:tabs>
        <w:tab w:val="num" w:pos="1440"/>
      </w:tabs>
      <w:ind w:left="1500" w:hanging="420"/>
    </w:pPr>
    <w:rPr>
      <w:rFonts w:eastAsia="Times New Roman" w:cs="Times New Roman"/>
      <w:b/>
      <w:sz w:val="24"/>
      <w:szCs w:val="24"/>
      <w:lang w:eastAsia="es-ES"/>
    </w:rPr>
  </w:style>
  <w:style w:type="numbering" w:customStyle="1" w:styleId="Listaactual2">
    <w:name w:val="Lista actual2"/>
    <w:rsid w:val="004E5076"/>
  </w:style>
  <w:style w:type="numbering" w:styleId="111111">
    <w:name w:val="Outline List 2"/>
    <w:basedOn w:val="Sinlista"/>
    <w:rsid w:val="004E5076"/>
  </w:style>
  <w:style w:type="paragraph" w:customStyle="1" w:styleId="piepagina">
    <w:name w:val="pie_pagina"/>
    <w:basedOn w:val="Normal"/>
    <w:rsid w:val="004E5076"/>
    <w:pPr>
      <w:widowControl/>
      <w:spacing w:before="100" w:beforeAutospacing="1" w:after="100" w:afterAutospacing="1"/>
      <w:jc w:val="both"/>
    </w:pPr>
    <w:rPr>
      <w:rFonts w:eastAsia="Times New Roman"/>
      <w:color w:val="000000"/>
      <w:sz w:val="16"/>
      <w:szCs w:val="16"/>
      <w:lang w:eastAsia="es-ES"/>
    </w:rPr>
  </w:style>
  <w:style w:type="character" w:customStyle="1" w:styleId="CarCar14">
    <w:name w:val="Car Car14"/>
    <w:basedOn w:val="Fuentedeprrafopredeter"/>
    <w:rsid w:val="004E5076"/>
    <w:rPr>
      <w:rFonts w:ascii="Arial Narrow" w:hAnsi="Arial Narrow"/>
      <w:bCs/>
      <w:iCs/>
      <w:sz w:val="22"/>
      <w:szCs w:val="26"/>
      <w:u w:val="single"/>
      <w:lang w:val="es-ES" w:eastAsia="es-ES" w:bidi="ar-SA"/>
    </w:rPr>
  </w:style>
  <w:style w:type="character" w:customStyle="1" w:styleId="CarCar16">
    <w:name w:val="Car Car16"/>
    <w:basedOn w:val="Fuentedeprrafopredeter"/>
    <w:rsid w:val="004E5076"/>
    <w:rPr>
      <w:rFonts w:ascii="Arial Narrow" w:hAnsi="Arial Narrow" w:cs="Arial"/>
      <w:b/>
      <w:bCs/>
      <w:i/>
      <w:sz w:val="24"/>
      <w:szCs w:val="22"/>
      <w:lang w:val="es-ES" w:eastAsia="es-ES" w:bidi="ar-SA"/>
    </w:rPr>
  </w:style>
  <w:style w:type="character" w:customStyle="1" w:styleId="style41">
    <w:name w:val="style41"/>
    <w:basedOn w:val="Fuentedeprrafopredeter"/>
    <w:rsid w:val="004E5076"/>
    <w:rPr>
      <w:rFonts w:ascii="Verdana" w:hAnsi="Verdana" w:hint="default"/>
      <w:b/>
      <w:bCs/>
      <w:sz w:val="18"/>
      <w:szCs w:val="18"/>
    </w:rPr>
  </w:style>
  <w:style w:type="paragraph" w:customStyle="1" w:styleId="epgrafe">
    <w:name w:val="epígrafe"/>
    <w:basedOn w:val="Normal"/>
    <w:rsid w:val="004E5076"/>
    <w:pPr>
      <w:widowControl/>
    </w:pPr>
    <w:rPr>
      <w:rFonts w:ascii="Courier" w:eastAsia="MS Mincho" w:hAnsi="Courier" w:cs="Times New Roman"/>
      <w:sz w:val="24"/>
      <w:szCs w:val="20"/>
      <w:lang w:val="es-ES_tradnl" w:eastAsia="es-ES"/>
    </w:rPr>
  </w:style>
  <w:style w:type="character" w:customStyle="1" w:styleId="DefaultParagraphFo">
    <w:name w:val="Default Paragraph Fo"/>
    <w:basedOn w:val="Fuentedeprrafopredeter"/>
    <w:rsid w:val="004E5076"/>
  </w:style>
  <w:style w:type="character" w:customStyle="1" w:styleId="CarCar9">
    <w:name w:val="Car Car9"/>
    <w:basedOn w:val="Fuentedeprrafopredeter"/>
    <w:rsid w:val="004E5076"/>
    <w:rPr>
      <w:rFonts w:ascii="Tahoma" w:hAnsi="Tahoma" w:cs="Tahoma"/>
      <w:sz w:val="16"/>
      <w:szCs w:val="16"/>
      <w:lang w:val="es-ES" w:eastAsia="es-ES" w:bidi="ar-SA"/>
    </w:rPr>
  </w:style>
  <w:style w:type="paragraph" w:customStyle="1" w:styleId="CARATULA1">
    <w:name w:val="CARATULA1"/>
    <w:basedOn w:val="Normal"/>
    <w:autoRedefine/>
    <w:rsid w:val="004E5076"/>
    <w:pPr>
      <w:keepLines/>
      <w:jc w:val="center"/>
    </w:pPr>
    <w:rPr>
      <w:rFonts w:ascii="Times New Roman" w:eastAsia="MS Mincho" w:hAnsi="Times New Roman" w:cs="Times New Roman"/>
      <w:b/>
      <w:snapToGrid w:val="0"/>
      <w:color w:val="000000"/>
      <w:sz w:val="28"/>
      <w:szCs w:val="20"/>
      <w:lang w:val="es-PE" w:eastAsia="en-US"/>
    </w:rPr>
  </w:style>
  <w:style w:type="paragraph" w:customStyle="1" w:styleId="i">
    <w:name w:val="(i)"/>
    <w:basedOn w:val="Normal"/>
    <w:next w:val="Normal"/>
    <w:autoRedefine/>
    <w:rsid w:val="004E5076"/>
    <w:pPr>
      <w:widowControl/>
      <w:tabs>
        <w:tab w:val="left" w:pos="0"/>
        <w:tab w:val="num" w:pos="720"/>
        <w:tab w:val="num" w:pos="1080"/>
        <w:tab w:val="left" w:pos="1440"/>
        <w:tab w:val="left" w:pos="1537"/>
        <w:tab w:val="left" w:pos="2160"/>
      </w:tabs>
      <w:suppressAutoHyphens/>
      <w:ind w:left="1080" w:hanging="360"/>
      <w:jc w:val="both"/>
    </w:pPr>
    <w:rPr>
      <w:rFonts w:ascii="Times New Roman" w:eastAsia="Times New Roman" w:hAnsi="Times New Roman" w:cs="Times New Roman"/>
      <w:sz w:val="21"/>
      <w:szCs w:val="20"/>
      <w:lang w:val="es-ES_tradnl" w:eastAsia="en-US"/>
    </w:rPr>
  </w:style>
  <w:style w:type="paragraph" w:customStyle="1" w:styleId="Tcnico4">
    <w:name w:val="Técnico 4"/>
    <w:rsid w:val="004E5076"/>
    <w:pPr>
      <w:tabs>
        <w:tab w:val="left" w:pos="-720"/>
      </w:tabs>
      <w:suppressAutoHyphens/>
    </w:pPr>
    <w:rPr>
      <w:rFonts w:ascii="Courier New" w:eastAsia="Times New Roman" w:hAnsi="Courier New" w:cs="Times New Roman"/>
      <w:b/>
      <w:sz w:val="24"/>
      <w:szCs w:val="20"/>
      <w:lang w:val="en-US" w:eastAsia="es-ES"/>
    </w:rPr>
  </w:style>
  <w:style w:type="paragraph" w:customStyle="1" w:styleId="Sangra4detindependiente">
    <w:name w:val="Sangría 4 de t. independiente"/>
    <w:basedOn w:val="Normal"/>
    <w:rsid w:val="004E5076"/>
    <w:pPr>
      <w:widowControl/>
      <w:ind w:left="2722"/>
      <w:jc w:val="both"/>
    </w:pPr>
    <w:rPr>
      <w:rFonts w:ascii="Times New Roman" w:eastAsia="Times New Roman" w:hAnsi="Times New Roman" w:cs="Times New Roman"/>
      <w:sz w:val="24"/>
      <w:szCs w:val="20"/>
      <w:lang w:eastAsia="es-ES"/>
    </w:rPr>
  </w:style>
  <w:style w:type="paragraph" w:customStyle="1" w:styleId="toa">
    <w:name w:val="toa"/>
    <w:rsid w:val="004E5076"/>
    <w:pPr>
      <w:tabs>
        <w:tab w:val="left" w:pos="0"/>
        <w:tab w:val="left" w:pos="9000"/>
      </w:tabs>
      <w:suppressAutoHyphens/>
    </w:pPr>
    <w:rPr>
      <w:rFonts w:ascii="Courier New" w:eastAsia="Times New Roman" w:hAnsi="Courier New" w:cs="Times New Roman"/>
      <w:sz w:val="24"/>
      <w:szCs w:val="20"/>
      <w:lang w:val="en-US" w:eastAsia="es-ES"/>
    </w:rPr>
  </w:style>
  <w:style w:type="paragraph" w:customStyle="1" w:styleId="Predeterminado">
    <w:name w:val="Predeterminado"/>
    <w:rsid w:val="004E5076"/>
    <w:pPr>
      <w:autoSpaceDE w:val="0"/>
      <w:autoSpaceDN w:val="0"/>
      <w:adjustRightInd w:val="0"/>
    </w:pPr>
    <w:rPr>
      <w:rFonts w:ascii="Times" w:eastAsia="Times New Roman" w:hAnsi="Times" w:cs="Times New Roman"/>
      <w:sz w:val="20"/>
      <w:szCs w:val="20"/>
      <w:lang w:eastAsia="es-ES"/>
    </w:rPr>
  </w:style>
  <w:style w:type="paragraph" w:customStyle="1" w:styleId="Encabezado4">
    <w:name w:val="Encabezado 4"/>
    <w:basedOn w:val="Predeterminado"/>
    <w:next w:val="Predeterminado"/>
    <w:rsid w:val="004E5076"/>
    <w:pPr>
      <w:keepNext/>
      <w:widowControl/>
      <w:autoSpaceDE/>
      <w:autoSpaceDN/>
      <w:adjustRightInd/>
      <w:spacing w:line="280" w:lineRule="exact"/>
      <w:ind w:left="397" w:hanging="397"/>
      <w:outlineLvl w:val="3"/>
    </w:pPr>
    <w:rPr>
      <w:rFonts w:ascii="Arial" w:hAnsi="Arial"/>
      <w:b/>
      <w:snapToGrid w:val="0"/>
      <w:sz w:val="24"/>
    </w:rPr>
  </w:style>
  <w:style w:type="character" w:customStyle="1" w:styleId="CarCar20">
    <w:name w:val="Car Car20"/>
    <w:basedOn w:val="Fuentedeprrafopredeter"/>
    <w:rsid w:val="004E5076"/>
    <w:rPr>
      <w:rFonts w:ascii="Arial" w:eastAsia="MS Mincho" w:hAnsi="Arial"/>
      <w:b/>
      <w:spacing w:val="-3"/>
      <w:sz w:val="18"/>
      <w:lang w:val="es-PE"/>
    </w:rPr>
  </w:style>
  <w:style w:type="character" w:customStyle="1" w:styleId="CarCar17">
    <w:name w:val="Car Car17"/>
    <w:basedOn w:val="Fuentedeprrafopredeter"/>
    <w:rsid w:val="004E5076"/>
    <w:rPr>
      <w:rFonts w:ascii="Arial" w:eastAsia="MS Mincho" w:hAnsi="Arial"/>
      <w:b/>
      <w:sz w:val="24"/>
      <w:lang w:val="es-PE"/>
    </w:rPr>
  </w:style>
  <w:style w:type="character" w:customStyle="1" w:styleId="CarCar19">
    <w:name w:val="Car Car19"/>
    <w:basedOn w:val="Fuentedeprrafopredeter"/>
    <w:rsid w:val="004E5076"/>
    <w:rPr>
      <w:rFonts w:ascii="Arial" w:eastAsia="MS Mincho" w:hAnsi="Arial"/>
      <w:b/>
      <w:lang w:val="es-PE"/>
    </w:rPr>
  </w:style>
  <w:style w:type="character" w:customStyle="1" w:styleId="EstiloCorreo1301">
    <w:name w:val="EstiloCorreo1301"/>
    <w:basedOn w:val="Fuentedeprrafopredeter"/>
    <w:semiHidden/>
    <w:rsid w:val="004E5076"/>
    <w:rPr>
      <w:rFonts w:ascii="Arial" w:hAnsi="Arial" w:cs="Arial"/>
      <w:color w:val="auto"/>
      <w:sz w:val="20"/>
      <w:szCs w:val="20"/>
    </w:rPr>
  </w:style>
  <w:style w:type="character" w:customStyle="1" w:styleId="Edgar2CarCar">
    <w:name w:val="Edgar 2 Car Car"/>
    <w:basedOn w:val="Fuentedeprrafopredeter"/>
    <w:rsid w:val="004E5076"/>
    <w:rPr>
      <w:rFonts w:ascii="Arial Narrow" w:eastAsia="Arial Unicode MS" w:hAnsi="Arial Narrow" w:cs="Arial"/>
      <w:b/>
      <w:bCs/>
      <w:sz w:val="24"/>
      <w:szCs w:val="22"/>
      <w:lang w:val="es-ES" w:eastAsia="es-ES" w:bidi="ar-SA"/>
    </w:rPr>
  </w:style>
  <w:style w:type="character" w:customStyle="1" w:styleId="CarCar18">
    <w:name w:val="Car Car18"/>
    <w:basedOn w:val="Fuentedeprrafopredeter"/>
    <w:rsid w:val="004E5076"/>
    <w:rPr>
      <w:rFonts w:ascii="Arial" w:eastAsia="MS Mincho" w:hAnsi="Arial"/>
      <w:b/>
      <w:sz w:val="24"/>
      <w:u w:val="single"/>
      <w:lang w:val="es-PE"/>
    </w:rPr>
  </w:style>
  <w:style w:type="paragraph" w:customStyle="1" w:styleId="Prrafodelista11">
    <w:name w:val="Párrafo de lista11"/>
    <w:basedOn w:val="Normal"/>
    <w:rsid w:val="004E5076"/>
    <w:pPr>
      <w:widowControl/>
      <w:ind w:left="708"/>
    </w:pPr>
    <w:rPr>
      <w:rFonts w:ascii="Calibri" w:eastAsia="Calibri" w:hAnsi="Calibri" w:cs="Calibri"/>
      <w:sz w:val="24"/>
      <w:szCs w:val="24"/>
      <w:lang w:val="es-PE" w:eastAsia="es-ES"/>
    </w:rPr>
  </w:style>
  <w:style w:type="paragraph" w:customStyle="1" w:styleId="P-01">
    <w:name w:val="P-01"/>
    <w:basedOn w:val="Normal"/>
    <w:link w:val="P-01Car"/>
    <w:qFormat/>
    <w:rsid w:val="004E5076"/>
    <w:pPr>
      <w:widowControl/>
      <w:spacing w:before="240" w:after="240" w:line="276" w:lineRule="auto"/>
      <w:ind w:left="425"/>
      <w:jc w:val="both"/>
    </w:pPr>
    <w:rPr>
      <w:rFonts w:ascii="Calibri" w:eastAsia="Calibri" w:hAnsi="Calibri" w:cs="Times New Roman"/>
      <w:sz w:val="24"/>
      <w:szCs w:val="24"/>
      <w:lang w:val="es-PE" w:eastAsia="en-US"/>
    </w:rPr>
  </w:style>
  <w:style w:type="character" w:customStyle="1" w:styleId="P-01Car">
    <w:name w:val="P-01 Car"/>
    <w:basedOn w:val="Fuentedeprrafopredeter"/>
    <w:link w:val="P-01"/>
    <w:rsid w:val="004E5076"/>
    <w:rPr>
      <w:rFonts w:ascii="Calibri" w:eastAsia="Calibri" w:hAnsi="Calibri" w:cs="Times New Roman"/>
      <w:kern w:val="0"/>
      <w:sz w:val="24"/>
      <w:szCs w:val="24"/>
    </w:rPr>
  </w:style>
  <w:style w:type="paragraph" w:customStyle="1" w:styleId="V-01">
    <w:name w:val="V-01"/>
    <w:basedOn w:val="P-01"/>
    <w:link w:val="V-01Car"/>
    <w:qFormat/>
    <w:rsid w:val="004E5076"/>
    <w:pPr>
      <w:tabs>
        <w:tab w:val="num" w:pos="360"/>
        <w:tab w:val="num" w:pos="720"/>
      </w:tabs>
      <w:ind w:left="360" w:hanging="720"/>
    </w:pPr>
  </w:style>
  <w:style w:type="character" w:customStyle="1" w:styleId="V-01Car">
    <w:name w:val="V-01 Car"/>
    <w:basedOn w:val="Fuentedeprrafopredeter"/>
    <w:link w:val="V-01"/>
    <w:rsid w:val="004E5076"/>
    <w:rPr>
      <w:rFonts w:ascii="Calibri" w:eastAsia="Calibri" w:hAnsi="Calibri" w:cs="Times New Roman"/>
      <w:kern w:val="0"/>
      <w:sz w:val="24"/>
      <w:szCs w:val="24"/>
    </w:rPr>
  </w:style>
  <w:style w:type="paragraph" w:customStyle="1" w:styleId="Style15">
    <w:name w:val="Style 15"/>
    <w:basedOn w:val="Normal"/>
    <w:rsid w:val="004E5076"/>
    <w:pPr>
      <w:autoSpaceDE w:val="0"/>
      <w:autoSpaceDN w:val="0"/>
      <w:ind w:left="360"/>
    </w:pPr>
    <w:rPr>
      <w:rFonts w:ascii="Times New Roman" w:eastAsia="Times New Roman" w:hAnsi="Times New Roman" w:cs="Times New Roman"/>
      <w:sz w:val="24"/>
      <w:szCs w:val="24"/>
      <w:lang w:val="es-PE" w:eastAsia="es-ES"/>
    </w:rPr>
  </w:style>
  <w:style w:type="paragraph" w:customStyle="1" w:styleId="Style17">
    <w:name w:val="Style 17"/>
    <w:basedOn w:val="Normal"/>
    <w:rsid w:val="004E5076"/>
    <w:pPr>
      <w:autoSpaceDE w:val="0"/>
      <w:autoSpaceDN w:val="0"/>
      <w:adjustRightInd w:val="0"/>
    </w:pPr>
    <w:rPr>
      <w:rFonts w:ascii="Times New Roman" w:eastAsia="Times New Roman" w:hAnsi="Times New Roman" w:cs="Times New Roman"/>
      <w:sz w:val="24"/>
      <w:szCs w:val="24"/>
      <w:lang w:val="es-PE" w:eastAsia="es-ES"/>
    </w:rPr>
  </w:style>
  <w:style w:type="character" w:customStyle="1" w:styleId="T-02Car">
    <w:name w:val="T-02 Car"/>
    <w:basedOn w:val="Fuentedeprrafopredeter"/>
    <w:link w:val="T-02"/>
    <w:rsid w:val="004E5076"/>
    <w:rPr>
      <w:rFonts w:ascii="Arial" w:eastAsia="Times New Roman" w:hAnsi="Arial" w:cs="Times New Roman"/>
      <w:b/>
      <w:kern w:val="0"/>
      <w:sz w:val="24"/>
      <w:szCs w:val="24"/>
      <w:lang w:val="es-ES" w:eastAsia="es-ES"/>
    </w:rPr>
  </w:style>
  <w:style w:type="character" w:customStyle="1" w:styleId="Estilo9Car">
    <w:name w:val="Estilo9 Car"/>
    <w:basedOn w:val="T-02Car"/>
    <w:rsid w:val="004E5076"/>
    <w:rPr>
      <w:rFonts w:ascii="Arial" w:eastAsia="Times New Roman" w:hAnsi="Arial" w:cs="Times New Roman"/>
      <w:b/>
      <w:kern w:val="0"/>
      <w:sz w:val="24"/>
      <w:szCs w:val="24"/>
      <w:lang w:val="es-ES" w:eastAsia="es-ES"/>
    </w:rPr>
  </w:style>
  <w:style w:type="numbering" w:customStyle="1" w:styleId="Estilo20">
    <w:name w:val="Estilo20"/>
    <w:uiPriority w:val="99"/>
    <w:rsid w:val="004E5076"/>
  </w:style>
  <w:style w:type="character" w:customStyle="1" w:styleId="Estilo10Car">
    <w:name w:val="Estilo10 Car"/>
    <w:rsid w:val="004E5076"/>
    <w:rPr>
      <w:rFonts w:ascii="Calibri" w:eastAsia="Calibri" w:hAnsi="Calibri" w:cs="Times New Roman"/>
    </w:rPr>
  </w:style>
  <w:style w:type="paragraph" w:customStyle="1" w:styleId="Numberedtext">
    <w:name w:val="Numbered text"/>
    <w:basedOn w:val="Textoindependiente"/>
    <w:rsid w:val="004E5076"/>
    <w:pPr>
      <w:widowControl/>
      <w:tabs>
        <w:tab w:val="num" w:pos="720"/>
      </w:tabs>
      <w:autoSpaceDE/>
      <w:autoSpaceDN/>
      <w:spacing w:after="120"/>
      <w:ind w:left="720" w:hanging="720"/>
      <w:jc w:val="both"/>
    </w:pPr>
    <w:rPr>
      <w:rFonts w:ascii="Calibri" w:eastAsia="Times New Roman" w:hAnsi="Calibri" w:cs="Times New Roman"/>
      <w:sz w:val="24"/>
      <w:szCs w:val="24"/>
      <w:lang w:val="en-US" w:eastAsia="en-NZ"/>
    </w:rPr>
  </w:style>
  <w:style w:type="paragraph" w:customStyle="1" w:styleId="BodyTextContinued">
    <w:name w:val="Body Text Continued"/>
    <w:basedOn w:val="Normal"/>
    <w:next w:val="Normal"/>
    <w:uiPriority w:val="2"/>
    <w:rsid w:val="004E5076"/>
    <w:pPr>
      <w:widowControl/>
      <w:adjustRightInd w:val="0"/>
      <w:spacing w:after="240"/>
      <w:jc w:val="both"/>
    </w:pPr>
    <w:rPr>
      <w:rFonts w:ascii="Times New Roman" w:eastAsia="Times New Roman" w:hAnsi="Times New Roman" w:cs="Times New Roman"/>
      <w:sz w:val="24"/>
      <w:szCs w:val="24"/>
      <w:lang w:val="en-US" w:eastAsia="en-US"/>
    </w:rPr>
  </w:style>
  <w:style w:type="paragraph" w:customStyle="1" w:styleId="Centered">
    <w:name w:val="Centered"/>
    <w:basedOn w:val="Normal"/>
    <w:next w:val="Normal"/>
    <w:qFormat/>
    <w:rsid w:val="004E5076"/>
    <w:pPr>
      <w:widowControl/>
      <w:adjustRightInd w:val="0"/>
      <w:spacing w:after="240"/>
      <w:jc w:val="center"/>
    </w:pPr>
    <w:rPr>
      <w:rFonts w:ascii="Times New Roman" w:eastAsia="Times New Roman" w:hAnsi="Times New Roman" w:cs="Times New Roman"/>
      <w:sz w:val="24"/>
      <w:szCs w:val="24"/>
      <w:lang w:val="en-US" w:eastAsia="en-US"/>
    </w:rPr>
  </w:style>
  <w:style w:type="paragraph" w:customStyle="1" w:styleId="Address">
    <w:name w:val="Address"/>
    <w:basedOn w:val="BodyTextContinued"/>
    <w:rsid w:val="004E5076"/>
    <w:pPr>
      <w:jc w:val="left"/>
    </w:pPr>
  </w:style>
  <w:style w:type="paragraph" w:customStyle="1" w:styleId="textodenotaalp1">
    <w:name w:val="texto de nota al p1"/>
    <w:basedOn w:val="Normal"/>
    <w:next w:val="Textonotapie"/>
    <w:uiPriority w:val="99"/>
    <w:unhideWhenUsed/>
    <w:rsid w:val="004E5076"/>
    <w:pPr>
      <w:widowControl/>
      <w:jc w:val="both"/>
    </w:pPr>
    <w:rPr>
      <w:rFonts w:asciiTheme="minorHAnsi" w:eastAsiaTheme="minorHAnsi" w:hAnsiTheme="minorHAnsi" w:cstheme="minorBidi"/>
      <w:sz w:val="20"/>
      <w:szCs w:val="20"/>
      <w:lang w:val="es-PE" w:eastAsia="en-US"/>
    </w:rPr>
  </w:style>
  <w:style w:type="table" w:customStyle="1" w:styleId="TableGrid19">
    <w:name w:val="Table Grid19"/>
    <w:basedOn w:val="Tablanormal"/>
    <w:next w:val="Tablaconcuadrcula"/>
    <w:uiPriority w:val="59"/>
    <w:rsid w:val="004E5076"/>
    <w:pPr>
      <w:spacing w:before="120" w:after="120"/>
      <w:ind w:left="1134"/>
      <w:jc w:val="both"/>
    </w:pPr>
    <w:rPr>
      <w:rFonts w:ascii="Times New Roman" w:eastAsia="Times New Roman" w:hAnsi="Times New Roman" w:cs="Times New Roman"/>
      <w:sz w:val="20"/>
      <w:szCs w:val="20"/>
      <w:lang w:val="es-C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4E5076"/>
    <w:rPr>
      <w:lang w:val="es-H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Sombreadoclaro-nfasis11">
    <w:name w:val="Sombreado claro - Énfasis 11"/>
    <w:basedOn w:val="Tablanormal"/>
    <w:uiPriority w:val="60"/>
    <w:rsid w:val="004E5076"/>
    <w:rPr>
      <w:rFonts w:eastAsia="MS Mincho"/>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Sombreadomedio12">
    <w:name w:val="Sombreado medio 12"/>
    <w:basedOn w:val="Tablanormal"/>
    <w:uiPriority w:val="63"/>
    <w:rsid w:val="004E5076"/>
    <w:rPr>
      <w:rFonts w:eastAsiaTheme="minorEastAsia"/>
      <w:sz w:val="24"/>
      <w:szCs w:val="24"/>
      <w:lang w:val="en-US" w:eastAsia="es-E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arraf2">
    <w:name w:val="Parraf. 2"/>
    <w:basedOn w:val="Tit2"/>
    <w:link w:val="Parraf2Car"/>
    <w:qFormat/>
    <w:rsid w:val="004E5076"/>
    <w:pPr>
      <w:keepNext w:val="0"/>
      <w:keepLines w:val="0"/>
      <w:tabs>
        <w:tab w:val="clear" w:pos="360"/>
        <w:tab w:val="clear" w:pos="567"/>
      </w:tabs>
      <w:spacing w:before="120"/>
      <w:ind w:left="709" w:firstLine="0"/>
      <w:outlineLvl w:val="9"/>
    </w:pPr>
    <w:rPr>
      <w:b/>
      <w:bCs w:val="0"/>
      <w:lang w:eastAsia="x-none"/>
    </w:rPr>
  </w:style>
  <w:style w:type="character" w:customStyle="1" w:styleId="Parraf2Car">
    <w:name w:val="Parraf. 2 Car"/>
    <w:link w:val="Parraf2"/>
    <w:rsid w:val="004E5076"/>
    <w:rPr>
      <w:rFonts w:ascii="Tahoma" w:eastAsia="Times New Roman" w:hAnsi="Tahoma" w:cs="Times New Roman"/>
      <w:b/>
      <w:noProof/>
      <w:spacing w:val="-4"/>
      <w:kern w:val="28"/>
      <w:sz w:val="20"/>
      <w:szCs w:val="20"/>
      <w:lang w:val="x-none" w:eastAsia="x-none"/>
    </w:rPr>
  </w:style>
  <w:style w:type="paragraph" w:customStyle="1" w:styleId="Tit2">
    <w:name w:val="Tit. 2"/>
    <w:basedOn w:val="Tit1"/>
    <w:next w:val="Parraf2"/>
    <w:link w:val="Tit2Car"/>
    <w:qFormat/>
    <w:rsid w:val="004E5076"/>
    <w:pPr>
      <w:tabs>
        <w:tab w:val="clear" w:pos="720"/>
        <w:tab w:val="num" w:pos="360"/>
        <w:tab w:val="left" w:pos="567"/>
        <w:tab w:val="num" w:pos="1440"/>
      </w:tabs>
      <w:ind w:left="1440" w:hanging="360"/>
      <w:outlineLvl w:val="1"/>
    </w:pPr>
    <w:rPr>
      <w:b w:val="0"/>
      <w:lang w:val="x-none"/>
    </w:rPr>
  </w:style>
  <w:style w:type="character" w:customStyle="1" w:styleId="Tit2Car">
    <w:name w:val="Tit. 2 Car"/>
    <w:link w:val="Tit2"/>
    <w:rsid w:val="004E5076"/>
    <w:rPr>
      <w:rFonts w:ascii="Tahoma" w:eastAsia="Times New Roman" w:hAnsi="Tahoma" w:cs="Times New Roman"/>
      <w:bCs/>
      <w:noProof/>
      <w:spacing w:val="-4"/>
      <w:kern w:val="28"/>
      <w:sz w:val="20"/>
      <w:szCs w:val="20"/>
      <w:lang w:val="x-none" w:eastAsia="es-ES"/>
    </w:rPr>
  </w:style>
  <w:style w:type="paragraph" w:customStyle="1" w:styleId="Tit3">
    <w:name w:val="Tit. 3"/>
    <w:basedOn w:val="Tit1"/>
    <w:next w:val="Parraf3"/>
    <w:link w:val="Tit3Car"/>
    <w:qFormat/>
    <w:rsid w:val="004E5076"/>
    <w:pPr>
      <w:tabs>
        <w:tab w:val="clear" w:pos="720"/>
        <w:tab w:val="num" w:pos="2160"/>
      </w:tabs>
      <w:ind w:left="2160"/>
      <w:outlineLvl w:val="2"/>
    </w:pPr>
    <w:rPr>
      <w:b w:val="0"/>
      <w:lang w:val="x-none"/>
    </w:rPr>
  </w:style>
  <w:style w:type="character" w:customStyle="1" w:styleId="Tit3Car">
    <w:name w:val="Tit. 3 Car"/>
    <w:link w:val="Tit3"/>
    <w:rsid w:val="004E5076"/>
    <w:rPr>
      <w:rFonts w:ascii="Tahoma" w:eastAsia="Times New Roman" w:hAnsi="Tahoma" w:cs="Times New Roman"/>
      <w:bCs/>
      <w:noProof/>
      <w:spacing w:val="-4"/>
      <w:kern w:val="28"/>
      <w:sz w:val="20"/>
      <w:szCs w:val="20"/>
      <w:lang w:val="x-none" w:eastAsia="es-ES"/>
    </w:rPr>
  </w:style>
  <w:style w:type="paragraph" w:customStyle="1" w:styleId="Parraf3">
    <w:name w:val="Parraf. 3"/>
    <w:basedOn w:val="Parraf1"/>
    <w:link w:val="Parraf3Car"/>
    <w:qFormat/>
    <w:rsid w:val="004E5076"/>
    <w:pPr>
      <w:ind w:left="1134"/>
    </w:pPr>
  </w:style>
  <w:style w:type="character" w:customStyle="1" w:styleId="Parraf3Car">
    <w:name w:val="Parraf. 3 Car"/>
    <w:link w:val="Parraf3"/>
    <w:rsid w:val="004E5076"/>
    <w:rPr>
      <w:rFonts w:ascii="Tahoma" w:eastAsia="Times New Roman" w:hAnsi="Tahoma" w:cs="Times New Roman"/>
      <w:kern w:val="0"/>
      <w:sz w:val="20"/>
      <w:szCs w:val="20"/>
      <w:lang w:val="x-none" w:eastAsia="x-none"/>
    </w:rPr>
  </w:style>
  <w:style w:type="paragraph" w:customStyle="1" w:styleId="Tit1">
    <w:name w:val="Tit. 1"/>
    <w:basedOn w:val="Ttulo1"/>
    <w:next w:val="Parraf1"/>
    <w:link w:val="Tit1Car"/>
    <w:qFormat/>
    <w:rsid w:val="004E5076"/>
    <w:pPr>
      <w:tabs>
        <w:tab w:val="num" w:pos="720"/>
      </w:tabs>
      <w:spacing w:before="200" w:after="120"/>
      <w:ind w:left="720" w:right="170" w:hanging="720"/>
      <w:jc w:val="both"/>
    </w:pPr>
    <w:rPr>
      <w:rFonts w:ascii="Tahoma" w:eastAsia="Times New Roman" w:hAnsi="Tahoma" w:cs="Times New Roman"/>
      <w:b/>
      <w:bCs/>
      <w:noProof/>
      <w:color w:val="auto"/>
      <w:spacing w:val="-4"/>
      <w:kern w:val="28"/>
      <w:sz w:val="20"/>
      <w:szCs w:val="20"/>
      <w:lang w:eastAsia="es-ES"/>
    </w:rPr>
  </w:style>
  <w:style w:type="character" w:customStyle="1" w:styleId="Tit1Car">
    <w:name w:val="Tit. 1 Car"/>
    <w:link w:val="Tit1"/>
    <w:rsid w:val="004E5076"/>
    <w:rPr>
      <w:rFonts w:ascii="Tahoma" w:eastAsia="Times New Roman" w:hAnsi="Tahoma" w:cs="Times New Roman"/>
      <w:b/>
      <w:bCs/>
      <w:noProof/>
      <w:spacing w:val="-4"/>
      <w:kern w:val="28"/>
      <w:sz w:val="20"/>
      <w:szCs w:val="20"/>
      <w:lang w:val="es-ES" w:eastAsia="es-ES"/>
    </w:rPr>
  </w:style>
  <w:style w:type="paragraph" w:customStyle="1" w:styleId="Tit4">
    <w:name w:val="Tit. 4"/>
    <w:basedOn w:val="Tit3"/>
    <w:next w:val="Parraf4"/>
    <w:link w:val="Tit4Car"/>
    <w:qFormat/>
    <w:rsid w:val="004E5076"/>
    <w:pPr>
      <w:numPr>
        <w:ilvl w:val="3"/>
      </w:numPr>
      <w:tabs>
        <w:tab w:val="left" w:pos="709"/>
        <w:tab w:val="num" w:pos="2160"/>
        <w:tab w:val="left" w:pos="2552"/>
      </w:tabs>
      <w:ind w:left="2160" w:hanging="720"/>
      <w:outlineLvl w:val="3"/>
    </w:pPr>
    <w:rPr>
      <w:b/>
    </w:rPr>
  </w:style>
  <w:style w:type="character" w:customStyle="1" w:styleId="Tit4Car">
    <w:name w:val="Tit. 4 Car"/>
    <w:basedOn w:val="Tit3Car"/>
    <w:link w:val="Tit4"/>
    <w:rsid w:val="004E5076"/>
    <w:rPr>
      <w:rFonts w:ascii="Tahoma" w:eastAsia="Times New Roman" w:hAnsi="Tahoma" w:cs="Times New Roman"/>
      <w:b/>
      <w:bCs/>
      <w:noProof/>
      <w:spacing w:val="-4"/>
      <w:kern w:val="28"/>
      <w:sz w:val="20"/>
      <w:szCs w:val="20"/>
      <w:lang w:val="x-none" w:eastAsia="es-ES"/>
    </w:rPr>
  </w:style>
  <w:style w:type="paragraph" w:customStyle="1" w:styleId="Parraf1">
    <w:name w:val="Parraf. 1"/>
    <w:basedOn w:val="Textoindependiente"/>
    <w:link w:val="Parraf1Car"/>
    <w:qFormat/>
    <w:rsid w:val="004E5076"/>
    <w:pPr>
      <w:widowControl/>
      <w:autoSpaceDE/>
      <w:autoSpaceDN/>
      <w:spacing w:before="120" w:after="120"/>
      <w:ind w:left="709"/>
      <w:jc w:val="both"/>
    </w:pPr>
    <w:rPr>
      <w:rFonts w:ascii="Tahoma" w:eastAsia="Times New Roman" w:hAnsi="Tahoma" w:cs="Times New Roman"/>
      <w:sz w:val="20"/>
      <w:szCs w:val="20"/>
      <w:lang w:val="x-none" w:eastAsia="x-none"/>
    </w:rPr>
  </w:style>
  <w:style w:type="character" w:customStyle="1" w:styleId="Parraf1Car">
    <w:name w:val="Parraf. 1 Car"/>
    <w:link w:val="Parraf1"/>
    <w:rsid w:val="004E5076"/>
    <w:rPr>
      <w:rFonts w:ascii="Tahoma" w:eastAsia="Times New Roman" w:hAnsi="Tahoma" w:cs="Times New Roman"/>
      <w:kern w:val="0"/>
      <w:sz w:val="20"/>
      <w:szCs w:val="20"/>
      <w:lang w:val="x-none" w:eastAsia="x-none"/>
    </w:rPr>
  </w:style>
  <w:style w:type="paragraph" w:customStyle="1" w:styleId="Parraf4">
    <w:name w:val="Parraf. 4"/>
    <w:basedOn w:val="Parraf3"/>
    <w:link w:val="Parraf4Car"/>
    <w:qFormat/>
    <w:rsid w:val="004E5076"/>
    <w:pPr>
      <w:tabs>
        <w:tab w:val="left" w:pos="851"/>
      </w:tabs>
      <w:ind w:left="1843"/>
    </w:pPr>
    <w:rPr>
      <w:noProof/>
    </w:rPr>
  </w:style>
  <w:style w:type="character" w:customStyle="1" w:styleId="Parraf4Car">
    <w:name w:val="Parraf. 4 Car"/>
    <w:link w:val="Parraf4"/>
    <w:rsid w:val="004E5076"/>
    <w:rPr>
      <w:rFonts w:ascii="Tahoma" w:eastAsia="Times New Roman" w:hAnsi="Tahoma" w:cs="Times New Roman"/>
      <w:noProof/>
      <w:kern w:val="0"/>
      <w:sz w:val="20"/>
      <w:szCs w:val="20"/>
      <w:lang w:val="x-none" w:eastAsia="x-none"/>
    </w:rPr>
  </w:style>
  <w:style w:type="character" w:customStyle="1" w:styleId="Estilo5Car">
    <w:name w:val="Estilo5 Car"/>
    <w:rsid w:val="004E5076"/>
    <w:rPr>
      <w:rFonts w:ascii="Arial" w:eastAsia="Times New Roman" w:hAnsi="Arial" w:cs="Times New Roman"/>
      <w:szCs w:val="20"/>
      <w:lang w:val="x-none" w:eastAsia="es-ES"/>
    </w:rPr>
  </w:style>
  <w:style w:type="paragraph" w:customStyle="1" w:styleId="Tit6">
    <w:name w:val="Tit. 6"/>
    <w:basedOn w:val="Tit4"/>
    <w:next w:val="Parraf5"/>
    <w:link w:val="Tit6Car"/>
    <w:qFormat/>
    <w:rsid w:val="004E5076"/>
    <w:pPr>
      <w:numPr>
        <w:ilvl w:val="0"/>
      </w:numPr>
      <w:tabs>
        <w:tab w:val="clear" w:pos="709"/>
        <w:tab w:val="left" w:pos="851"/>
        <w:tab w:val="num" w:pos="2160"/>
      </w:tabs>
      <w:ind w:left="720" w:hanging="720"/>
      <w:outlineLvl w:val="4"/>
    </w:pPr>
  </w:style>
  <w:style w:type="character" w:customStyle="1" w:styleId="Tit6Car">
    <w:name w:val="Tit. 6 Car"/>
    <w:basedOn w:val="Tit4Car"/>
    <w:link w:val="Tit6"/>
    <w:rsid w:val="004E5076"/>
    <w:rPr>
      <w:rFonts w:ascii="Tahoma" w:eastAsia="Times New Roman" w:hAnsi="Tahoma" w:cs="Times New Roman"/>
      <w:b/>
      <w:bCs/>
      <w:noProof/>
      <w:spacing w:val="-4"/>
      <w:kern w:val="28"/>
      <w:sz w:val="20"/>
      <w:szCs w:val="20"/>
      <w:lang w:val="x-none" w:eastAsia="es-ES"/>
    </w:rPr>
  </w:style>
  <w:style w:type="paragraph" w:customStyle="1" w:styleId="TT1">
    <w:name w:val="TT1"/>
    <w:basedOn w:val="Tit1"/>
    <w:link w:val="TT1Car"/>
    <w:qFormat/>
    <w:rsid w:val="004E5076"/>
    <w:rPr>
      <w:rFonts w:cs="Tahoma"/>
    </w:rPr>
  </w:style>
  <w:style w:type="character" w:customStyle="1" w:styleId="TT1Car">
    <w:name w:val="TT1 Car"/>
    <w:link w:val="TT1"/>
    <w:rsid w:val="004E5076"/>
    <w:rPr>
      <w:rFonts w:ascii="Tahoma" w:eastAsia="Times New Roman" w:hAnsi="Tahoma" w:cs="Tahoma"/>
      <w:b/>
      <w:bCs/>
      <w:noProof/>
      <w:spacing w:val="-4"/>
      <w:kern w:val="28"/>
      <w:sz w:val="20"/>
      <w:szCs w:val="20"/>
      <w:lang w:val="es-ES" w:eastAsia="es-ES"/>
    </w:rPr>
  </w:style>
  <w:style w:type="paragraph" w:customStyle="1" w:styleId="TT2">
    <w:name w:val="TT2"/>
    <w:basedOn w:val="TT1"/>
    <w:link w:val="TT2Car"/>
    <w:qFormat/>
    <w:rsid w:val="004E5076"/>
    <w:pPr>
      <w:numPr>
        <w:ilvl w:val="1"/>
      </w:numPr>
      <w:tabs>
        <w:tab w:val="num" w:pos="720"/>
      </w:tabs>
      <w:spacing w:after="0"/>
      <w:ind w:left="720" w:hanging="720"/>
    </w:pPr>
    <w:rPr>
      <w:rFonts w:cs="Times New Roman"/>
    </w:rPr>
  </w:style>
  <w:style w:type="character" w:customStyle="1" w:styleId="TT2Car">
    <w:name w:val="TT2 Car"/>
    <w:link w:val="TT2"/>
    <w:rsid w:val="004E5076"/>
    <w:rPr>
      <w:rFonts w:ascii="Tahoma" w:eastAsia="Times New Roman" w:hAnsi="Tahoma" w:cs="Times New Roman"/>
      <w:b/>
      <w:bCs/>
      <w:noProof/>
      <w:spacing w:val="-4"/>
      <w:kern w:val="28"/>
      <w:sz w:val="20"/>
      <w:szCs w:val="20"/>
      <w:lang w:val="es-ES" w:eastAsia="es-ES"/>
    </w:rPr>
  </w:style>
  <w:style w:type="paragraph" w:customStyle="1" w:styleId="TT3">
    <w:name w:val="TT3"/>
    <w:basedOn w:val="TT2"/>
    <w:link w:val="TT3Car"/>
    <w:qFormat/>
    <w:rsid w:val="004E5076"/>
    <w:pPr>
      <w:keepLines w:val="0"/>
      <w:numPr>
        <w:ilvl w:val="2"/>
      </w:numPr>
      <w:tabs>
        <w:tab w:val="num" w:pos="720"/>
      </w:tabs>
      <w:spacing w:after="120"/>
      <w:ind w:left="720" w:hanging="720"/>
    </w:pPr>
  </w:style>
  <w:style w:type="character" w:customStyle="1" w:styleId="TT3Car">
    <w:name w:val="TT3 Car"/>
    <w:link w:val="TT3"/>
    <w:rsid w:val="004E5076"/>
    <w:rPr>
      <w:rFonts w:ascii="Tahoma" w:eastAsia="Times New Roman" w:hAnsi="Tahoma" w:cs="Times New Roman"/>
      <w:b/>
      <w:bCs/>
      <w:noProof/>
      <w:spacing w:val="-4"/>
      <w:kern w:val="28"/>
      <w:sz w:val="20"/>
      <w:szCs w:val="20"/>
      <w:lang w:val="es-ES" w:eastAsia="es-ES"/>
    </w:rPr>
  </w:style>
  <w:style w:type="paragraph" w:customStyle="1" w:styleId="TT4">
    <w:name w:val="TT4"/>
    <w:basedOn w:val="TT3"/>
    <w:qFormat/>
    <w:rsid w:val="004E5076"/>
    <w:pPr>
      <w:numPr>
        <w:ilvl w:val="3"/>
      </w:numPr>
      <w:tabs>
        <w:tab w:val="num" w:pos="360"/>
        <w:tab w:val="num" w:pos="720"/>
        <w:tab w:val="left" w:pos="2410"/>
      </w:tabs>
      <w:ind w:left="4320" w:hanging="360"/>
    </w:pPr>
    <w:rPr>
      <w:lang w:val="es-PE"/>
    </w:rPr>
  </w:style>
  <w:style w:type="paragraph" w:customStyle="1" w:styleId="Parrafo20">
    <w:name w:val="Parrafo_2"/>
    <w:basedOn w:val="Normal"/>
    <w:link w:val="Parrafo2Car0"/>
    <w:qFormat/>
    <w:rsid w:val="004E5076"/>
    <w:pPr>
      <w:widowControl/>
      <w:spacing w:before="120" w:after="120"/>
      <w:ind w:left="1418" w:right="170"/>
      <w:jc w:val="both"/>
    </w:pPr>
    <w:rPr>
      <w:rFonts w:ascii="Tahoma" w:eastAsia="Times New Roman" w:hAnsi="Tahoma" w:cs="Times New Roman"/>
      <w:sz w:val="20"/>
      <w:szCs w:val="20"/>
      <w:lang w:val="x-none" w:eastAsia="es-ES"/>
    </w:rPr>
  </w:style>
  <w:style w:type="character" w:customStyle="1" w:styleId="Parrafo2Car0">
    <w:name w:val="Parrafo_2 Car"/>
    <w:link w:val="Parrafo20"/>
    <w:rsid w:val="004E5076"/>
    <w:rPr>
      <w:rFonts w:ascii="Tahoma" w:eastAsia="Times New Roman" w:hAnsi="Tahoma" w:cs="Times New Roman"/>
      <w:kern w:val="0"/>
      <w:sz w:val="20"/>
      <w:szCs w:val="20"/>
      <w:lang w:val="x-none" w:eastAsia="es-ES"/>
    </w:rPr>
  </w:style>
  <w:style w:type="paragraph" w:customStyle="1" w:styleId="Parraf5">
    <w:name w:val="Parraf.5"/>
    <w:basedOn w:val="Parraf4"/>
    <w:link w:val="Parraf5Car"/>
    <w:qFormat/>
    <w:rsid w:val="004E5076"/>
    <w:rPr>
      <w:lang w:val="es-ES" w:eastAsia="es-ES"/>
    </w:rPr>
  </w:style>
  <w:style w:type="character" w:customStyle="1" w:styleId="Parraf5Car">
    <w:name w:val="Parraf.5 Car"/>
    <w:link w:val="Parraf5"/>
    <w:rsid w:val="004E5076"/>
    <w:rPr>
      <w:rFonts w:ascii="Tahoma" w:eastAsia="Times New Roman" w:hAnsi="Tahoma" w:cs="Times New Roman"/>
      <w:noProof/>
      <w:kern w:val="0"/>
      <w:sz w:val="20"/>
      <w:szCs w:val="20"/>
      <w:lang w:val="es-ES" w:eastAsia="es-ES"/>
    </w:rPr>
  </w:style>
  <w:style w:type="paragraph" w:customStyle="1" w:styleId="Parraf40">
    <w:name w:val="Parraf 4"/>
    <w:basedOn w:val="Parraf3"/>
    <w:link w:val="Parraf4Car0"/>
    <w:qFormat/>
    <w:rsid w:val="004E5076"/>
    <w:pPr>
      <w:ind w:left="992"/>
    </w:pPr>
  </w:style>
  <w:style w:type="character" w:customStyle="1" w:styleId="Parraf4Car0">
    <w:name w:val="Parraf 4 Car"/>
    <w:link w:val="Parraf40"/>
    <w:rsid w:val="004E5076"/>
    <w:rPr>
      <w:rFonts w:ascii="Tahoma" w:eastAsia="Times New Roman" w:hAnsi="Tahoma" w:cs="Times New Roman"/>
      <w:kern w:val="0"/>
      <w:sz w:val="20"/>
      <w:szCs w:val="20"/>
      <w:lang w:val="x-none" w:eastAsia="x-none"/>
    </w:rPr>
  </w:style>
  <w:style w:type="paragraph" w:customStyle="1" w:styleId="Tit4A">
    <w:name w:val="Tit.4_A"/>
    <w:basedOn w:val="Tit4"/>
    <w:link w:val="Tit4ACar"/>
    <w:qFormat/>
    <w:rsid w:val="004E5076"/>
    <w:pPr>
      <w:numPr>
        <w:ilvl w:val="0"/>
      </w:numPr>
      <w:tabs>
        <w:tab w:val="clear" w:pos="709"/>
        <w:tab w:val="left" w:pos="284"/>
        <w:tab w:val="num" w:pos="2160"/>
      </w:tabs>
      <w:ind w:left="720" w:hanging="720"/>
    </w:pPr>
  </w:style>
  <w:style w:type="character" w:customStyle="1" w:styleId="Tit4ACar">
    <w:name w:val="Tit.4_A Car"/>
    <w:link w:val="Tit4A"/>
    <w:rsid w:val="004E5076"/>
    <w:rPr>
      <w:rFonts w:ascii="Tahoma" w:eastAsia="Times New Roman" w:hAnsi="Tahoma" w:cs="Times New Roman"/>
      <w:b/>
      <w:bCs/>
      <w:noProof/>
      <w:spacing w:val="-4"/>
      <w:kern w:val="28"/>
      <w:sz w:val="20"/>
      <w:szCs w:val="20"/>
      <w:lang w:val="x-none" w:eastAsia="es-ES"/>
    </w:rPr>
  </w:style>
  <w:style w:type="paragraph" w:customStyle="1" w:styleId="Tit5a">
    <w:name w:val="Tit.5_a"/>
    <w:basedOn w:val="Tit6"/>
    <w:next w:val="Parraf5"/>
    <w:link w:val="Tit5aCar"/>
    <w:qFormat/>
    <w:rsid w:val="004E5076"/>
    <w:pPr>
      <w:tabs>
        <w:tab w:val="clear" w:pos="851"/>
      </w:tabs>
      <w:ind w:left="0" w:firstLine="0"/>
    </w:pPr>
  </w:style>
  <w:style w:type="character" w:customStyle="1" w:styleId="Tit5aCar">
    <w:name w:val="Tit.5_a Car"/>
    <w:link w:val="Tit5a"/>
    <w:rsid w:val="004E5076"/>
    <w:rPr>
      <w:rFonts w:ascii="Tahoma" w:eastAsia="Times New Roman" w:hAnsi="Tahoma" w:cs="Times New Roman"/>
      <w:b/>
      <w:bCs/>
      <w:noProof/>
      <w:spacing w:val="-4"/>
      <w:kern w:val="28"/>
      <w:sz w:val="20"/>
      <w:szCs w:val="20"/>
      <w:lang w:val="x-none" w:eastAsia="es-ES"/>
    </w:rPr>
  </w:style>
  <w:style w:type="paragraph" w:customStyle="1" w:styleId="Tit5">
    <w:name w:val="Tit. 5"/>
    <w:basedOn w:val="Tit4"/>
    <w:link w:val="Tit5Car"/>
    <w:qFormat/>
    <w:rsid w:val="004E5076"/>
    <w:pPr>
      <w:numPr>
        <w:ilvl w:val="4"/>
      </w:numPr>
      <w:tabs>
        <w:tab w:val="clear" w:pos="2552"/>
        <w:tab w:val="num" w:pos="2160"/>
        <w:tab w:val="left" w:pos="2693"/>
      </w:tabs>
      <w:ind w:left="2160" w:hanging="720"/>
    </w:pPr>
  </w:style>
  <w:style w:type="character" w:customStyle="1" w:styleId="Tit5Car">
    <w:name w:val="Tit. 5 Car"/>
    <w:basedOn w:val="Tit4Car"/>
    <w:link w:val="Tit5"/>
    <w:rsid w:val="004E5076"/>
    <w:rPr>
      <w:rFonts w:ascii="Tahoma" w:eastAsia="Times New Roman" w:hAnsi="Tahoma" w:cs="Times New Roman"/>
      <w:b/>
      <w:bCs/>
      <w:noProof/>
      <w:spacing w:val="-4"/>
      <w:kern w:val="28"/>
      <w:sz w:val="20"/>
      <w:szCs w:val="20"/>
      <w:lang w:val="x-none" w:eastAsia="es-ES"/>
    </w:rPr>
  </w:style>
  <w:style w:type="paragraph" w:customStyle="1" w:styleId="Parrafo1">
    <w:name w:val="Parrafo 1"/>
    <w:basedOn w:val="Normal"/>
    <w:link w:val="Parrafo1Car"/>
    <w:qFormat/>
    <w:rsid w:val="004E5076"/>
    <w:pPr>
      <w:widowControl/>
      <w:spacing w:before="120" w:after="120"/>
      <w:ind w:left="720" w:right="170"/>
      <w:jc w:val="both"/>
    </w:pPr>
    <w:rPr>
      <w:rFonts w:ascii="Tahoma" w:eastAsia="Times New Roman" w:hAnsi="Tahoma" w:cs="Times New Roman"/>
      <w:iCs/>
      <w:sz w:val="20"/>
      <w:szCs w:val="20"/>
      <w:lang w:val="x-none" w:eastAsia="es-ES"/>
    </w:rPr>
  </w:style>
  <w:style w:type="character" w:customStyle="1" w:styleId="Parrafo1Car">
    <w:name w:val="Parrafo 1 Car"/>
    <w:link w:val="Parrafo1"/>
    <w:rsid w:val="004E5076"/>
    <w:rPr>
      <w:rFonts w:ascii="Tahoma" w:eastAsia="Times New Roman" w:hAnsi="Tahoma" w:cs="Times New Roman"/>
      <w:iCs/>
      <w:kern w:val="0"/>
      <w:sz w:val="20"/>
      <w:szCs w:val="20"/>
      <w:lang w:val="x-none" w:eastAsia="es-ES"/>
    </w:rPr>
  </w:style>
  <w:style w:type="paragraph" w:customStyle="1" w:styleId="PT1">
    <w:name w:val="PT1"/>
    <w:basedOn w:val="Parrafo1"/>
    <w:link w:val="PT1Car"/>
    <w:qFormat/>
    <w:rsid w:val="004E5076"/>
    <w:pPr>
      <w:ind w:left="426"/>
    </w:pPr>
  </w:style>
  <w:style w:type="character" w:customStyle="1" w:styleId="PT1Car">
    <w:name w:val="PT1 Car"/>
    <w:link w:val="PT1"/>
    <w:rsid w:val="004E5076"/>
    <w:rPr>
      <w:rFonts w:ascii="Tahoma" w:eastAsia="Times New Roman" w:hAnsi="Tahoma" w:cs="Times New Roman"/>
      <w:iCs/>
      <w:kern w:val="0"/>
      <w:sz w:val="20"/>
      <w:szCs w:val="20"/>
      <w:lang w:val="x-none" w:eastAsia="es-ES"/>
    </w:rPr>
  </w:style>
  <w:style w:type="paragraph" w:customStyle="1" w:styleId="Parraf30">
    <w:name w:val="Parraf 3"/>
    <w:basedOn w:val="Parrafo2"/>
    <w:link w:val="Parraf3Car0"/>
    <w:qFormat/>
    <w:rsid w:val="004E5076"/>
    <w:pPr>
      <w:autoSpaceDE/>
      <w:autoSpaceDN/>
      <w:adjustRightInd/>
      <w:spacing w:before="120" w:after="120" w:line="240" w:lineRule="auto"/>
      <w:ind w:left="2124" w:right="170"/>
    </w:pPr>
    <w:rPr>
      <w:rFonts w:ascii="Tahoma" w:hAnsi="Tahoma" w:cs="Times New Roman"/>
      <w:sz w:val="20"/>
      <w:szCs w:val="20"/>
      <w:lang w:val="x-none" w:eastAsia="es-ES"/>
    </w:rPr>
  </w:style>
  <w:style w:type="character" w:customStyle="1" w:styleId="Parraf3Car0">
    <w:name w:val="Parraf 3 Car"/>
    <w:link w:val="Parraf30"/>
    <w:rsid w:val="004E5076"/>
    <w:rPr>
      <w:rFonts w:ascii="Tahoma" w:eastAsia="Times New Roman" w:hAnsi="Tahoma" w:cs="Times New Roman"/>
      <w:kern w:val="0"/>
      <w:sz w:val="20"/>
      <w:szCs w:val="20"/>
      <w:lang w:val="x-none" w:eastAsia="es-ES"/>
    </w:rPr>
  </w:style>
  <w:style w:type="paragraph" w:customStyle="1" w:styleId="Parrafo30">
    <w:name w:val="Parrafo3"/>
    <w:basedOn w:val="Normal"/>
    <w:qFormat/>
    <w:rsid w:val="004E5076"/>
    <w:pPr>
      <w:widowControl/>
      <w:tabs>
        <w:tab w:val="left" w:pos="0"/>
      </w:tabs>
      <w:spacing w:line="240" w:lineRule="exact"/>
      <w:ind w:left="360"/>
      <w:jc w:val="both"/>
    </w:pPr>
    <w:rPr>
      <w:rFonts w:ascii="Tahoma" w:eastAsia="Times New Roman" w:hAnsi="Tahoma" w:cs="Tahoma"/>
      <w:sz w:val="20"/>
      <w:szCs w:val="20"/>
      <w:lang w:val="es-ES_tradnl" w:eastAsia="es-ES"/>
    </w:rPr>
  </w:style>
  <w:style w:type="paragraph" w:customStyle="1" w:styleId="subtitulo1">
    <w:name w:val="subtitulo1"/>
    <w:basedOn w:val="Normal"/>
    <w:qFormat/>
    <w:rsid w:val="004E5076"/>
    <w:pPr>
      <w:widowControl/>
      <w:tabs>
        <w:tab w:val="left" w:pos="284"/>
        <w:tab w:val="num" w:pos="720"/>
      </w:tabs>
      <w:spacing w:after="120"/>
      <w:ind w:left="720" w:hanging="720"/>
      <w:jc w:val="both"/>
    </w:pPr>
    <w:rPr>
      <w:rFonts w:ascii="Tahoma" w:eastAsia="Times New Roman" w:hAnsi="Tahoma" w:cs="Tahoma"/>
      <w:b/>
      <w:sz w:val="20"/>
      <w:szCs w:val="20"/>
      <w:lang w:val="es-ES_tradnl" w:eastAsia="es-ES"/>
    </w:rPr>
  </w:style>
  <w:style w:type="paragraph" w:customStyle="1" w:styleId="Subtitulo2">
    <w:name w:val="Subtitulo2"/>
    <w:basedOn w:val="Sangra2detindependiente"/>
    <w:qFormat/>
    <w:rsid w:val="004E5076"/>
    <w:pPr>
      <w:tabs>
        <w:tab w:val="num" w:pos="1440"/>
      </w:tabs>
      <w:autoSpaceDE/>
      <w:autoSpaceDN/>
      <w:adjustRightInd/>
      <w:spacing w:line="240" w:lineRule="auto"/>
      <w:ind w:left="1440" w:hanging="720"/>
      <w:jc w:val="both"/>
    </w:pPr>
    <w:rPr>
      <w:rFonts w:ascii="Tahoma" w:hAnsi="Tahoma" w:cs="Tahoma"/>
      <w:b/>
      <w:sz w:val="20"/>
      <w:szCs w:val="20"/>
      <w:lang w:val="es-ES_tradnl" w:eastAsia="es-ES"/>
    </w:rPr>
  </w:style>
  <w:style w:type="paragraph" w:customStyle="1" w:styleId="Subtitulo3">
    <w:name w:val="Subtitulo3"/>
    <w:basedOn w:val="Normal"/>
    <w:qFormat/>
    <w:rsid w:val="004E5076"/>
    <w:pPr>
      <w:widowControl/>
      <w:tabs>
        <w:tab w:val="num" w:pos="2160"/>
      </w:tabs>
      <w:spacing w:after="120"/>
      <w:ind w:left="2160" w:hanging="720"/>
      <w:jc w:val="both"/>
    </w:pPr>
    <w:rPr>
      <w:rFonts w:ascii="Tahoma" w:eastAsia="Times New Roman" w:hAnsi="Tahoma" w:cs="Tahoma"/>
      <w:b/>
      <w:sz w:val="20"/>
      <w:szCs w:val="20"/>
      <w:lang w:val="es-ES_tradnl" w:eastAsia="es-ES"/>
    </w:rPr>
  </w:style>
  <w:style w:type="paragraph" w:customStyle="1" w:styleId="Subtitulo4">
    <w:name w:val="Subtitulo4"/>
    <w:basedOn w:val="Normal"/>
    <w:qFormat/>
    <w:rsid w:val="004E5076"/>
    <w:pPr>
      <w:widowControl/>
      <w:tabs>
        <w:tab w:val="num" w:pos="2880"/>
      </w:tabs>
      <w:spacing w:line="240" w:lineRule="exact"/>
      <w:ind w:left="2880" w:hanging="720"/>
      <w:jc w:val="both"/>
    </w:pPr>
    <w:rPr>
      <w:rFonts w:ascii="Tahoma" w:eastAsia="Times New Roman" w:hAnsi="Tahoma" w:cs="Tahoma"/>
      <w:b/>
      <w:sz w:val="20"/>
      <w:szCs w:val="20"/>
      <w:lang w:val="es-ES_tradnl" w:eastAsia="es-ES"/>
    </w:rPr>
  </w:style>
  <w:style w:type="paragraph" w:customStyle="1" w:styleId="Subtitulo5">
    <w:name w:val="Subtitulo5"/>
    <w:basedOn w:val="Prrafodelista"/>
    <w:qFormat/>
    <w:rsid w:val="004E5076"/>
    <w:pPr>
      <w:numPr>
        <w:ilvl w:val="4"/>
        <w:numId w:val="28"/>
      </w:numPr>
      <w:spacing w:after="120"/>
      <w:jc w:val="both"/>
      <w:outlineLvl w:val="2"/>
    </w:pPr>
    <w:rPr>
      <w:rFonts w:ascii="Tahoma" w:eastAsia="Times New Roman" w:hAnsi="Tahoma" w:cs="Tahoma"/>
      <w:b/>
      <w:sz w:val="20"/>
      <w:szCs w:val="20"/>
      <w:lang w:eastAsia="es-ES"/>
    </w:rPr>
  </w:style>
  <w:style w:type="paragraph" w:customStyle="1" w:styleId="Parrafo4">
    <w:name w:val="Parrafo4"/>
    <w:basedOn w:val="Normal"/>
    <w:qFormat/>
    <w:rsid w:val="004E5076"/>
    <w:pPr>
      <w:widowControl/>
      <w:spacing w:line="240" w:lineRule="exact"/>
      <w:ind w:left="567"/>
      <w:jc w:val="both"/>
    </w:pPr>
    <w:rPr>
      <w:rFonts w:ascii="Tahoma" w:eastAsia="Times New Roman" w:hAnsi="Tahoma" w:cs="Tahoma"/>
      <w:sz w:val="20"/>
      <w:szCs w:val="20"/>
      <w:lang w:val="es-ES_tradnl" w:eastAsia="es-ES"/>
    </w:rPr>
  </w:style>
  <w:style w:type="character" w:customStyle="1" w:styleId="TitleChar">
    <w:name w:val="Title Char"/>
    <w:aliases w:val="Puesto Char"/>
    <w:basedOn w:val="Fuentedeprrafopredeter"/>
    <w:uiPriority w:val="10"/>
    <w:rsid w:val="004E5076"/>
    <w:rPr>
      <w:rFonts w:ascii="Arial" w:eastAsia="Arial" w:hAnsi="Arial" w:cs="Arial"/>
      <w:b/>
      <w:lang w:eastAsia="ja-JP"/>
    </w:rPr>
  </w:style>
  <w:style w:type="character" w:customStyle="1" w:styleId="normaltextrun">
    <w:name w:val="normaltextrun"/>
    <w:basedOn w:val="Fuentedeprrafopredeter"/>
    <w:rsid w:val="004E5076"/>
  </w:style>
  <w:style w:type="character" w:customStyle="1" w:styleId="eop">
    <w:name w:val="eop"/>
    <w:basedOn w:val="Fuentedeprrafopredeter"/>
    <w:rsid w:val="004E5076"/>
  </w:style>
  <w:style w:type="character" w:customStyle="1" w:styleId="Mencinsinresolver23">
    <w:name w:val="Mención sin resolver23"/>
    <w:basedOn w:val="Fuentedeprrafopredeter"/>
    <w:uiPriority w:val="99"/>
    <w:semiHidden/>
    <w:unhideWhenUsed/>
    <w:rsid w:val="004E5076"/>
    <w:rPr>
      <w:color w:val="605E5C"/>
      <w:shd w:val="clear" w:color="auto" w:fill="E1DFDD"/>
    </w:rPr>
  </w:style>
  <w:style w:type="character" w:customStyle="1" w:styleId="cf01">
    <w:name w:val="cf01"/>
    <w:basedOn w:val="Fuentedeprrafopredeter"/>
    <w:rsid w:val="004E5076"/>
    <w:rPr>
      <w:rFonts w:ascii="Segoe UI" w:hAnsi="Segoe UI" w:cs="Segoe UI" w:hint="default"/>
      <w:sz w:val="18"/>
      <w:szCs w:val="18"/>
    </w:rPr>
  </w:style>
  <w:style w:type="paragraph" w:customStyle="1" w:styleId="pf0">
    <w:name w:val="pf0"/>
    <w:basedOn w:val="Normal"/>
    <w:rsid w:val="004E5076"/>
    <w:pPr>
      <w:widowControl/>
      <w:spacing w:before="100" w:beforeAutospacing="1" w:after="100" w:afterAutospacing="1"/>
    </w:pPr>
    <w:rPr>
      <w:rFonts w:ascii="Times New Roman" w:eastAsia="Times New Roman" w:hAnsi="Times New Roman" w:cs="Times New Roman"/>
      <w:sz w:val="24"/>
      <w:szCs w:val="24"/>
      <w:lang w:val="es-PE"/>
    </w:rPr>
  </w:style>
  <w:style w:type="table" w:customStyle="1" w:styleId="56">
    <w:name w:val="56"/>
    <w:basedOn w:val="TableNormal4"/>
    <w:rsid w:val="004E5076"/>
    <w:tblPr>
      <w:tblStyleRowBandSize w:val="1"/>
      <w:tblStyleColBandSize w:val="1"/>
      <w:tblCellMar>
        <w:left w:w="115" w:type="dxa"/>
        <w:right w:w="115" w:type="dxa"/>
      </w:tblCellMar>
    </w:tblPr>
  </w:style>
  <w:style w:type="table" w:customStyle="1" w:styleId="55">
    <w:name w:val="55"/>
    <w:basedOn w:val="TableNormal4"/>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4">
    <w:name w:val="54"/>
    <w:basedOn w:val="TableNormal4"/>
    <w:rsid w:val="004E5076"/>
    <w:tblPr>
      <w:tblStyleRowBandSize w:val="1"/>
      <w:tblStyleColBandSize w:val="1"/>
      <w:tblCellMar>
        <w:left w:w="115" w:type="dxa"/>
        <w:right w:w="115" w:type="dxa"/>
      </w:tblCellMar>
    </w:tblPr>
  </w:style>
  <w:style w:type="table" w:customStyle="1" w:styleId="53">
    <w:name w:val="53"/>
    <w:basedOn w:val="TableNormal4"/>
    <w:rsid w:val="004E5076"/>
    <w:tblPr>
      <w:tblStyleRowBandSize w:val="1"/>
      <w:tblStyleColBandSize w:val="1"/>
      <w:tblCellMar>
        <w:left w:w="115" w:type="dxa"/>
        <w:right w:w="115" w:type="dxa"/>
      </w:tblCellMar>
    </w:tblPr>
  </w:style>
  <w:style w:type="character" w:customStyle="1" w:styleId="Mencinsinresolver24">
    <w:name w:val="Mención sin resolver24"/>
    <w:basedOn w:val="Fuentedeprrafopredeter"/>
    <w:uiPriority w:val="99"/>
    <w:semiHidden/>
    <w:unhideWhenUsed/>
    <w:rsid w:val="004E5076"/>
    <w:rPr>
      <w:color w:val="605E5C"/>
      <w:shd w:val="clear" w:color="auto" w:fill="E1DFDD"/>
    </w:rPr>
  </w:style>
  <w:style w:type="table" w:customStyle="1" w:styleId="52">
    <w:name w:val="52"/>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1">
    <w:name w:val="51"/>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50">
    <w:name w:val="50"/>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9">
    <w:name w:val="49"/>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8">
    <w:name w:val="48"/>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table" w:customStyle="1" w:styleId="47">
    <w:name w:val="47"/>
    <w:basedOn w:val="TableNormal3"/>
    <w:rsid w:val="004E5076"/>
    <w:pPr>
      <w:widowControl/>
      <w:spacing w:before="120" w:after="120" w:line="276" w:lineRule="auto"/>
      <w:ind w:left="1134"/>
      <w:jc w:val="both"/>
    </w:pPr>
    <w:rPr>
      <w:rFonts w:ascii="Cambria" w:eastAsia="Cambria" w:hAnsi="Cambria" w:cs="Cambria"/>
      <w:smallCaps/>
      <w:color w:val="366091"/>
      <w:sz w:val="24"/>
      <w:szCs w:val="24"/>
    </w:rPr>
    <w:tblPr>
      <w:tblStyleRowBandSize w:val="1"/>
      <w:tblStyleColBandSize w:val="1"/>
      <w:tblCellMar>
        <w:left w:w="115" w:type="dxa"/>
        <w:right w:w="115" w:type="dxa"/>
      </w:tblCellMar>
    </w:tblPr>
    <w:tcPr>
      <w:shd w:val="clear" w:color="auto" w:fill="B2C7CE"/>
      <w:vAlign w:val="center"/>
    </w:tcPr>
  </w:style>
  <w:style w:type="paragraph" w:customStyle="1" w:styleId="TITULO1">
    <w:name w:val="TITULO 1"/>
    <w:basedOn w:val="Normal"/>
    <w:link w:val="TITULO1Car"/>
    <w:qFormat/>
    <w:rsid w:val="004E5076"/>
    <w:pPr>
      <w:numPr>
        <w:numId w:val="1"/>
      </w:numPr>
      <w:pBdr>
        <w:top w:val="nil"/>
        <w:left w:val="nil"/>
        <w:bottom w:val="nil"/>
        <w:right w:val="nil"/>
        <w:between w:val="nil"/>
      </w:pBdr>
    </w:pPr>
    <w:rPr>
      <w:b/>
      <w:color w:val="000000"/>
    </w:rPr>
  </w:style>
  <w:style w:type="paragraph" w:customStyle="1" w:styleId="Subtitulo10">
    <w:name w:val="Subtitulo 1"/>
    <w:basedOn w:val="Normal"/>
    <w:link w:val="Subtitulo1Car"/>
    <w:qFormat/>
    <w:rsid w:val="004E5076"/>
    <w:pPr>
      <w:keepNext/>
      <w:keepLines/>
      <w:pBdr>
        <w:top w:val="nil"/>
        <w:left w:val="nil"/>
        <w:bottom w:val="nil"/>
        <w:right w:val="nil"/>
        <w:between w:val="nil"/>
      </w:pBdr>
      <w:spacing w:before="1" w:after="80" w:line="276" w:lineRule="auto"/>
      <w:jc w:val="both"/>
    </w:pPr>
    <w:rPr>
      <w:b/>
      <w:color w:val="000000"/>
    </w:rPr>
  </w:style>
  <w:style w:type="character" w:customStyle="1" w:styleId="TITULO1Car">
    <w:name w:val="TITULO 1 Car"/>
    <w:basedOn w:val="Fuentedeprrafopredeter"/>
    <w:link w:val="TITULO1"/>
    <w:rsid w:val="004E5076"/>
    <w:rPr>
      <w:b/>
      <w:color w:val="000000"/>
    </w:rPr>
  </w:style>
  <w:style w:type="paragraph" w:customStyle="1" w:styleId="TITULONG1">
    <w:name w:val="TITULO NG 1"/>
    <w:basedOn w:val="Ttulo1"/>
    <w:autoRedefine/>
    <w:qFormat/>
    <w:rsid w:val="004E5076"/>
    <w:pPr>
      <w:keepNext w:val="0"/>
      <w:keepLines w:val="0"/>
      <w:spacing w:before="0" w:after="0"/>
      <w:ind w:left="450" w:hanging="450"/>
    </w:pPr>
    <w:rPr>
      <w:rFonts w:ascii="Arial" w:eastAsia="Arial" w:hAnsi="Arial" w:cs="Arial"/>
      <w:b/>
      <w:color w:val="000000"/>
      <w:sz w:val="22"/>
      <w:szCs w:val="22"/>
    </w:rPr>
  </w:style>
  <w:style w:type="character" w:customStyle="1" w:styleId="Subtitulo1Car">
    <w:name w:val="Subtitulo 1 Car"/>
    <w:basedOn w:val="Fuentedeprrafopredeter"/>
    <w:link w:val="Subtitulo10"/>
    <w:rsid w:val="004E5076"/>
    <w:rPr>
      <w:rFonts w:ascii="Arial" w:eastAsia="Arial" w:hAnsi="Arial" w:cs="Arial"/>
      <w:b/>
      <w:color w:val="000000"/>
      <w:kern w:val="0"/>
      <w:lang w:val="es-ES" w:eastAsia="es-PE"/>
    </w:rPr>
  </w:style>
  <w:style w:type="paragraph" w:customStyle="1" w:styleId="TituloN1">
    <w:name w:val="Titulo N° 1"/>
    <w:basedOn w:val="Ttulo1"/>
    <w:next w:val="Normal"/>
    <w:link w:val="TituloN1Car"/>
    <w:qFormat/>
    <w:rsid w:val="004E5076"/>
    <w:pPr>
      <w:spacing w:before="0" w:after="120" w:line="288" w:lineRule="auto"/>
      <w:ind w:left="720" w:hanging="360"/>
      <w:jc w:val="both"/>
    </w:pPr>
    <w:rPr>
      <w:rFonts w:ascii="Calibri" w:hAnsi="Calibri"/>
      <w:b/>
      <w:caps/>
      <w:color w:val="000000"/>
      <w:sz w:val="24"/>
      <w:szCs w:val="24"/>
      <w:lang w:val="en-US"/>
    </w:rPr>
  </w:style>
  <w:style w:type="paragraph" w:customStyle="1" w:styleId="TituloN2">
    <w:name w:val="Titulo N° 2"/>
    <w:basedOn w:val="Ttulo2"/>
    <w:next w:val="Normal"/>
    <w:link w:val="TituloN2Car"/>
    <w:qFormat/>
    <w:rsid w:val="004E5076"/>
    <w:pPr>
      <w:numPr>
        <w:ilvl w:val="1"/>
      </w:numPr>
      <w:spacing w:before="240" w:after="240" w:line="288" w:lineRule="auto"/>
      <w:ind w:left="1440" w:hanging="360"/>
      <w:jc w:val="both"/>
    </w:pPr>
    <w:rPr>
      <w:rFonts w:ascii="Calibri" w:hAnsi="Calibri"/>
      <w:b/>
      <w:caps/>
      <w:color w:val="000000"/>
      <w:sz w:val="24"/>
      <w:szCs w:val="26"/>
      <w:shd w:val="clear" w:color="auto" w:fill="FFFFFF"/>
      <w:lang w:val="en-US"/>
    </w:rPr>
  </w:style>
  <w:style w:type="character" w:customStyle="1" w:styleId="DefaultCar">
    <w:name w:val="Default Car"/>
    <w:basedOn w:val="Fuentedeprrafopredeter"/>
    <w:link w:val="Default"/>
    <w:rsid w:val="004E5076"/>
    <w:rPr>
      <w:rFonts w:ascii="Arial" w:hAnsi="Arial" w:cs="Arial"/>
      <w:color w:val="000000"/>
      <w:kern w:val="0"/>
      <w:sz w:val="24"/>
      <w:szCs w:val="24"/>
      <w:lang w:val="en-US"/>
    </w:rPr>
  </w:style>
  <w:style w:type="character" w:customStyle="1" w:styleId="TituloN1Car">
    <w:name w:val="Titulo N° 1 Car"/>
    <w:basedOn w:val="DefaultCar"/>
    <w:link w:val="TituloN1"/>
    <w:rsid w:val="004E5076"/>
    <w:rPr>
      <w:rFonts w:ascii="Calibri" w:eastAsiaTheme="majorEastAsia" w:hAnsi="Calibri" w:cstheme="majorBidi"/>
      <w:b/>
      <w:caps/>
      <w:color w:val="000000"/>
      <w:kern w:val="0"/>
      <w:sz w:val="24"/>
      <w:szCs w:val="24"/>
      <w:lang w:val="en-US"/>
    </w:rPr>
  </w:style>
  <w:style w:type="paragraph" w:customStyle="1" w:styleId="TituloN3">
    <w:name w:val="Titulo N° 3"/>
    <w:basedOn w:val="Ttulo3"/>
    <w:next w:val="Normal"/>
    <w:link w:val="TituloN3Car"/>
    <w:qFormat/>
    <w:rsid w:val="004E5076"/>
    <w:pPr>
      <w:numPr>
        <w:ilvl w:val="2"/>
      </w:numPr>
      <w:spacing w:before="240" w:after="120" w:line="288" w:lineRule="auto"/>
      <w:ind w:left="2160" w:hanging="360"/>
      <w:jc w:val="both"/>
    </w:pPr>
    <w:rPr>
      <w:rFonts w:ascii="Calibri" w:hAnsi="Calibri"/>
      <w:b/>
      <w:color w:val="000000"/>
      <w:sz w:val="24"/>
      <w:szCs w:val="24"/>
      <w:lang w:val="en-US"/>
    </w:rPr>
  </w:style>
  <w:style w:type="character" w:customStyle="1" w:styleId="TituloN2Car">
    <w:name w:val="Titulo N° 2 Car"/>
    <w:basedOn w:val="DefaultCar"/>
    <w:link w:val="TituloN2"/>
    <w:rsid w:val="004E5076"/>
    <w:rPr>
      <w:rFonts w:ascii="Calibri" w:eastAsiaTheme="majorEastAsia" w:hAnsi="Calibri" w:cstheme="majorBidi"/>
      <w:b/>
      <w:caps/>
      <w:color w:val="000000"/>
      <w:kern w:val="0"/>
      <w:sz w:val="24"/>
      <w:szCs w:val="26"/>
      <w:lang w:val="en-US"/>
    </w:rPr>
  </w:style>
  <w:style w:type="paragraph" w:customStyle="1" w:styleId="SubtituloN2">
    <w:name w:val="Subtitulo N° 2"/>
    <w:basedOn w:val="Default"/>
    <w:link w:val="SubtituloN2Car"/>
    <w:rsid w:val="004E5076"/>
    <w:pPr>
      <w:ind w:left="709"/>
      <w:jc w:val="both"/>
    </w:pPr>
    <w:rPr>
      <w:rFonts w:eastAsia="Calibri"/>
      <w:b/>
      <w:sz w:val="20"/>
    </w:rPr>
  </w:style>
  <w:style w:type="character" w:customStyle="1" w:styleId="TituloN3Car">
    <w:name w:val="Titulo N° 3 Car"/>
    <w:basedOn w:val="DefaultCar"/>
    <w:link w:val="TituloN3"/>
    <w:rsid w:val="004E5076"/>
    <w:rPr>
      <w:rFonts w:ascii="Calibri" w:eastAsiaTheme="majorEastAsia" w:hAnsi="Calibri" w:cstheme="majorBidi"/>
      <w:b/>
      <w:color w:val="000000"/>
      <w:kern w:val="0"/>
      <w:sz w:val="24"/>
      <w:szCs w:val="24"/>
      <w:lang w:val="en-US"/>
    </w:rPr>
  </w:style>
  <w:style w:type="paragraph" w:customStyle="1" w:styleId="SubtituloN1">
    <w:name w:val="Subtitulo N° 1"/>
    <w:basedOn w:val="Normal"/>
    <w:link w:val="SubtituloN1Car"/>
    <w:rsid w:val="004E5076"/>
    <w:pPr>
      <w:widowControl/>
      <w:spacing w:line="288" w:lineRule="auto"/>
      <w:ind w:left="567"/>
      <w:jc w:val="both"/>
    </w:pPr>
    <w:rPr>
      <w:rFonts w:ascii="Calibri" w:eastAsia="Calibri" w:hAnsi="Calibri"/>
      <w:b/>
      <w:lang w:val="es-PE"/>
    </w:rPr>
  </w:style>
  <w:style w:type="character" w:customStyle="1" w:styleId="SubtituloN2Car">
    <w:name w:val="Subtitulo N° 2 Car"/>
    <w:basedOn w:val="DefaultCar"/>
    <w:link w:val="SubtituloN2"/>
    <w:rsid w:val="004E5076"/>
    <w:rPr>
      <w:rFonts w:ascii="Arial" w:eastAsia="Calibri" w:hAnsi="Arial" w:cs="Arial"/>
      <w:b/>
      <w:color w:val="000000"/>
      <w:kern w:val="0"/>
      <w:sz w:val="20"/>
      <w:szCs w:val="24"/>
      <w:lang w:val="en-US"/>
    </w:rPr>
  </w:style>
  <w:style w:type="character" w:customStyle="1" w:styleId="SubtituloN1Car">
    <w:name w:val="Subtitulo N° 1 Car"/>
    <w:basedOn w:val="Fuentedeprrafopredeter"/>
    <w:link w:val="SubtituloN1"/>
    <w:rsid w:val="004E5076"/>
    <w:rPr>
      <w:rFonts w:ascii="Calibri" w:eastAsia="Calibri" w:hAnsi="Calibri" w:cs="Arial"/>
      <w:b/>
      <w:kern w:val="0"/>
      <w:lang w:eastAsia="es-PE"/>
    </w:rPr>
  </w:style>
  <w:style w:type="paragraph" w:customStyle="1" w:styleId="TituloIlustraciones">
    <w:name w:val="Titulo Ilustraciones"/>
    <w:basedOn w:val="Descripcin"/>
    <w:link w:val="TituloIlustracionesCar"/>
    <w:rsid w:val="004E5076"/>
    <w:pPr>
      <w:keepNext/>
      <w:widowControl/>
      <w:autoSpaceDE/>
      <w:autoSpaceDN/>
      <w:adjustRightInd/>
      <w:jc w:val="center"/>
    </w:pPr>
    <w:rPr>
      <w:rFonts w:ascii="Calibri" w:eastAsia="Calibri" w:hAnsi="Calibri" w:cstheme="minorHAnsi"/>
      <w:b w:val="0"/>
      <w:iCs/>
      <w:caps w:val="0"/>
      <w:sz w:val="18"/>
    </w:rPr>
  </w:style>
  <w:style w:type="character" w:customStyle="1" w:styleId="TituloIlustracionesCar">
    <w:name w:val="Titulo Ilustraciones Car"/>
    <w:basedOn w:val="Fuentedeprrafopredeter"/>
    <w:link w:val="TituloIlustraciones"/>
    <w:rsid w:val="004E5076"/>
    <w:rPr>
      <w:rFonts w:ascii="Calibri" w:eastAsia="Calibri" w:hAnsi="Calibri" w:cstheme="minorHAnsi"/>
      <w:iCs/>
      <w:kern w:val="0"/>
      <w:sz w:val="18"/>
      <w:szCs w:val="18"/>
      <w:lang w:eastAsia="es-PE"/>
    </w:rPr>
  </w:style>
  <w:style w:type="paragraph" w:customStyle="1" w:styleId="TituloN4">
    <w:name w:val="Titulo N° 4"/>
    <w:basedOn w:val="TituloN3"/>
    <w:link w:val="TituloN4Car"/>
    <w:qFormat/>
    <w:rsid w:val="004E5076"/>
    <w:pPr>
      <w:numPr>
        <w:ilvl w:val="3"/>
        <w:numId w:val="29"/>
      </w:numPr>
      <w:spacing w:before="0" w:after="0"/>
      <w:ind w:left="1134" w:hanging="567"/>
    </w:pPr>
    <w:rPr>
      <w:sz w:val="20"/>
    </w:rPr>
  </w:style>
  <w:style w:type="paragraph" w:customStyle="1" w:styleId="TituloN5">
    <w:name w:val="Titulo N° 5"/>
    <w:basedOn w:val="Prrafodelista"/>
    <w:link w:val="TituloN5Car"/>
    <w:qFormat/>
    <w:rsid w:val="004E5076"/>
    <w:pPr>
      <w:numPr>
        <w:ilvl w:val="4"/>
        <w:numId w:val="29"/>
      </w:numPr>
      <w:spacing w:line="288" w:lineRule="auto"/>
      <w:ind w:left="1418" w:hanging="567"/>
      <w:jc w:val="both"/>
    </w:pPr>
    <w:rPr>
      <w:rFonts w:ascii="Calibri" w:eastAsia="Calibri" w:hAnsi="Calibri" w:cstheme="minorHAnsi"/>
      <w:b/>
    </w:rPr>
  </w:style>
  <w:style w:type="character" w:customStyle="1" w:styleId="TituloN4Car">
    <w:name w:val="Titulo N° 4 Car"/>
    <w:basedOn w:val="TituloN3Car"/>
    <w:link w:val="TituloN4"/>
    <w:rsid w:val="004E5076"/>
    <w:rPr>
      <w:rFonts w:ascii="Calibri" w:eastAsiaTheme="majorEastAsia" w:hAnsi="Calibri" w:cstheme="majorBidi"/>
      <w:b/>
      <w:color w:val="000000"/>
      <w:kern w:val="0"/>
      <w:sz w:val="20"/>
      <w:szCs w:val="24"/>
      <w:lang w:val="en-US"/>
    </w:rPr>
  </w:style>
  <w:style w:type="character" w:customStyle="1" w:styleId="TituloN5Car">
    <w:name w:val="Titulo N° 5 Car"/>
    <w:basedOn w:val="Fuentedeprrafopredeter"/>
    <w:link w:val="TituloN5"/>
    <w:rsid w:val="004E5076"/>
    <w:rPr>
      <w:rFonts w:ascii="Calibri" w:eastAsia="Calibri" w:hAnsi="Calibri" w:cstheme="minorHAnsi"/>
      <w:b/>
    </w:rPr>
  </w:style>
  <w:style w:type="paragraph" w:customStyle="1" w:styleId="TitulodeIlustraciones">
    <w:name w:val="Titulo de Ilustraciones"/>
    <w:basedOn w:val="Normal"/>
    <w:link w:val="TitulodeIlustracionesCar"/>
    <w:rsid w:val="004E5076"/>
    <w:pPr>
      <w:widowControl/>
      <w:spacing w:line="288" w:lineRule="auto"/>
      <w:ind w:left="567"/>
      <w:jc w:val="center"/>
    </w:pPr>
    <w:rPr>
      <w:rFonts w:ascii="Calibri" w:eastAsia="Calibri" w:hAnsi="Calibri" w:cstheme="minorHAnsi"/>
      <w:lang w:val="es-PE"/>
    </w:rPr>
  </w:style>
  <w:style w:type="character" w:customStyle="1" w:styleId="TitulodeIlustracionesCar">
    <w:name w:val="Titulo de Ilustraciones Car"/>
    <w:basedOn w:val="Fuentedeprrafopredeter"/>
    <w:link w:val="TitulodeIlustraciones"/>
    <w:rsid w:val="004E5076"/>
    <w:rPr>
      <w:rFonts w:ascii="Calibri" w:eastAsia="Calibri" w:hAnsi="Calibri" w:cstheme="minorHAnsi"/>
      <w:kern w:val="0"/>
      <w:lang w:eastAsia="es-PE"/>
    </w:rPr>
  </w:style>
  <w:style w:type="numbering" w:customStyle="1" w:styleId="EstiloConvietas">
    <w:name w:val="Estilo Con viñetas"/>
    <w:rsid w:val="004E5076"/>
    <w:pPr>
      <w:numPr>
        <w:numId w:val="284"/>
      </w:numPr>
    </w:pPr>
  </w:style>
  <w:style w:type="paragraph" w:customStyle="1" w:styleId="EstiloAntes0pto">
    <w:name w:val="Estilo Antes:  0 pto"/>
    <w:basedOn w:val="Normal"/>
    <w:rsid w:val="004E5076"/>
    <w:pPr>
      <w:widowControl/>
      <w:spacing w:before="60" w:line="288" w:lineRule="auto"/>
      <w:jc w:val="both"/>
    </w:pPr>
    <w:rPr>
      <w:rFonts w:ascii="Calibri" w:eastAsia="Times New Roman" w:hAnsi="Calibri" w:cs="Times New Roman"/>
      <w:szCs w:val="20"/>
      <w:lang w:eastAsia="es-ES"/>
    </w:rPr>
  </w:style>
  <w:style w:type="paragraph" w:customStyle="1" w:styleId="para">
    <w:name w:val="para"/>
    <w:basedOn w:val="Normal"/>
    <w:rsid w:val="004E5076"/>
    <w:pPr>
      <w:widowControl/>
      <w:spacing w:after="120"/>
      <w:jc w:val="both"/>
    </w:pPr>
    <w:rPr>
      <w:rFonts w:ascii="Times New Roman" w:eastAsia="Calibri" w:hAnsi="Times New Roman" w:cs="Times New Roman"/>
      <w:szCs w:val="20"/>
      <w:lang w:val="es-PE" w:eastAsia="es-ES"/>
    </w:rPr>
  </w:style>
  <w:style w:type="paragraph" w:customStyle="1" w:styleId="VietasPunto">
    <w:name w:val="Viñetas Punto"/>
    <w:basedOn w:val="Prrafodelista"/>
    <w:link w:val="VietasPuntoCar"/>
    <w:qFormat/>
    <w:rsid w:val="004E5076"/>
    <w:pPr>
      <w:numPr>
        <w:numId w:val="30"/>
      </w:numPr>
      <w:tabs>
        <w:tab w:val="left" w:pos="8931"/>
      </w:tabs>
      <w:spacing w:line="264" w:lineRule="auto"/>
      <w:jc w:val="both"/>
    </w:pPr>
    <w:rPr>
      <w:rFonts w:ascii="Calibri" w:eastAsia="Calibri" w:hAnsi="Calibri"/>
      <w:szCs w:val="20"/>
    </w:rPr>
  </w:style>
  <w:style w:type="character" w:customStyle="1" w:styleId="VietasPuntoCar">
    <w:name w:val="Viñetas Punto Car"/>
    <w:basedOn w:val="Fuentedeprrafopredeter"/>
    <w:link w:val="VietasPunto"/>
    <w:rsid w:val="004E5076"/>
    <w:rPr>
      <w:rFonts w:ascii="Calibri" w:eastAsia="Calibri" w:hAnsi="Calibri"/>
      <w:szCs w:val="20"/>
    </w:rPr>
  </w:style>
  <w:style w:type="paragraph" w:customStyle="1" w:styleId="Contenido2">
    <w:name w:val="Contenido 2"/>
    <w:basedOn w:val="Prrafodelista"/>
    <w:link w:val="Contenido2Car"/>
    <w:qFormat/>
    <w:rsid w:val="004E5076"/>
    <w:pPr>
      <w:spacing w:before="110" w:after="120" w:line="240" w:lineRule="atLeast"/>
      <w:ind w:left="397"/>
      <w:contextualSpacing w:val="0"/>
      <w:jc w:val="both"/>
    </w:pPr>
    <w:rPr>
      <w:rFonts w:ascii="Calibri" w:eastAsia="Calibri" w:hAnsi="Calibri"/>
    </w:rPr>
  </w:style>
  <w:style w:type="character" w:customStyle="1" w:styleId="Contenido2Car">
    <w:name w:val="Contenido 2 Car"/>
    <w:basedOn w:val="Fuentedeprrafopredeter"/>
    <w:link w:val="Contenido2"/>
    <w:rsid w:val="004E5076"/>
    <w:rPr>
      <w:rFonts w:ascii="Calibri" w:eastAsia="Calibri" w:hAnsi="Calibri" w:cs="Arial"/>
      <w:kern w:val="0"/>
      <w:lang w:val="es-ES" w:eastAsia="es-PE"/>
    </w:rPr>
  </w:style>
  <w:style w:type="paragraph" w:customStyle="1" w:styleId="Contenido1">
    <w:name w:val="Contenido 1"/>
    <w:basedOn w:val="Prrafodelista"/>
    <w:link w:val="Contenido1Car"/>
    <w:qFormat/>
    <w:rsid w:val="004E5076"/>
    <w:pPr>
      <w:spacing w:line="276" w:lineRule="auto"/>
      <w:ind w:left="0"/>
      <w:contextualSpacing w:val="0"/>
      <w:jc w:val="both"/>
    </w:pPr>
    <w:rPr>
      <w:rFonts w:ascii="Calibri" w:eastAsia="Calibri" w:hAnsi="Calibri"/>
    </w:rPr>
  </w:style>
  <w:style w:type="character" w:customStyle="1" w:styleId="Contenido1Car">
    <w:name w:val="Contenido 1 Car"/>
    <w:basedOn w:val="Fuentedeprrafopredeter"/>
    <w:link w:val="Contenido1"/>
    <w:rsid w:val="004E5076"/>
    <w:rPr>
      <w:rFonts w:ascii="Calibri" w:eastAsia="Calibri" w:hAnsi="Calibri" w:cs="Arial"/>
      <w:kern w:val="0"/>
      <w:lang w:val="es-ES" w:eastAsia="es-PE"/>
    </w:rPr>
  </w:style>
  <w:style w:type="paragraph" w:customStyle="1" w:styleId="Contenido3">
    <w:name w:val="Contenido 3"/>
    <w:basedOn w:val="Prrafodelista"/>
    <w:link w:val="Contenido3Car"/>
    <w:qFormat/>
    <w:rsid w:val="004E5076"/>
    <w:pPr>
      <w:spacing w:after="200" w:line="276" w:lineRule="auto"/>
      <w:ind w:left="794"/>
      <w:contextualSpacing w:val="0"/>
      <w:jc w:val="both"/>
    </w:pPr>
    <w:rPr>
      <w:rFonts w:ascii="Calibri" w:eastAsia="Calibri" w:hAnsi="Calibri"/>
    </w:rPr>
  </w:style>
  <w:style w:type="character" w:customStyle="1" w:styleId="Contenido3Car">
    <w:name w:val="Contenido 3 Car"/>
    <w:basedOn w:val="Fuentedeprrafopredeter"/>
    <w:link w:val="Contenido3"/>
    <w:rsid w:val="004E5076"/>
    <w:rPr>
      <w:rFonts w:ascii="Calibri" w:eastAsia="Calibri" w:hAnsi="Calibri" w:cs="Arial"/>
      <w:kern w:val="0"/>
      <w:lang w:val="es-ES" w:eastAsia="es-PE"/>
    </w:rPr>
  </w:style>
  <w:style w:type="paragraph" w:customStyle="1" w:styleId="notadepie">
    <w:name w:val="nota de pie"/>
    <w:basedOn w:val="Textonotapie"/>
    <w:link w:val="notadepieCar"/>
    <w:qFormat/>
    <w:rsid w:val="004E5076"/>
    <w:pPr>
      <w:autoSpaceDE/>
      <w:autoSpaceDN/>
      <w:adjustRightInd/>
      <w:ind w:left="142" w:hanging="142"/>
      <w:jc w:val="both"/>
    </w:pPr>
    <w:rPr>
      <w:rFonts w:ascii="Calibri" w:eastAsia="Calibri" w:hAnsi="Calibri" w:cstheme="minorHAnsi"/>
      <w:sz w:val="14"/>
      <w:szCs w:val="20"/>
    </w:rPr>
  </w:style>
  <w:style w:type="character" w:customStyle="1" w:styleId="notadepieCar">
    <w:name w:val="nota de pie Car"/>
    <w:basedOn w:val="Fuentedeprrafopredeter"/>
    <w:link w:val="notadepie"/>
    <w:rsid w:val="004E5076"/>
    <w:rPr>
      <w:rFonts w:ascii="Calibri" w:eastAsia="Calibri" w:hAnsi="Calibri" w:cstheme="minorHAnsi"/>
      <w:kern w:val="0"/>
      <w:sz w:val="14"/>
      <w:szCs w:val="20"/>
      <w:lang w:val="es-ES" w:eastAsia="es-PE"/>
    </w:rPr>
  </w:style>
  <w:style w:type="paragraph" w:customStyle="1" w:styleId="texto3">
    <w:name w:val="texto3"/>
    <w:basedOn w:val="Normal"/>
    <w:rsid w:val="004E5076"/>
    <w:pPr>
      <w:widowControl/>
      <w:ind w:left="340"/>
      <w:jc w:val="both"/>
    </w:pPr>
    <w:rPr>
      <w:rFonts w:ascii="Calibri" w:eastAsia="Times New Roman" w:hAnsi="Calibri" w:cs="Times New Roman"/>
      <w:szCs w:val="20"/>
      <w:lang w:eastAsia="es-ES"/>
    </w:rPr>
  </w:style>
  <w:style w:type="paragraph" w:customStyle="1" w:styleId="texto4">
    <w:name w:val="texto4"/>
    <w:basedOn w:val="texto3"/>
    <w:rsid w:val="004E5076"/>
    <w:pPr>
      <w:ind w:left="907"/>
    </w:pPr>
  </w:style>
  <w:style w:type="paragraph" w:customStyle="1" w:styleId="Mapadeldocumento1">
    <w:name w:val="Mapa del documento1"/>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local">
    <w:name w:val="local"/>
    <w:basedOn w:val="Normal"/>
    <w:next w:val="Normal"/>
    <w:rsid w:val="004E5076"/>
    <w:pPr>
      <w:widowControl/>
      <w:jc w:val="center"/>
    </w:pPr>
    <w:rPr>
      <w:rFonts w:ascii="Calibri" w:eastAsia="Times New Roman" w:hAnsi="Calibri" w:cs="Times New Roman"/>
      <w:b/>
      <w:bCs/>
      <w:iCs/>
      <w:caps/>
      <w:szCs w:val="20"/>
      <w:lang w:eastAsia="es-ES"/>
    </w:rPr>
  </w:style>
  <w:style w:type="paragraph" w:customStyle="1" w:styleId="titol2car">
    <w:name w:val="titol2car"/>
    <w:basedOn w:val="Normal"/>
    <w:rsid w:val="004E5076"/>
    <w:pPr>
      <w:widowControl/>
      <w:jc w:val="center"/>
    </w:pPr>
    <w:rPr>
      <w:rFonts w:ascii="Calibri" w:eastAsia="Times New Roman" w:hAnsi="Calibri" w:cs="Times New Roman"/>
      <w:b/>
      <w:bCs/>
      <w:iCs/>
      <w:caps/>
      <w:sz w:val="28"/>
      <w:szCs w:val="20"/>
      <w:lang w:eastAsia="es-ES"/>
    </w:rPr>
  </w:style>
  <w:style w:type="paragraph" w:customStyle="1" w:styleId="tipusprojecte">
    <w:name w:val="tipus projecte"/>
    <w:basedOn w:val="Normal"/>
    <w:rsid w:val="004E5076"/>
    <w:pPr>
      <w:widowControl/>
      <w:jc w:val="both"/>
    </w:pPr>
    <w:rPr>
      <w:rFonts w:ascii="Calibri" w:eastAsia="Times New Roman" w:hAnsi="Calibri" w:cs="Times New Roman"/>
      <w:iCs/>
      <w:caps/>
      <w:szCs w:val="20"/>
      <w:lang w:eastAsia="es-ES"/>
    </w:rPr>
  </w:style>
  <w:style w:type="paragraph" w:customStyle="1" w:styleId="Tableaucorps">
    <w:name w:val="Tableau (corps)"/>
    <w:basedOn w:val="Normal"/>
    <w:rsid w:val="004E5076"/>
    <w:pPr>
      <w:widowControl/>
      <w:spacing w:after="60"/>
      <w:jc w:val="both"/>
    </w:pPr>
    <w:rPr>
      <w:rFonts w:ascii="Calibri" w:eastAsia="Times New Roman" w:hAnsi="Calibri" w:cs="Times New Roman"/>
      <w:szCs w:val="20"/>
      <w:lang w:val="fr-FR" w:eastAsia="es-ES"/>
    </w:rPr>
  </w:style>
  <w:style w:type="paragraph" w:customStyle="1" w:styleId="Tableautitres">
    <w:name w:val="Tableau (titres)"/>
    <w:basedOn w:val="Normal"/>
    <w:rsid w:val="004E5076"/>
    <w:pPr>
      <w:widowControl/>
      <w:spacing w:after="60"/>
      <w:jc w:val="center"/>
    </w:pPr>
    <w:rPr>
      <w:rFonts w:ascii="Calibri" w:eastAsia="Times New Roman" w:hAnsi="Calibri" w:cs="Times New Roman"/>
      <w:szCs w:val="20"/>
      <w:lang w:val="fr-FR" w:eastAsia="es-ES"/>
    </w:rPr>
  </w:style>
  <w:style w:type="paragraph" w:customStyle="1" w:styleId="CUADRO">
    <w:name w:val="CUADRO"/>
    <w:basedOn w:val="Subttulo"/>
    <w:uiPriority w:val="99"/>
    <w:rsid w:val="004E5076"/>
    <w:pPr>
      <w:numPr>
        <w:numId w:val="31"/>
      </w:numPr>
      <w:spacing w:before="120"/>
      <w:jc w:val="both"/>
    </w:pPr>
    <w:rPr>
      <w:rFonts w:ascii="Arial Narrow" w:eastAsia="Times New Roman" w:hAnsi="Arial Narrow" w:cstheme="minorHAnsi"/>
      <w:iCs/>
      <w:smallCaps/>
      <w:color w:val="auto"/>
      <w:sz w:val="20"/>
      <w:szCs w:val="24"/>
      <w:lang w:val="es-ES_tradnl" w:eastAsia="es-ES"/>
    </w:rPr>
  </w:style>
  <w:style w:type="character" w:customStyle="1" w:styleId="FuenteCar">
    <w:name w:val="Fuente Car"/>
    <w:link w:val="Fuente"/>
    <w:uiPriority w:val="99"/>
    <w:locked/>
    <w:rsid w:val="004E5076"/>
    <w:rPr>
      <w:rFonts w:ascii="Calibri" w:eastAsiaTheme="minorEastAsia" w:hAnsi="Calibri" w:cs="Calibri"/>
      <w:i/>
      <w:kern w:val="0"/>
      <w:sz w:val="20"/>
      <w:lang w:val="es-CO" w:eastAsia="es-PE"/>
    </w:rPr>
  </w:style>
  <w:style w:type="paragraph" w:customStyle="1" w:styleId="Textefragment">
    <w:name w:val="Texte fragment"/>
    <w:rsid w:val="004E5076"/>
    <w:pPr>
      <w:spacing w:before="120"/>
      <w:ind w:left="57"/>
      <w:jc w:val="both"/>
    </w:pPr>
    <w:rPr>
      <w:rFonts w:ascii="Times New Roman" w:eastAsia="Times New Roman" w:hAnsi="Times New Roman" w:cs="Times New Roman"/>
      <w:szCs w:val="20"/>
      <w:lang w:val="fr-FR" w:eastAsia="fr-FR"/>
    </w:rPr>
  </w:style>
  <w:style w:type="table" w:styleId="Tablaconcuadrcula5oscura-nfasis3">
    <w:name w:val="Grid Table 5 Dark Accent 3"/>
    <w:basedOn w:val="Tablanormal"/>
    <w:uiPriority w:val="50"/>
    <w:rsid w:val="004E5076"/>
    <w:pPr>
      <w:ind w:left="567"/>
      <w:jc w:val="both"/>
    </w:pPr>
    <w:rPr>
      <w:rFonts w:ascii="Times New Roman" w:eastAsia="Times New Roman" w:hAnsi="Times New Roman" w:cs="Times New Roman"/>
      <w:sz w:val="20"/>
      <w:szCs w:val="20"/>
      <w:lang w:val="ca-ES" w:eastAsia="ca-E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NIVEL1">
    <w:name w:val="NIVEL 1"/>
    <w:basedOn w:val="Normal"/>
    <w:next w:val="Normal"/>
    <w:rsid w:val="004E5076"/>
    <w:pPr>
      <w:widowControl/>
      <w:numPr>
        <w:numId w:val="32"/>
      </w:numPr>
      <w:spacing w:before="120" w:after="120" w:line="320" w:lineRule="exact"/>
      <w:jc w:val="both"/>
      <w:outlineLvl w:val="0"/>
    </w:pPr>
    <w:rPr>
      <w:rFonts w:ascii="Times New Roman" w:eastAsia="Times New Roman" w:hAnsi="Times New Roman" w:cs="Times New Roman"/>
      <w:bCs/>
      <w:caps/>
      <w:szCs w:val="20"/>
      <w:lang w:eastAsia="es-ES"/>
    </w:rPr>
  </w:style>
  <w:style w:type="paragraph" w:customStyle="1" w:styleId="NIVEL2">
    <w:name w:val="NIVEL 2"/>
    <w:basedOn w:val="Ttulo2"/>
    <w:rsid w:val="004E5076"/>
    <w:pPr>
      <w:keepLines w:val="0"/>
      <w:numPr>
        <w:ilvl w:val="1"/>
        <w:numId w:val="32"/>
      </w:numPr>
      <w:spacing w:before="480" w:after="240" w:line="360" w:lineRule="auto"/>
    </w:pPr>
    <w:rPr>
      <w:rFonts w:ascii="Garamond" w:eastAsia="Times New Roman" w:hAnsi="Garamond" w:cs="Times New Roman"/>
      <w:bCs/>
      <w:snapToGrid w:val="0"/>
      <w:color w:val="auto"/>
      <w:sz w:val="28"/>
      <w:szCs w:val="24"/>
      <w:u w:val="single"/>
      <w:shd w:val="clear" w:color="auto" w:fill="FFFFFF"/>
      <w:lang w:eastAsia="es-ES"/>
    </w:rPr>
  </w:style>
  <w:style w:type="paragraph" w:customStyle="1" w:styleId="heditorfirst">
    <w:name w:val="heditor_first"/>
    <w:basedOn w:val="Normal"/>
    <w:rsid w:val="004E5076"/>
    <w:pPr>
      <w:widowControl/>
      <w:spacing w:after="100" w:afterAutospacing="1"/>
    </w:pPr>
    <w:rPr>
      <w:rFonts w:ascii="Times New Roman" w:eastAsia="Times New Roman" w:hAnsi="Times New Roman" w:cs="Times New Roman"/>
      <w:sz w:val="24"/>
      <w:szCs w:val="24"/>
      <w:lang w:eastAsia="es-ES"/>
    </w:rPr>
  </w:style>
  <w:style w:type="paragraph" w:customStyle="1" w:styleId="Normal3">
    <w:name w:val="[Normal]"/>
    <w:basedOn w:val="Paragraf"/>
    <w:rsid w:val="004E5076"/>
    <w:rPr>
      <w:sz w:val="18"/>
    </w:rPr>
  </w:style>
  <w:style w:type="paragraph" w:customStyle="1" w:styleId="Paragraf">
    <w:name w:val="Paragraf"/>
    <w:basedOn w:val="Normal"/>
    <w:rsid w:val="004E5076"/>
    <w:pPr>
      <w:widowControl/>
      <w:overflowPunct w:val="0"/>
      <w:autoSpaceDE w:val="0"/>
      <w:autoSpaceDN w:val="0"/>
      <w:adjustRightInd w:val="0"/>
      <w:jc w:val="both"/>
      <w:textAlignment w:val="baseline"/>
    </w:pPr>
    <w:rPr>
      <w:rFonts w:ascii="Courier New" w:eastAsia="Times New Roman" w:hAnsi="Courier New" w:cs="Times New Roman"/>
      <w:szCs w:val="20"/>
      <w:lang w:val="ca-ES" w:eastAsia="es-ES"/>
    </w:rPr>
  </w:style>
  <w:style w:type="paragraph" w:customStyle="1" w:styleId="Texte2">
    <w:name w:val="Texte2"/>
    <w:basedOn w:val="Normal"/>
    <w:rsid w:val="004E5076"/>
    <w:pPr>
      <w:widowControl/>
      <w:spacing w:before="240" w:after="60"/>
      <w:ind w:left="1440"/>
      <w:jc w:val="both"/>
    </w:pPr>
    <w:rPr>
      <w:rFonts w:ascii="Times New Roman" w:eastAsia="Times New Roman" w:hAnsi="Times New Roman" w:cs="Times New Roman"/>
      <w:sz w:val="24"/>
      <w:szCs w:val="20"/>
      <w:lang w:eastAsia="fr-FR"/>
    </w:rPr>
  </w:style>
  <w:style w:type="paragraph" w:customStyle="1" w:styleId="Mapadeldocumento2">
    <w:name w:val="Mapa del documento2"/>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Textoindependiente22">
    <w:name w:val="Texto independiente 22"/>
    <w:basedOn w:val="Normal"/>
    <w:rsid w:val="004E5076"/>
    <w:pPr>
      <w:widowControl/>
      <w:jc w:val="both"/>
    </w:pPr>
    <w:rPr>
      <w:rFonts w:ascii="Calibri" w:eastAsia="Times New Roman" w:hAnsi="Calibri" w:cs="Times New Roman"/>
      <w:sz w:val="24"/>
      <w:szCs w:val="20"/>
      <w:lang w:val="ca-ES" w:eastAsia="es-ES"/>
    </w:rPr>
  </w:style>
  <w:style w:type="paragraph" w:customStyle="1" w:styleId="Textoindependiente32">
    <w:name w:val="Texto independiente 32"/>
    <w:basedOn w:val="Normal"/>
    <w:rsid w:val="004E5076"/>
    <w:pPr>
      <w:widowControl/>
      <w:spacing w:line="360" w:lineRule="atLeast"/>
      <w:jc w:val="both"/>
    </w:pPr>
    <w:rPr>
      <w:rFonts w:ascii="Calibri" w:eastAsia="Times New Roman" w:hAnsi="Calibri" w:cs="Times New Roman"/>
      <w:sz w:val="24"/>
      <w:szCs w:val="20"/>
      <w:lang w:val="ca-ES" w:eastAsia="es-ES"/>
    </w:rPr>
  </w:style>
  <w:style w:type="character" w:customStyle="1" w:styleId="noprint">
    <w:name w:val="noprint"/>
    <w:rsid w:val="004E5076"/>
  </w:style>
  <w:style w:type="table" w:styleId="Tablaconcuadrcula2-nfasis6">
    <w:name w:val="Grid Table 2 Accent 6"/>
    <w:basedOn w:val="Tablanormal"/>
    <w:uiPriority w:val="47"/>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2">
    <w:name w:val="Grid Table 2"/>
    <w:basedOn w:val="Tablanormal"/>
    <w:uiPriority w:val="47"/>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4-nfasis1">
    <w:name w:val="Grid Table 4 Accent 1"/>
    <w:basedOn w:val="Tablanormal"/>
    <w:uiPriority w:val="49"/>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3-nfasis2">
    <w:name w:val="Grid Table 3 Accent 2"/>
    <w:basedOn w:val="Tablanormal"/>
    <w:uiPriority w:val="48"/>
    <w:rsid w:val="004E5076"/>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Tablamoderna">
    <w:name w:val="Table Contemporary"/>
    <w:basedOn w:val="Tablanormal"/>
    <w:rsid w:val="004E5076"/>
    <w:pPr>
      <w:ind w:left="567"/>
      <w:jc w:val="both"/>
    </w:pPr>
    <w:rPr>
      <w:rFonts w:ascii="Times New Roman" w:eastAsia="Times New Roman" w:hAnsi="Times New Roman" w:cs="Times New Roman"/>
      <w:sz w:val="20"/>
      <w:szCs w:val="20"/>
      <w:lang w:eastAsia="es-E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Mapadeldocumento3">
    <w:name w:val="Mapa del documento3"/>
    <w:basedOn w:val="Normal"/>
    <w:rsid w:val="004E5076"/>
    <w:pPr>
      <w:widowControl/>
      <w:shd w:val="clear" w:color="auto" w:fill="000080"/>
      <w:jc w:val="both"/>
    </w:pPr>
    <w:rPr>
      <w:rFonts w:ascii="Tahoma" w:eastAsia="Times New Roman" w:hAnsi="Tahoma" w:cs="Times New Roman"/>
      <w:szCs w:val="20"/>
      <w:lang w:eastAsia="es-ES"/>
    </w:rPr>
  </w:style>
  <w:style w:type="paragraph" w:customStyle="1" w:styleId="Textoindependiente23">
    <w:name w:val="Texto independiente 23"/>
    <w:basedOn w:val="Normal"/>
    <w:rsid w:val="004E5076"/>
    <w:pPr>
      <w:widowControl/>
      <w:jc w:val="both"/>
    </w:pPr>
    <w:rPr>
      <w:rFonts w:ascii="Calibri" w:eastAsia="Times New Roman" w:hAnsi="Calibri" w:cs="Times New Roman"/>
      <w:sz w:val="24"/>
      <w:szCs w:val="20"/>
      <w:lang w:val="ca-ES" w:eastAsia="es-ES"/>
    </w:rPr>
  </w:style>
  <w:style w:type="paragraph" w:customStyle="1" w:styleId="Textoindependiente33">
    <w:name w:val="Texto independiente 33"/>
    <w:basedOn w:val="Normal"/>
    <w:rsid w:val="004E5076"/>
    <w:pPr>
      <w:widowControl/>
      <w:spacing w:line="360" w:lineRule="atLeast"/>
      <w:jc w:val="both"/>
    </w:pPr>
    <w:rPr>
      <w:rFonts w:ascii="Calibri" w:eastAsia="Times New Roman" w:hAnsi="Calibri" w:cs="Times New Roman"/>
      <w:sz w:val="24"/>
      <w:szCs w:val="20"/>
      <w:lang w:val="ca-ES" w:eastAsia="es-ES"/>
    </w:rPr>
  </w:style>
  <w:style w:type="paragraph" w:customStyle="1" w:styleId="TITULO4TITO">
    <w:name w:val="TITULO 4TITO"/>
    <w:basedOn w:val="Prrafodelista"/>
    <w:link w:val="TITULO4TITOCar"/>
    <w:qFormat/>
    <w:rsid w:val="004E5076"/>
    <w:pPr>
      <w:numPr>
        <w:numId w:val="33"/>
      </w:numPr>
      <w:spacing w:before="240" w:after="240" w:line="288" w:lineRule="auto"/>
      <w:jc w:val="both"/>
    </w:pPr>
    <w:rPr>
      <w:rFonts w:ascii="Calibri" w:eastAsia="Calibri" w:hAnsi="Calibri" w:cstheme="minorHAnsi"/>
      <w:b/>
    </w:rPr>
  </w:style>
  <w:style w:type="character" w:customStyle="1" w:styleId="TITULO4TITOCar">
    <w:name w:val="TITULO 4TITO Car"/>
    <w:basedOn w:val="Fuentedeprrafopredeter"/>
    <w:link w:val="TITULO4TITO"/>
    <w:rsid w:val="004E5076"/>
    <w:rPr>
      <w:rFonts w:ascii="Calibri" w:eastAsia="Calibri" w:hAnsi="Calibri" w:cstheme="minorHAnsi"/>
      <w:b/>
    </w:rPr>
  </w:style>
  <w:style w:type="character" w:customStyle="1" w:styleId="fontstyle21">
    <w:name w:val="fontstyle21"/>
    <w:basedOn w:val="Fuentedeprrafopredeter"/>
    <w:rsid w:val="004E5076"/>
    <w:rPr>
      <w:rFonts w:ascii="Arial-ItalicMT" w:hAnsi="Arial-ItalicMT" w:hint="default"/>
      <w:b w:val="0"/>
      <w:bCs w:val="0"/>
      <w:i/>
      <w:iCs/>
      <w:color w:val="000000"/>
      <w:sz w:val="18"/>
      <w:szCs w:val="18"/>
    </w:rPr>
  </w:style>
  <w:style w:type="paragraph" w:customStyle="1" w:styleId="Alfabeto">
    <w:name w:val="Alfabeto"/>
    <w:basedOn w:val="Prrafodelista"/>
    <w:link w:val="AlfabetoCar"/>
    <w:rsid w:val="004E5076"/>
    <w:pPr>
      <w:numPr>
        <w:numId w:val="34"/>
      </w:numPr>
      <w:spacing w:line="288" w:lineRule="auto"/>
      <w:contextualSpacing w:val="0"/>
      <w:jc w:val="both"/>
    </w:pPr>
    <w:rPr>
      <w:rFonts w:ascii="Calibri" w:eastAsia="Calibri" w:hAnsi="Calibri"/>
      <w:szCs w:val="20"/>
    </w:rPr>
  </w:style>
  <w:style w:type="numbering" w:customStyle="1" w:styleId="Sinlista1">
    <w:name w:val="Sin lista1"/>
    <w:next w:val="Sinlista"/>
    <w:uiPriority w:val="99"/>
    <w:semiHidden/>
    <w:unhideWhenUsed/>
    <w:rsid w:val="004E5076"/>
  </w:style>
  <w:style w:type="paragraph" w:customStyle="1" w:styleId="Vietapunto">
    <w:name w:val="Viñeta punto"/>
    <w:basedOn w:val="Prrafodelista"/>
    <w:link w:val="VietapuntoCar"/>
    <w:qFormat/>
    <w:rsid w:val="004E5076"/>
    <w:pPr>
      <w:numPr>
        <w:numId w:val="35"/>
      </w:numPr>
      <w:spacing w:line="288" w:lineRule="auto"/>
      <w:ind w:left="567" w:firstLine="0"/>
      <w:contextualSpacing w:val="0"/>
      <w:jc w:val="both"/>
    </w:pPr>
    <w:rPr>
      <w:rFonts w:ascii="Calibri" w:eastAsia="Calibri" w:hAnsi="Calibri" w:cstheme="minorHAnsi"/>
      <w:szCs w:val="20"/>
    </w:rPr>
  </w:style>
  <w:style w:type="character" w:customStyle="1" w:styleId="VietapuntoCar">
    <w:name w:val="Viñeta punto Car"/>
    <w:basedOn w:val="Fuentedeprrafopredeter"/>
    <w:link w:val="Vietapunto"/>
    <w:rsid w:val="004E5076"/>
    <w:rPr>
      <w:rFonts w:ascii="Calibri" w:eastAsia="Calibri" w:hAnsi="Calibri" w:cstheme="minorHAnsi"/>
      <w:szCs w:val="20"/>
    </w:rPr>
  </w:style>
  <w:style w:type="character" w:customStyle="1" w:styleId="AlfabetoCar">
    <w:name w:val="Alfabeto Car"/>
    <w:basedOn w:val="Fuentedeprrafopredeter"/>
    <w:link w:val="Alfabeto"/>
    <w:locked/>
    <w:rsid w:val="004E5076"/>
    <w:rPr>
      <w:rFonts w:ascii="Calibri" w:eastAsia="Calibri" w:hAnsi="Calibri"/>
      <w:szCs w:val="20"/>
    </w:rPr>
  </w:style>
  <w:style w:type="character" w:customStyle="1" w:styleId="ALFABETOMAYUSCar">
    <w:name w:val="ALFABETO MAYUS Car"/>
    <w:basedOn w:val="Fuentedeprrafopredeter"/>
    <w:link w:val="ALFABETOMAYUS"/>
    <w:locked/>
    <w:rsid w:val="004E5076"/>
    <w:rPr>
      <w:rFonts w:cs="Arial"/>
      <w:b/>
      <w:caps/>
      <w:szCs w:val="20"/>
    </w:rPr>
  </w:style>
  <w:style w:type="paragraph" w:customStyle="1" w:styleId="ALFABETOMAYUS">
    <w:name w:val="ALFABETO MAYUS"/>
    <w:basedOn w:val="Prrafodelista"/>
    <w:link w:val="ALFABETOMAYUSCar"/>
    <w:rsid w:val="004E5076"/>
    <w:pPr>
      <w:spacing w:line="256" w:lineRule="auto"/>
      <w:ind w:left="0"/>
      <w:contextualSpacing w:val="0"/>
    </w:pPr>
    <w:rPr>
      <w:b/>
      <w:caps/>
      <w:szCs w:val="20"/>
    </w:rPr>
  </w:style>
  <w:style w:type="paragraph" w:customStyle="1" w:styleId="Fuente-Elaboracin">
    <w:name w:val="Fuente-Elaboración"/>
    <w:basedOn w:val="Normal"/>
    <w:link w:val="Fuente-ElaboracinCar"/>
    <w:rsid w:val="004E5076"/>
    <w:pPr>
      <w:widowControl/>
      <w:ind w:left="170"/>
      <w:jc w:val="center"/>
    </w:pPr>
    <w:rPr>
      <w:rFonts w:ascii="Calibri" w:eastAsia="Calibri" w:hAnsi="Calibri" w:cstheme="minorHAnsi"/>
      <w:sz w:val="18"/>
      <w:szCs w:val="18"/>
      <w:lang w:val="es-PE"/>
    </w:rPr>
  </w:style>
  <w:style w:type="paragraph" w:customStyle="1" w:styleId="TtulodeIlustracin">
    <w:name w:val="Título de Ilustración"/>
    <w:basedOn w:val="Normal"/>
    <w:link w:val="TtulodeIlustracinCar"/>
    <w:rsid w:val="004E5076"/>
    <w:pPr>
      <w:widowControl/>
      <w:spacing w:line="264" w:lineRule="auto"/>
      <w:ind w:left="170"/>
      <w:jc w:val="center"/>
    </w:pPr>
    <w:rPr>
      <w:rFonts w:ascii="Calibri" w:eastAsia="Calibri" w:hAnsi="Calibri" w:cstheme="minorHAnsi"/>
      <w:sz w:val="18"/>
      <w:szCs w:val="18"/>
      <w:lang w:val="es-PE"/>
    </w:rPr>
  </w:style>
  <w:style w:type="character" w:customStyle="1" w:styleId="Fuente-ElaboracinCar">
    <w:name w:val="Fuente-Elaboración Car"/>
    <w:basedOn w:val="Fuentedeprrafopredeter"/>
    <w:link w:val="Fuente-Elaboracin"/>
    <w:rsid w:val="004E5076"/>
    <w:rPr>
      <w:rFonts w:ascii="Calibri" w:eastAsia="Calibri" w:hAnsi="Calibri" w:cstheme="minorHAnsi"/>
      <w:kern w:val="0"/>
      <w:sz w:val="18"/>
      <w:szCs w:val="18"/>
      <w:lang w:eastAsia="es-PE"/>
    </w:rPr>
  </w:style>
  <w:style w:type="character" w:customStyle="1" w:styleId="TtulodeIlustracinCar">
    <w:name w:val="Título de Ilustración Car"/>
    <w:basedOn w:val="Fuentedeprrafopredeter"/>
    <w:link w:val="TtulodeIlustracin"/>
    <w:rsid w:val="004E5076"/>
    <w:rPr>
      <w:rFonts w:ascii="Calibri" w:eastAsia="Calibri" w:hAnsi="Calibri" w:cstheme="minorHAnsi"/>
      <w:kern w:val="0"/>
      <w:sz w:val="18"/>
      <w:szCs w:val="18"/>
      <w:lang w:eastAsia="es-PE"/>
    </w:rPr>
  </w:style>
  <w:style w:type="character" w:styleId="Nmerodelnea">
    <w:name w:val="line number"/>
    <w:basedOn w:val="Fuentedeprrafopredeter"/>
    <w:uiPriority w:val="99"/>
    <w:semiHidden/>
    <w:unhideWhenUsed/>
    <w:rsid w:val="004E5076"/>
  </w:style>
  <w:style w:type="paragraph" w:customStyle="1" w:styleId="TituloN20">
    <w:name w:val="Titulo Nº 20"/>
    <w:basedOn w:val="Prrafodelista"/>
    <w:link w:val="TituloN20Car"/>
    <w:qFormat/>
    <w:rsid w:val="004E5076"/>
    <w:pPr>
      <w:ind w:left="0"/>
      <w:contextualSpacing w:val="0"/>
      <w:jc w:val="center"/>
    </w:pPr>
    <w:rPr>
      <w:rFonts w:ascii="Verdana" w:eastAsia="Calibri" w:hAnsi="Verdana" w:cstheme="minorHAnsi"/>
      <w:b/>
      <w:color w:val="0070C0"/>
      <w:sz w:val="36"/>
      <w:szCs w:val="21"/>
    </w:rPr>
  </w:style>
  <w:style w:type="character" w:customStyle="1" w:styleId="TituloN20Car">
    <w:name w:val="Titulo Nº 20 Car"/>
    <w:basedOn w:val="Fuentedeprrafopredeter"/>
    <w:link w:val="TituloN20"/>
    <w:rsid w:val="004E5076"/>
    <w:rPr>
      <w:rFonts w:ascii="Verdana" w:eastAsia="Calibri" w:hAnsi="Verdana" w:cstheme="minorHAnsi"/>
      <w:b/>
      <w:color w:val="0070C0"/>
      <w:kern w:val="0"/>
      <w:sz w:val="36"/>
      <w:szCs w:val="21"/>
      <w:lang w:val="es-ES" w:eastAsia="es-PE"/>
    </w:rPr>
  </w:style>
  <w:style w:type="paragraph" w:customStyle="1" w:styleId="Parrafo10">
    <w:name w:val="Parrafo1"/>
    <w:basedOn w:val="Normal"/>
    <w:rsid w:val="004E5076"/>
    <w:pPr>
      <w:widowControl/>
      <w:tabs>
        <w:tab w:val="left" w:pos="567"/>
      </w:tabs>
      <w:spacing w:before="120" w:after="120"/>
      <w:jc w:val="both"/>
    </w:pPr>
    <w:rPr>
      <w:rFonts w:ascii="Calibri" w:eastAsia="Times New Roman" w:hAnsi="Calibri" w:cs="Times New Roman"/>
      <w:szCs w:val="20"/>
      <w:lang w:val="en-US" w:eastAsia="es-ES"/>
    </w:rPr>
  </w:style>
  <w:style w:type="paragraph" w:customStyle="1" w:styleId="Esti1">
    <w:name w:val="Esti 1"/>
    <w:basedOn w:val="Normal"/>
    <w:rsid w:val="004E5076"/>
    <w:pPr>
      <w:widowControl/>
      <w:numPr>
        <w:numId w:val="36"/>
      </w:numPr>
      <w:tabs>
        <w:tab w:val="num" w:pos="1701"/>
      </w:tabs>
      <w:spacing w:before="60" w:after="60"/>
      <w:ind w:left="1701" w:hanging="283"/>
      <w:jc w:val="both"/>
    </w:pPr>
    <w:rPr>
      <w:rFonts w:ascii="Calibri" w:eastAsia="Times New Roman" w:hAnsi="Calibri"/>
      <w:szCs w:val="20"/>
      <w:lang w:val="es-PE" w:eastAsia="es-ES"/>
    </w:rPr>
  </w:style>
  <w:style w:type="paragraph" w:customStyle="1" w:styleId="titulo6">
    <w:name w:val="titulo 6"/>
    <w:basedOn w:val="Normal"/>
    <w:rsid w:val="004E5076"/>
    <w:pPr>
      <w:widowControl/>
      <w:numPr>
        <w:numId w:val="37"/>
      </w:numPr>
      <w:tabs>
        <w:tab w:val="num" w:pos="643"/>
        <w:tab w:val="left" w:pos="851"/>
        <w:tab w:val="num" w:pos="1985"/>
      </w:tabs>
      <w:spacing w:before="240" w:after="240"/>
      <w:ind w:left="1985" w:hanging="567"/>
      <w:jc w:val="both"/>
    </w:pPr>
    <w:rPr>
      <w:rFonts w:ascii="Arial Black" w:eastAsia="Times New Roman" w:hAnsi="Arial Black" w:cs="Arial Black"/>
      <w:color w:val="800000"/>
      <w:sz w:val="23"/>
      <w:szCs w:val="23"/>
      <w:lang w:eastAsia="es-ES"/>
    </w:rPr>
  </w:style>
  <w:style w:type="paragraph" w:customStyle="1" w:styleId="TablaFuente">
    <w:name w:val="Tabla Fuente"/>
    <w:basedOn w:val="Normal"/>
    <w:next w:val="Normal"/>
    <w:rsid w:val="004E5076"/>
    <w:pPr>
      <w:widowControl/>
      <w:spacing w:before="60" w:after="60" w:line="312" w:lineRule="auto"/>
      <w:jc w:val="center"/>
    </w:pPr>
    <w:rPr>
      <w:rFonts w:ascii="Calibri" w:eastAsia="Times New Roman" w:hAnsi="Calibri" w:cs="Times New Roman"/>
      <w:i/>
      <w:sz w:val="16"/>
      <w:szCs w:val="24"/>
      <w:lang w:eastAsia="es-ES"/>
    </w:rPr>
  </w:style>
  <w:style w:type="table" w:customStyle="1" w:styleId="Tabladecuadrcula4-nfasis11">
    <w:name w:val="Tabla de cuadrícula 4 - Énfasis 11"/>
    <w:basedOn w:val="Tablanormal"/>
    <w:uiPriority w:val="49"/>
    <w:rsid w:val="004E5076"/>
    <w:pPr>
      <w:ind w:left="567"/>
      <w:jc w:val="both"/>
    </w:pPr>
    <w:rPr>
      <w:rFonts w:ascii="Calibri" w:eastAsia="Calibri" w:hAnsi="Calibri" w:cs="Calibri"/>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Urci">
    <w:name w:val="Tabla Urci"/>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character" w:customStyle="1" w:styleId="TextoTablaCar">
    <w:name w:val="Texto Tabla Car"/>
    <w:basedOn w:val="Fuentedeprrafopredeter"/>
    <w:link w:val="TextoTabla0"/>
    <w:rsid w:val="004E5076"/>
    <w:rPr>
      <w:rFonts w:ascii="Times New Roman" w:eastAsiaTheme="minorEastAsia" w:hAnsi="Times New Roman" w:cs="Tahoma"/>
      <w:color w:val="404040"/>
      <w:kern w:val="0"/>
      <w:sz w:val="20"/>
      <w:szCs w:val="14"/>
      <w:lang w:val="es-ES_tradnl" w:eastAsia="es-PE"/>
    </w:rPr>
  </w:style>
  <w:style w:type="table" w:customStyle="1" w:styleId="TablaUrci1">
    <w:name w:val="Tabla Urci1"/>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
    <w:name w:val="Tabla Urci11"/>
    <w:basedOn w:val="Tablaelegante"/>
    <w:uiPriority w:val="99"/>
    <w:qFormat/>
    <w:rsid w:val="004E5076"/>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Estilo81">
    <w:name w:val="Estilo81"/>
    <w:uiPriority w:val="99"/>
    <w:rsid w:val="004E5076"/>
  </w:style>
  <w:style w:type="table" w:customStyle="1" w:styleId="Tabladecuadrcula1clara-nfasis11">
    <w:name w:val="Tabla de cuadrícula 1 clara - Énfasis 11"/>
    <w:basedOn w:val="Tablanormal"/>
    <w:uiPriority w:val="46"/>
    <w:rsid w:val="004E5076"/>
    <w:pPr>
      <w:ind w:left="567"/>
      <w:jc w:val="both"/>
    </w:pPr>
    <w:rPr>
      <w:rFonts w:ascii="Calibri" w:eastAsia="Calibri" w:hAnsi="Calibri" w:cs="Calibri"/>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elegante">
    <w:name w:val="Table Elegant"/>
    <w:basedOn w:val="Tablanormal"/>
    <w:uiPriority w:val="99"/>
    <w:semiHidden/>
    <w:unhideWhenUsed/>
    <w:rsid w:val="004E5076"/>
    <w:pPr>
      <w:ind w:left="567"/>
      <w:jc w:val="both"/>
    </w:pPr>
    <w:rPr>
      <w:rFonts w:ascii="Calibri" w:eastAsia="Calibri" w:hAnsi="Calibri"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ituloN11">
    <w:name w:val="Titulo Nº 11"/>
    <w:basedOn w:val="Prrafodelista"/>
    <w:link w:val="TituloN11Car"/>
    <w:qFormat/>
    <w:rsid w:val="004E5076"/>
    <w:pPr>
      <w:numPr>
        <w:numId w:val="38"/>
      </w:numPr>
      <w:tabs>
        <w:tab w:val="left" w:pos="964"/>
      </w:tabs>
      <w:spacing w:line="288" w:lineRule="auto"/>
      <w:contextualSpacing w:val="0"/>
      <w:outlineLvl w:val="4"/>
    </w:pPr>
    <w:rPr>
      <w:rFonts w:ascii="Calibri" w:eastAsia="Calibri" w:hAnsi="Calibri"/>
      <w:b/>
      <w:szCs w:val="20"/>
    </w:rPr>
  </w:style>
  <w:style w:type="character" w:customStyle="1" w:styleId="TituloN11Car">
    <w:name w:val="Titulo Nº 11 Car"/>
    <w:basedOn w:val="Fuentedeprrafopredeter"/>
    <w:link w:val="TituloN11"/>
    <w:rsid w:val="004E5076"/>
    <w:rPr>
      <w:rFonts w:ascii="Calibri" w:eastAsia="Calibri" w:hAnsi="Calibri"/>
      <w:b/>
      <w:szCs w:val="20"/>
    </w:rPr>
  </w:style>
  <w:style w:type="paragraph" w:customStyle="1" w:styleId="Figura">
    <w:name w:val="Figura"/>
    <w:basedOn w:val="Normal"/>
    <w:link w:val="FiguraCar"/>
    <w:rsid w:val="004E5076"/>
    <w:pPr>
      <w:widowControl/>
      <w:spacing w:line="288" w:lineRule="auto"/>
      <w:ind w:left="1134"/>
    </w:pPr>
    <w:rPr>
      <w:rFonts w:ascii="Calibri" w:eastAsia="Calibri" w:hAnsi="Calibri" w:cstheme="minorHAnsi"/>
      <w:sz w:val="18"/>
      <w:szCs w:val="20"/>
    </w:rPr>
  </w:style>
  <w:style w:type="character" w:customStyle="1" w:styleId="FiguraCar">
    <w:name w:val="Figura Car"/>
    <w:basedOn w:val="Fuentedeprrafopredeter"/>
    <w:link w:val="Figura"/>
    <w:rsid w:val="004E5076"/>
    <w:rPr>
      <w:rFonts w:ascii="Calibri" w:eastAsia="Calibri" w:hAnsi="Calibri" w:cstheme="minorHAnsi"/>
      <w:kern w:val="0"/>
      <w:sz w:val="18"/>
      <w:szCs w:val="20"/>
      <w:lang w:val="es-ES" w:eastAsia="es-PE"/>
    </w:rPr>
  </w:style>
  <w:style w:type="paragraph" w:customStyle="1" w:styleId="Tabla">
    <w:name w:val="Tabla"/>
    <w:basedOn w:val="Figura"/>
    <w:link w:val="TablaCar"/>
    <w:rsid w:val="004E5076"/>
    <w:pPr>
      <w:spacing w:before="120" w:after="120"/>
      <w:ind w:left="426"/>
    </w:pPr>
  </w:style>
  <w:style w:type="character" w:customStyle="1" w:styleId="TablaCar">
    <w:name w:val="Tabla Car"/>
    <w:basedOn w:val="FiguraCar"/>
    <w:link w:val="Tabla"/>
    <w:rsid w:val="004E5076"/>
    <w:rPr>
      <w:rFonts w:ascii="Calibri" w:eastAsia="Calibri" w:hAnsi="Calibri" w:cstheme="minorHAnsi"/>
      <w:kern w:val="0"/>
      <w:sz w:val="18"/>
      <w:szCs w:val="20"/>
      <w:lang w:val="es-ES" w:eastAsia="es-PE"/>
    </w:rPr>
  </w:style>
  <w:style w:type="paragraph" w:customStyle="1" w:styleId="TtuloN13">
    <w:name w:val="Título Nº 13"/>
    <w:basedOn w:val="Normal"/>
    <w:link w:val="TtuloN13Car"/>
    <w:qFormat/>
    <w:rsid w:val="004E5076"/>
    <w:pPr>
      <w:widowControl/>
      <w:numPr>
        <w:numId w:val="39"/>
      </w:numPr>
      <w:tabs>
        <w:tab w:val="left" w:pos="794"/>
      </w:tabs>
      <w:spacing w:line="288" w:lineRule="auto"/>
      <w:jc w:val="both"/>
      <w:outlineLvl w:val="2"/>
    </w:pPr>
    <w:rPr>
      <w:rFonts w:ascii="Calibri" w:eastAsia="Calibri" w:hAnsi="Calibri" w:cstheme="minorHAnsi"/>
      <w:b/>
      <w:smallCaps/>
      <w:lang w:val="es-PE"/>
    </w:rPr>
  </w:style>
  <w:style w:type="character" w:customStyle="1" w:styleId="TtuloN13Car">
    <w:name w:val="Título Nº 13 Car"/>
    <w:basedOn w:val="Fuentedeprrafopredeter"/>
    <w:link w:val="TtuloN13"/>
    <w:rsid w:val="004E5076"/>
    <w:rPr>
      <w:rFonts w:ascii="Calibri" w:eastAsia="Calibri" w:hAnsi="Calibri" w:cstheme="minorHAnsi"/>
      <w:b/>
      <w:smallCaps/>
      <w:lang w:val="es-PE"/>
    </w:rPr>
  </w:style>
  <w:style w:type="paragraph" w:customStyle="1" w:styleId="Car21">
    <w:name w:val="Car21"/>
    <w:basedOn w:val="Normal"/>
    <w:next w:val="Textonotapie"/>
    <w:uiPriority w:val="99"/>
    <w:unhideWhenUsed/>
    <w:rsid w:val="004E5076"/>
    <w:pPr>
      <w:widowControl/>
    </w:pPr>
    <w:rPr>
      <w:rFonts w:ascii="Calibri" w:hAnsi="Calibri" w:cs="Times New Roman"/>
      <w:szCs w:val="20"/>
      <w:lang w:val="es-PE"/>
    </w:rPr>
  </w:style>
  <w:style w:type="paragraph" w:customStyle="1" w:styleId="Normal4">
    <w:name w:val="Normal 4"/>
    <w:basedOn w:val="Normal"/>
    <w:rsid w:val="004E5076"/>
    <w:pPr>
      <w:widowControl/>
      <w:spacing w:after="240" w:line="276" w:lineRule="auto"/>
      <w:ind w:left="709" w:firstLine="284"/>
      <w:jc w:val="both"/>
    </w:pPr>
    <w:rPr>
      <w:rFonts w:ascii="Calibri" w:eastAsia="Montserrat" w:hAnsi="Calibri"/>
      <w:szCs w:val="20"/>
      <w:lang w:eastAsia="ja-JP"/>
    </w:rPr>
  </w:style>
  <w:style w:type="paragraph" w:customStyle="1" w:styleId="TablaTitulo">
    <w:name w:val="Tabla Titulo"/>
    <w:rsid w:val="004E5076"/>
    <w:pPr>
      <w:spacing w:after="120" w:line="276" w:lineRule="auto"/>
      <w:ind w:left="567"/>
      <w:contextualSpacing/>
      <w:jc w:val="center"/>
    </w:pPr>
    <w:rPr>
      <w:rFonts w:eastAsia="Montserrat"/>
      <w:i/>
      <w:sz w:val="20"/>
      <w:szCs w:val="20"/>
    </w:rPr>
  </w:style>
  <w:style w:type="table" w:customStyle="1" w:styleId="46">
    <w:name w:val="46"/>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5">
    <w:name w:val="45"/>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4">
    <w:name w:val="44"/>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3">
    <w:name w:val="43"/>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42">
    <w:name w:val="42"/>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41">
    <w:name w:val="41"/>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0">
    <w:name w:val="40"/>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39">
    <w:name w:val="39"/>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8">
    <w:name w:val="38"/>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7">
    <w:name w:val="37"/>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6">
    <w:name w:val="36"/>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5">
    <w:name w:val="35"/>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4">
    <w:name w:val="34"/>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3">
    <w:name w:val="33"/>
    <w:basedOn w:val="TableNormal20"/>
    <w:rsid w:val="004E5076"/>
    <w:pPr>
      <w:autoSpaceDE w:val="0"/>
      <w:autoSpaceDN w:val="0"/>
      <w:spacing w:after="0" w:line="240" w:lineRule="auto"/>
      <w:ind w:left="567"/>
      <w:jc w:val="both"/>
    </w:pPr>
    <w:rPr>
      <w:lang w:val="en-US"/>
    </w:rPr>
    <w:tblPr>
      <w:tblStyleRowBandSize w:val="1"/>
      <w:tblStyleColBandSize w:val="1"/>
      <w:tblInd w:w="0" w:type="dxa"/>
      <w:tblCellMar>
        <w:left w:w="115" w:type="dxa"/>
        <w:right w:w="115" w:type="dxa"/>
      </w:tblCellMar>
    </w:tblPr>
  </w:style>
  <w:style w:type="table" w:customStyle="1" w:styleId="32">
    <w:name w:val="32"/>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1">
    <w:name w:val="31"/>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0">
    <w:name w:val="30"/>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29">
    <w:name w:val="29"/>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8">
    <w:name w:val="28"/>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7">
    <w:name w:val="27"/>
    <w:basedOn w:val="TableNormal20"/>
    <w:rsid w:val="004E5076"/>
    <w:pPr>
      <w:autoSpaceDE w:val="0"/>
      <w:autoSpaceDN w:val="0"/>
      <w:spacing w:after="0" w:line="240" w:lineRule="auto"/>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TableNormal0">
    <w:name w:val="Table Normal0"/>
    <w:rsid w:val="004E5076"/>
    <w:tblPr>
      <w:tblCellMar>
        <w:top w:w="0" w:type="dxa"/>
        <w:left w:w="0" w:type="dxa"/>
        <w:bottom w:w="0" w:type="dxa"/>
        <w:right w:w="0" w:type="dxa"/>
      </w:tblCellMar>
    </w:tblPr>
  </w:style>
  <w:style w:type="table" w:customStyle="1" w:styleId="NormalTable000">
    <w:name w:val="Normal Table000"/>
    <w:uiPriority w:val="99"/>
    <w:semiHidden/>
    <w:unhideWhenUsed/>
    <w:rsid w:val="004E5076"/>
    <w:pPr>
      <w:spacing w:after="200" w:line="276" w:lineRule="auto"/>
    </w:pPr>
    <w:rPr>
      <w:rFonts w:ascii="Calibri" w:eastAsia="Calibri" w:hAnsi="Calibri" w:cs="Calibri"/>
      <w:lang w:eastAsia="ja-JP"/>
    </w:rPr>
    <w:tblPr>
      <w:tblInd w:w="0" w:type="dxa"/>
      <w:tblCellMar>
        <w:top w:w="0" w:type="dxa"/>
        <w:left w:w="108" w:type="dxa"/>
        <w:bottom w:w="0" w:type="dxa"/>
        <w:right w:w="108" w:type="dxa"/>
      </w:tblCellMar>
    </w:tblPr>
  </w:style>
  <w:style w:type="character" w:customStyle="1" w:styleId="Mencionar4">
    <w:name w:val="Mencionar4"/>
    <w:basedOn w:val="Fuentedeprrafopredeter"/>
    <w:uiPriority w:val="99"/>
    <w:unhideWhenUsed/>
    <w:rsid w:val="004E5076"/>
    <w:rPr>
      <w:color w:val="2B579A"/>
      <w:shd w:val="clear" w:color="auto" w:fill="E1DFDD"/>
    </w:rPr>
  </w:style>
  <w:style w:type="table" w:customStyle="1" w:styleId="TableNormal100">
    <w:name w:val="Table Normal100"/>
    <w:uiPriority w:val="2"/>
    <w:qFormat/>
    <w:rsid w:val="004E5076"/>
    <w:pPr>
      <w:spacing w:after="200" w:line="276" w:lineRule="auto"/>
    </w:pPr>
    <w:rPr>
      <w:rFonts w:ascii="Calibri" w:eastAsia="Calibri" w:hAnsi="Calibri" w:cs="Calibri"/>
    </w:rPr>
    <w:tblPr>
      <w:tblCellMar>
        <w:top w:w="0" w:type="dxa"/>
        <w:left w:w="0" w:type="dxa"/>
        <w:bottom w:w="0" w:type="dxa"/>
        <w:right w:w="0" w:type="dxa"/>
      </w:tblCellMar>
    </w:tblPr>
  </w:style>
  <w:style w:type="paragraph" w:customStyle="1" w:styleId="TITULOVICCHOQUE">
    <w:name w:val="TITULO VIC CHOQUE"/>
    <w:basedOn w:val="Normal3"/>
    <w:link w:val="TITULOVICCHOQUECar"/>
    <w:autoRedefine/>
    <w:qFormat/>
    <w:rsid w:val="00EC3D66"/>
    <w:pPr>
      <w:pBdr>
        <w:top w:val="nil"/>
        <w:left w:val="nil"/>
        <w:bottom w:val="nil"/>
        <w:right w:val="nil"/>
        <w:between w:val="nil"/>
      </w:pBdr>
      <w:spacing w:line="276" w:lineRule="auto"/>
      <w:ind w:left="450" w:hanging="450"/>
    </w:pPr>
    <w:rPr>
      <w:rFonts w:asciiTheme="minorHAnsi" w:hAnsiTheme="minorHAnsi" w:cstheme="minorHAnsi"/>
      <w:b/>
    </w:rPr>
  </w:style>
  <w:style w:type="character" w:customStyle="1" w:styleId="TITULOVICCHOQUECar">
    <w:name w:val="TITULO VIC CHOQUE Car"/>
    <w:basedOn w:val="Fuentedeprrafopredeter"/>
    <w:link w:val="TITULOVICCHOQUE"/>
    <w:rsid w:val="003F2113"/>
    <w:rPr>
      <w:rFonts w:eastAsia="Times New Roman" w:cstheme="minorHAnsi"/>
      <w:b/>
      <w:kern w:val="0"/>
      <w:sz w:val="18"/>
      <w:szCs w:val="20"/>
      <w:lang w:val="ca-ES" w:eastAsia="es-ES"/>
    </w:rPr>
  </w:style>
  <w:style w:type="paragraph" w:customStyle="1" w:styleId="SubtituVICCHOQUE">
    <w:name w:val="Subtitu VIC CHOQUE"/>
    <w:basedOn w:val="Normal"/>
    <w:link w:val="SubtituVICCHOQUECar"/>
    <w:qFormat/>
    <w:rsid w:val="00EC3D66"/>
    <w:pPr>
      <w:keepNext/>
      <w:keepLines/>
      <w:pBdr>
        <w:top w:val="nil"/>
        <w:left w:val="nil"/>
        <w:bottom w:val="nil"/>
        <w:right w:val="nil"/>
        <w:between w:val="nil"/>
      </w:pBdr>
      <w:spacing w:before="1" w:after="80" w:line="276" w:lineRule="auto"/>
      <w:jc w:val="both"/>
    </w:pPr>
    <w:rPr>
      <w:rFonts w:asciiTheme="minorHAnsi" w:hAnsiTheme="minorHAnsi" w:cstheme="minorHAnsi"/>
      <w:b/>
    </w:rPr>
  </w:style>
  <w:style w:type="character" w:customStyle="1" w:styleId="SubtituVICCHOQUECar">
    <w:name w:val="Subtitu VIC CHOQUE Car"/>
    <w:basedOn w:val="Fuentedeprrafopredeter"/>
    <w:link w:val="SubtituVICCHOQUE"/>
    <w:rsid w:val="00EC3D66"/>
    <w:rPr>
      <w:rFonts w:eastAsia="Arial" w:cstheme="minorHAnsi"/>
      <w:b/>
      <w:kern w:val="0"/>
      <w:lang w:val="es-ES" w:eastAsia="es-PE"/>
    </w:rPr>
  </w:style>
  <w:style w:type="table" w:customStyle="1" w:styleId="TablaUrci2">
    <w:name w:val="Tabla Urci2"/>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2">
    <w:name w:val="Tabla Urci12"/>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1">
    <w:name w:val="Tabla Urci11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Sinlista2">
    <w:name w:val="Sin lista2"/>
    <w:next w:val="Sinlista"/>
    <w:uiPriority w:val="99"/>
    <w:semiHidden/>
    <w:unhideWhenUsed/>
    <w:rsid w:val="00CE629E"/>
  </w:style>
  <w:style w:type="table" w:customStyle="1" w:styleId="TableNormal8">
    <w:name w:val="Table Normal8"/>
    <w:rsid w:val="00CE629E"/>
    <w:pPr>
      <w:spacing w:line="288" w:lineRule="auto"/>
      <w:ind w:left="567"/>
      <w:jc w:val="both"/>
    </w:pPr>
    <w:rPr>
      <w:rFonts w:ascii="Calibri" w:eastAsia="Calibri" w:hAnsi="Calibri" w:cs="Calibri"/>
    </w:rPr>
    <w:tblPr>
      <w:tblCellMar>
        <w:top w:w="0" w:type="dxa"/>
        <w:left w:w="0" w:type="dxa"/>
        <w:bottom w:w="0" w:type="dxa"/>
        <w:right w:w="0" w:type="dxa"/>
      </w:tblCellMar>
    </w:tblPr>
  </w:style>
  <w:style w:type="numbering" w:customStyle="1" w:styleId="EstiloConvietas1">
    <w:name w:val="Estilo Con viñetas1"/>
    <w:rsid w:val="00CE629E"/>
  </w:style>
  <w:style w:type="table" w:customStyle="1" w:styleId="Tablaconcuadrcula17">
    <w:name w:val="Tabla con cuadrícula17"/>
    <w:basedOn w:val="Tablanormal"/>
    <w:next w:val="Tablaconcuadrcula"/>
    <w:uiPriority w:val="39"/>
    <w:rsid w:val="00CE629E"/>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oscura-nfasis31">
    <w:name w:val="Tabla con cuadrícula 5 oscura - Énfasis 31"/>
    <w:basedOn w:val="Tablanormal"/>
    <w:next w:val="Tablaconcuadrcula5oscura-nfasis3"/>
    <w:uiPriority w:val="50"/>
    <w:rsid w:val="00CE629E"/>
    <w:pPr>
      <w:ind w:left="567"/>
      <w:jc w:val="both"/>
    </w:pPr>
    <w:rPr>
      <w:rFonts w:ascii="Times New Roman" w:eastAsia="Times New Roman" w:hAnsi="Times New Roman" w:cs="Times New Roman"/>
      <w:sz w:val="20"/>
      <w:szCs w:val="20"/>
      <w:lang w:val="ca-ES" w:eastAsia="ca-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aconcuadrcula2-nfasis61">
    <w:name w:val="Tabla con cuadrícula 2 - Énfasis 61"/>
    <w:basedOn w:val="Tablanormal"/>
    <w:next w:val="Tablaconcuadrcula2-nfasis6"/>
    <w:uiPriority w:val="47"/>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21">
    <w:name w:val="Tabla de cuadrícula 21"/>
    <w:basedOn w:val="Tablanormal"/>
    <w:next w:val="Tabladecuadrcula2"/>
    <w:uiPriority w:val="47"/>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4-nfasis11">
    <w:name w:val="Tabla con cuadrícula 4 - Énfasis 11"/>
    <w:basedOn w:val="Tablanormal"/>
    <w:next w:val="Tablaconcuadrcula4-nfasis1"/>
    <w:uiPriority w:val="49"/>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3-nfasis21">
    <w:name w:val="Tabla con cuadrícula 3 - Énfasis 21"/>
    <w:basedOn w:val="Tablanormal"/>
    <w:next w:val="Tablaconcuadrcula3-nfasis2"/>
    <w:uiPriority w:val="48"/>
    <w:rsid w:val="00CE629E"/>
    <w:pPr>
      <w:ind w:left="567"/>
      <w:jc w:val="both"/>
    </w:pPr>
    <w:rPr>
      <w:rFonts w:ascii="Times New Roman" w:eastAsia="Times New Roman" w:hAnsi="Times New Roman" w:cs="Times New Roman"/>
      <w:sz w:val="20"/>
      <w:szCs w:val="20"/>
      <w:lang w:eastAsia="es-E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amoderna1">
    <w:name w:val="Tabla moderna1"/>
    <w:basedOn w:val="Tablanormal"/>
    <w:next w:val="Tablamoderna"/>
    <w:rsid w:val="00CE629E"/>
    <w:pPr>
      <w:ind w:left="567"/>
      <w:jc w:val="both"/>
    </w:pPr>
    <w:rPr>
      <w:rFonts w:ascii="Times New Roman" w:eastAsia="Times New Roman" w:hAnsi="Times New Roman" w:cs="Times New Roman"/>
      <w:sz w:val="20"/>
      <w:szCs w:val="20"/>
      <w:lang w:eastAsia="es-E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aconcuadrcula18">
    <w:name w:val="Tabla con cuadrícula18"/>
    <w:basedOn w:val="Tablanormal"/>
    <w:next w:val="Tablaconcuadrcula"/>
    <w:rsid w:val="00CE629E"/>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CE629E"/>
  </w:style>
  <w:style w:type="table" w:customStyle="1" w:styleId="Tablaconcuadrcula36">
    <w:name w:val="Tabla con cuadrícula36"/>
    <w:basedOn w:val="Tablanormal"/>
    <w:next w:val="Tablaconcuadrcula"/>
    <w:uiPriority w:val="5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
    <w:name w:val="Tabla con cuadrícula116"/>
    <w:basedOn w:val="Tablanormal"/>
    <w:next w:val="Tablaconcuadrcula"/>
    <w:uiPriority w:val="5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nhideWhenUsed/>
    <w:qFormat/>
    <w:rsid w:val="00CE629E"/>
    <w:pPr>
      <w:autoSpaceDE w:val="0"/>
      <w:autoSpaceDN w:val="0"/>
      <w:ind w:left="567"/>
      <w:jc w:val="both"/>
    </w:pPr>
    <w:rPr>
      <w:rFonts w:ascii="Calibri" w:eastAsia="Calibri" w:hAnsi="Calibri" w:cs="Calibri"/>
      <w:lang w:val="en-US"/>
    </w:rPr>
    <w:tblPr>
      <w:tblInd w:w="0" w:type="dxa"/>
      <w:tblCellMar>
        <w:top w:w="0" w:type="dxa"/>
        <w:left w:w="0" w:type="dxa"/>
        <w:bottom w:w="0" w:type="dxa"/>
        <w:right w:w="0" w:type="dxa"/>
      </w:tblCellMar>
    </w:tblPr>
  </w:style>
  <w:style w:type="table" w:customStyle="1" w:styleId="Tablaconcuadrcula213">
    <w:name w:val="Tabla con cuadrícula213"/>
    <w:basedOn w:val="Tablanormal"/>
    <w:next w:val="Tablaconcuadrcula"/>
    <w:uiPriority w:val="39"/>
    <w:rsid w:val="00CE629E"/>
    <w:pPr>
      <w:ind w:left="567"/>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1">
    <w:name w:val="Tabla de cuadrícula 4 - Énfasis 111"/>
    <w:basedOn w:val="Tablanormal"/>
    <w:uiPriority w:val="49"/>
    <w:rsid w:val="00CE629E"/>
    <w:pPr>
      <w:ind w:left="567"/>
      <w:jc w:val="both"/>
    </w:pPr>
    <w:rPr>
      <w:rFonts w:ascii="Calibri" w:eastAsia="Calibri" w:hAnsi="Calibri" w:cs="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Urci21">
    <w:name w:val="Tabla Urci2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21">
    <w:name w:val="Tabla Urci12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table" w:customStyle="1" w:styleId="TablaUrci1111">
    <w:name w:val="Tabla Urci1111"/>
    <w:basedOn w:val="Tablaelegante"/>
    <w:uiPriority w:val="99"/>
    <w:qFormat/>
    <w:rsid w:val="00CE629E"/>
    <w:rPr>
      <w:sz w:val="18"/>
      <w:szCs w:val="20"/>
      <w:lang w:val="en-US" w:eastAsia="es-ES"/>
    </w:rPr>
    <w:tblPr>
      <w:jc w:val="center"/>
    </w:tblPr>
    <w:trPr>
      <w:jc w:val="center"/>
    </w:trPr>
    <w:tcPr>
      <w:shd w:val="clear" w:color="auto" w:fill="auto"/>
      <w:vAlign w:val="center"/>
    </w:tcPr>
    <w:tblStylePr w:type="firstRow">
      <w:pPr>
        <w:wordWrap/>
        <w:jc w:val="center"/>
      </w:pPr>
      <w:rPr>
        <w:b/>
        <w:caps/>
        <w:color w:val="auto"/>
      </w:rPr>
      <w:tblPr/>
      <w:tcPr>
        <w:tcBorders>
          <w:tl2br w:val="none" w:sz="0" w:space="0" w:color="auto"/>
          <w:tr2bl w:val="none" w:sz="0" w:space="0" w:color="auto"/>
        </w:tcBorders>
      </w:tcPr>
    </w:tblStylePr>
  </w:style>
  <w:style w:type="numbering" w:customStyle="1" w:styleId="Estilo811">
    <w:name w:val="Estilo811"/>
    <w:uiPriority w:val="99"/>
    <w:rsid w:val="00CE629E"/>
  </w:style>
  <w:style w:type="table" w:customStyle="1" w:styleId="Tabladecuadrcula1clara-nfasis111">
    <w:name w:val="Tabla de cuadrícula 1 clara - Énfasis 111"/>
    <w:basedOn w:val="Tablanormal"/>
    <w:uiPriority w:val="46"/>
    <w:rsid w:val="00CE629E"/>
    <w:pPr>
      <w:ind w:left="567"/>
      <w:jc w:val="both"/>
    </w:pPr>
    <w:rPr>
      <w:rFonts w:ascii="Calibri" w:eastAsia="Calibri" w:hAnsi="Calibri" w:cs="Calibri"/>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aelegante1">
    <w:name w:val="Tabla elegante1"/>
    <w:basedOn w:val="Tablanormal"/>
    <w:next w:val="Tablaelegante"/>
    <w:uiPriority w:val="99"/>
    <w:semiHidden/>
    <w:unhideWhenUsed/>
    <w:rsid w:val="00CE629E"/>
    <w:pPr>
      <w:ind w:left="567"/>
      <w:jc w:val="both"/>
    </w:pPr>
    <w:rPr>
      <w:rFonts w:ascii="Calibri" w:eastAsia="Calibri" w:hAnsi="Calibri"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461">
    <w:name w:val="4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51">
    <w:name w:val="4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41">
    <w:name w:val="4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31">
    <w:name w:val="43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421">
    <w:name w:val="42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411">
    <w:name w:val="4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401">
    <w:name w:val="40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391">
    <w:name w:val="39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81">
    <w:name w:val="38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71">
    <w:name w:val="37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61">
    <w:name w:val="3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51">
    <w:name w:val="3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41">
    <w:name w:val="3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31">
    <w:name w:val="33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115" w:type="dxa"/>
        <w:right w:w="115" w:type="dxa"/>
      </w:tblCellMar>
    </w:tblPr>
  </w:style>
  <w:style w:type="table" w:customStyle="1" w:styleId="321">
    <w:name w:val="3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11">
    <w:name w:val="3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301">
    <w:name w:val="30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291">
    <w:name w:val="29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81">
    <w:name w:val="28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71">
    <w:name w:val="27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61">
    <w:name w:val="26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51">
    <w:name w:val="2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41">
    <w:name w:val="2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31">
    <w:name w:val="23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21">
    <w:name w:val="2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11">
    <w:name w:val="21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201">
    <w:name w:val="20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91">
    <w:name w:val="19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81">
    <w:name w:val="18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71">
    <w:name w:val="17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61">
    <w:name w:val="16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51">
    <w:name w:val="15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41">
    <w:name w:val="14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31">
    <w:name w:val="13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style>
  <w:style w:type="table" w:customStyle="1" w:styleId="121">
    <w:name w:val="121"/>
    <w:basedOn w:val="TableNormal2"/>
    <w:rsid w:val="00CE629E"/>
    <w:pPr>
      <w:autoSpaceDE w:val="0"/>
      <w:autoSpaceDN w:val="0"/>
      <w:ind w:left="567"/>
      <w:jc w:val="both"/>
    </w:pPr>
    <w:rPr>
      <w:rFonts w:ascii="Times New Roman" w:eastAsia="Times New Roman" w:hAnsi="Times New Roman" w:cs="Times New Roman"/>
      <w:sz w:val="18"/>
      <w:szCs w:val="18"/>
      <w:lang w:val="en-US"/>
    </w:rPr>
    <w:tblPr>
      <w:tblStyleRowBandSize w:val="1"/>
      <w:tblStyleColBandSize w:val="1"/>
      <w:tblInd w:w="0" w:type="dxa"/>
      <w:tblCellMar>
        <w:left w:w="115" w:type="dxa"/>
        <w:right w:w="115" w:type="dxa"/>
      </w:tblCellMar>
    </w:tblPr>
    <w:tcPr>
      <w:shd w:val="clear" w:color="auto" w:fill="auto"/>
      <w:vAlign w:val="center"/>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11">
    <w:name w:val="11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01">
    <w:name w:val="10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91">
    <w:name w:val="9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81">
    <w:name w:val="8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61">
    <w:name w:val="61"/>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57">
    <w:name w:val="57"/>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410">
    <w:name w:val="4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310">
    <w:name w:val="3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110">
    <w:name w:val="110"/>
    <w:basedOn w:val="TableNormal2"/>
    <w:rsid w:val="00CE629E"/>
    <w:pPr>
      <w:autoSpaceDE w:val="0"/>
      <w:autoSpaceDN w:val="0"/>
      <w:ind w:left="567"/>
      <w:jc w:val="both"/>
    </w:pPr>
    <w:rPr>
      <w:rFonts w:ascii="Calibri" w:eastAsia="Calibri" w:hAnsi="Calibri" w:cs="Calibri"/>
      <w:lang w:val="en-US"/>
    </w:rPr>
    <w:tblPr>
      <w:tblStyleRowBandSize w:val="1"/>
      <w:tblStyleColBandSize w:val="1"/>
      <w:tblInd w:w="0" w:type="dxa"/>
      <w:tblCellMar>
        <w:left w:w="70" w:type="dxa"/>
        <w:right w:w="70" w:type="dxa"/>
      </w:tblCellMar>
    </w:tblPr>
  </w:style>
  <w:style w:type="table" w:customStyle="1" w:styleId="TableNormal17">
    <w:name w:val="Table Normal17"/>
    <w:uiPriority w:val="2"/>
    <w:unhideWhenUsed/>
    <w:qFormat/>
    <w:rsid w:val="00CE629E"/>
    <w:rPr>
      <w:rFonts w:ascii="Arial MT" w:eastAsia="Arial MT" w:hAnsi="Arial MT" w:cs="Arial MT"/>
    </w:rPr>
    <w:tblPr>
      <w:tblInd w:w="0" w:type="dxa"/>
      <w:tblCellMar>
        <w:top w:w="0" w:type="dxa"/>
        <w:left w:w="0" w:type="dxa"/>
        <w:bottom w:w="0" w:type="dxa"/>
        <w:right w:w="0" w:type="dxa"/>
      </w:tblCellMar>
    </w:tblPr>
  </w:style>
  <w:style w:type="character" w:customStyle="1" w:styleId="Mencinsinresolver25">
    <w:name w:val="Mención sin resolver25"/>
    <w:basedOn w:val="Fuentedeprrafopredeter"/>
    <w:uiPriority w:val="99"/>
    <w:semiHidden/>
    <w:unhideWhenUsed/>
    <w:rsid w:val="00C9564D"/>
    <w:rPr>
      <w:color w:val="605E5C"/>
      <w:shd w:val="clear" w:color="auto" w:fill="E1DFDD"/>
    </w:rPr>
  </w:style>
  <w:style w:type="table" w:customStyle="1" w:styleId="TableCustom1">
    <w:name w:val="Table Custom1"/>
    <w:basedOn w:val="Tablanormal"/>
    <w:uiPriority w:val="99"/>
    <w:rsid w:val="00383D20"/>
    <w:rPr>
      <w:rFonts w:eastAsia="Times New Roman" w:cs="Calibri"/>
      <w:caps/>
      <w:color w:val="FFFFFF"/>
      <w:sz w:val="18"/>
      <w:szCs w:val="24"/>
      <w:lang w:val="en-US"/>
    </w:rPr>
    <w:tblPr>
      <w:tblStyleRowBandSize w:val="1"/>
      <w:tblStyleColBandSize w:val="1"/>
      <w:tblBorders>
        <w:top w:val="single" w:sz="12" w:space="0" w:color="005596"/>
        <w:left w:val="single" w:sz="4" w:space="0" w:color="B8CCE4"/>
        <w:bottom w:val="single" w:sz="12" w:space="0" w:color="005596"/>
        <w:right w:val="single" w:sz="4" w:space="0" w:color="B8CCE4"/>
        <w:insideH w:val="single" w:sz="4" w:space="0" w:color="B8CCE4"/>
        <w:insideV w:val="single" w:sz="4" w:space="0" w:color="B8CCE4"/>
      </w:tblBorders>
      <w:tblCellMar>
        <w:top w:w="43" w:type="dxa"/>
        <w:left w:w="115" w:type="dxa"/>
        <w:bottom w:w="43" w:type="dxa"/>
        <w:right w:w="115" w:type="dxa"/>
      </w:tblCellMar>
    </w:tblPr>
    <w:trPr>
      <w:cantSplit/>
    </w:trPr>
    <w:tcPr>
      <w:shd w:val="clear" w:color="auto" w:fill="auto"/>
    </w:tcPr>
    <w:tblStylePr w:type="firstRow">
      <w:rPr>
        <w:rFonts w:ascii="@Microsoft JhengHei Light" w:hAnsi="@Microsoft JhengHei Light"/>
        <w:b/>
        <w:caps/>
        <w:smallCaps w:val="0"/>
        <w:color w:val="FFFFFF"/>
        <w:sz w:val="18"/>
      </w:rPr>
      <w:tblPr/>
      <w:trPr>
        <w:tblHeader/>
      </w:trPr>
      <w:tcPr>
        <w:shd w:val="clear" w:color="auto" w:fill="005596"/>
      </w:tcPr>
    </w:tblStylePr>
    <w:tblStylePr w:type="firstCol">
      <w:rPr>
        <w:b w:val="0"/>
      </w:rPr>
    </w:tblStylePr>
    <w:tblStylePr w:type="band2Horz">
      <w:tblPr/>
      <w:tcPr>
        <w:shd w:val="clear" w:color="auto" w:fill="EDF2F4"/>
      </w:tcPr>
    </w:tblStylePr>
  </w:style>
  <w:style w:type="table" w:customStyle="1" w:styleId="bancomundial2">
    <w:name w:val="banco mundial2"/>
    <w:basedOn w:val="Tablanormal"/>
    <w:rsid w:val="00383D20"/>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Microsoft JhengHei UI Light" w:hAnsi="Microsoft JhengHei UI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bancomundial11">
    <w:name w:val="banco mundial11"/>
    <w:basedOn w:val="Tablanormal"/>
    <w:rsid w:val="00383D20"/>
    <w:pPr>
      <w:spacing w:before="40" w:after="40"/>
      <w:jc w:val="center"/>
    </w:pPr>
    <w:rPr>
      <w:rFonts w:ascii="Arial Narrow" w:eastAsia="Times New Roman" w:hAnsi="Arial Narrow" w:cs="Times New Roman"/>
      <w:color w:val="000000"/>
      <w:sz w:val="16"/>
      <w:szCs w:val="16"/>
      <w:lang w:val="es-CL"/>
    </w:rPr>
    <w:tblPr>
      <w:jc w:val="center"/>
      <w:tblBorders>
        <w:top w:val="threeDEngrave" w:sz="6" w:space="0" w:color="FFFFFF"/>
        <w:left w:val="threeDEngrave" w:sz="6" w:space="0" w:color="FFFFFF"/>
        <w:bottom w:val="threeDEngrave" w:sz="6" w:space="0" w:color="FFFFFF"/>
        <w:right w:val="threeDEngrave" w:sz="6" w:space="0" w:color="FFFFFF"/>
        <w:insideH w:val="threeDEngrave" w:sz="6" w:space="0" w:color="FFFFFF"/>
        <w:insideV w:val="threeDEngrave" w:sz="6" w:space="0" w:color="FFFFFF"/>
      </w:tblBorders>
    </w:tblPr>
    <w:trPr>
      <w:jc w:val="center"/>
    </w:trPr>
    <w:tcPr>
      <w:shd w:val="clear" w:color="auto" w:fill="B2C7CE"/>
      <w:vAlign w:val="center"/>
    </w:tcPr>
    <w:tblStylePr w:type="firstRow">
      <w:pPr>
        <w:jc w:val="center"/>
      </w:pPr>
      <w:rPr>
        <w:rFonts w:ascii="@Microsoft JhengHei UI Light" w:hAnsi="@Microsoft JhengHei UI Light"/>
        <w:b/>
        <w:color w:val="000000"/>
        <w:sz w:val="18"/>
      </w:rPr>
      <w:tblPr/>
      <w:tcPr>
        <w:shd w:val="clear" w:color="auto" w:fill="F4DD6A"/>
        <w:vAlign w:val="top"/>
      </w:tcPr>
    </w:tblStylePr>
    <w:tblStylePr w:type="firstCol">
      <w:rPr>
        <w:rFonts w:ascii="Arial Unicode MS" w:hAnsi="Arial Unicode MS"/>
        <w:b/>
        <w:color w:val="000000"/>
        <w:sz w:val="20"/>
      </w:rPr>
      <w:tblPr/>
      <w:tcPr>
        <w:shd w:val="clear" w:color="auto" w:fill="F4DD6A"/>
      </w:tcPr>
    </w:tblStylePr>
  </w:style>
  <w:style w:type="table" w:customStyle="1" w:styleId="TableNormal81">
    <w:name w:val="Table Normal81"/>
    <w:qFormat/>
    <w:rsid w:val="00383D20"/>
    <w:tblPr>
      <w:tblCellMar>
        <w:top w:w="0" w:type="dxa"/>
        <w:left w:w="0" w:type="dxa"/>
        <w:bottom w:w="0" w:type="dxa"/>
        <w:right w:w="0" w:type="dxa"/>
      </w:tblCellMar>
    </w:tblPr>
  </w:style>
  <w:style w:type="character" w:customStyle="1" w:styleId="Mencionar5">
    <w:name w:val="Mencionar5"/>
    <w:basedOn w:val="Fuentedeprrafopredeter"/>
    <w:uiPriority w:val="99"/>
    <w:unhideWhenUsed/>
    <w:rsid w:val="00383D20"/>
    <w:rPr>
      <w:color w:val="2B579A"/>
      <w:shd w:val="clear" w:color="auto" w:fill="E1DFDD"/>
    </w:rPr>
  </w:style>
  <w:style w:type="table" w:customStyle="1" w:styleId="136">
    <w:name w:val="13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5">
    <w:name w:val="13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4">
    <w:name w:val="134"/>
    <w:basedOn w:val="TableNormal8"/>
    <w:rsid w:val="00383D20"/>
    <w:pPr>
      <w:spacing w:line="240" w:lineRule="auto"/>
      <w:ind w:left="0"/>
      <w:jc w:val="left"/>
    </w:pPr>
    <w:rPr>
      <w:rFonts w:ascii="Arial" w:eastAsia="Arial" w:hAnsi="Arial" w:cs="Arial"/>
    </w:rPr>
    <w:tblPr>
      <w:tblStyleRowBandSize w:val="1"/>
      <w:tblStyleColBandSize w:val="1"/>
      <w:tblCellMar>
        <w:top w:w="3" w:type="dxa"/>
        <w:left w:w="115" w:type="dxa"/>
        <w:bottom w:w="3" w:type="dxa"/>
        <w:right w:w="115" w:type="dxa"/>
      </w:tblCellMar>
    </w:tblPr>
  </w:style>
  <w:style w:type="table" w:customStyle="1" w:styleId="133">
    <w:name w:val="13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2">
    <w:name w:val="13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11">
    <w:name w:val="13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30">
    <w:name w:val="13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9">
    <w:name w:val="12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8">
    <w:name w:val="12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7">
    <w:name w:val="12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6">
    <w:name w:val="12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5">
    <w:name w:val="12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4">
    <w:name w:val="12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3">
    <w:name w:val="12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2">
    <w:name w:val="12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11">
    <w:name w:val="12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20">
    <w:name w:val="12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9">
    <w:name w:val="11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8">
    <w:name w:val="11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7">
    <w:name w:val="11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6">
    <w:name w:val="11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5">
    <w:name w:val="11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4">
    <w:name w:val="11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3">
    <w:name w:val="11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2">
    <w:name w:val="11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11">
    <w:name w:val="11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101">
    <w:name w:val="110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9">
    <w:name w:val="10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8">
    <w:name w:val="10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7">
    <w:name w:val="10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6">
    <w:name w:val="10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5">
    <w:name w:val="10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4">
    <w:name w:val="10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3">
    <w:name w:val="10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2">
    <w:name w:val="10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11">
    <w:name w:val="10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100">
    <w:name w:val="10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9">
    <w:name w:val="9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8">
    <w:name w:val="9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7">
    <w:name w:val="9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6">
    <w:name w:val="9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5">
    <w:name w:val="9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4">
    <w:name w:val="9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3">
    <w:name w:val="9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2">
    <w:name w:val="9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11">
    <w:name w:val="9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90">
    <w:name w:val="9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9">
    <w:name w:val="8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8">
    <w:name w:val="8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7">
    <w:name w:val="8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6">
    <w:name w:val="8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5">
    <w:name w:val="8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4">
    <w:name w:val="8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3">
    <w:name w:val="8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2">
    <w:name w:val="8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11">
    <w:name w:val="8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80">
    <w:name w:val="8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9">
    <w:name w:val="7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8">
    <w:name w:val="7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7">
    <w:name w:val="77"/>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6">
    <w:name w:val="7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5">
    <w:name w:val="7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74">
    <w:name w:val="74"/>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3">
    <w:name w:val="73"/>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72">
    <w:name w:val="72"/>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1">
    <w:name w:val="71"/>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70">
    <w:name w:val="70"/>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69">
    <w:name w:val="69"/>
    <w:basedOn w:val="TableNormal8"/>
    <w:rsid w:val="00383D20"/>
    <w:pPr>
      <w:spacing w:line="240" w:lineRule="auto"/>
      <w:ind w:left="0"/>
      <w:jc w:val="left"/>
    </w:pPr>
    <w:rPr>
      <w:rFonts w:ascii="Arial" w:eastAsia="Arial" w:hAnsi="Arial" w:cs="Arial"/>
    </w:rPr>
    <w:tblPr>
      <w:tblStyleRowBandSize w:val="1"/>
      <w:tblStyleColBandSize w:val="1"/>
      <w:tblCellMar>
        <w:left w:w="70" w:type="dxa"/>
        <w:right w:w="70" w:type="dxa"/>
      </w:tblCellMar>
    </w:tblPr>
  </w:style>
  <w:style w:type="table" w:customStyle="1" w:styleId="68">
    <w:name w:val="68"/>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67">
    <w:name w:val="67"/>
    <w:basedOn w:val="TableNormal8"/>
    <w:rsid w:val="00383D20"/>
    <w:pPr>
      <w:spacing w:before="120" w:after="120" w:line="276" w:lineRule="auto"/>
    </w:pPr>
    <w:rPr>
      <w:smallCaps/>
      <w:color w:val="366091"/>
      <w:sz w:val="18"/>
      <w:szCs w:val="18"/>
    </w:rPr>
    <w:tblPr>
      <w:tblStyleRowBandSize w:val="1"/>
      <w:tblStyleColBandSize w:val="1"/>
      <w:tblCellMar>
        <w:left w:w="115" w:type="dxa"/>
        <w:right w:w="115" w:type="dxa"/>
      </w:tblCellMar>
    </w:tblPr>
    <w:tcPr>
      <w:shd w:val="clear" w:color="auto" w:fill="auto"/>
      <w:vAlign w:val="center"/>
    </w:tcPr>
  </w:style>
  <w:style w:type="table" w:customStyle="1" w:styleId="66">
    <w:name w:val="66"/>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5">
    <w:name w:val="65"/>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4">
    <w:name w:val="64"/>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3">
    <w:name w:val="63"/>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2">
    <w:name w:val="62"/>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11">
    <w:name w:val="611"/>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60">
    <w:name w:val="60"/>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9">
    <w:name w:val="59"/>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8">
    <w:name w:val="58"/>
    <w:basedOn w:val="TableNormal8"/>
    <w:rsid w:val="00383D20"/>
    <w:pPr>
      <w:spacing w:line="240" w:lineRule="auto"/>
      <w:ind w:left="0"/>
      <w:jc w:val="left"/>
    </w:pPr>
    <w:rPr>
      <w:rFonts w:ascii="Arial" w:eastAsia="Arial" w:hAnsi="Arial" w:cs="Arial"/>
    </w:rPr>
    <w:tblPr>
      <w:tblStyleRowBandSize w:val="1"/>
      <w:tblStyleColBandSize w:val="1"/>
      <w:tblCellMar>
        <w:left w:w="115" w:type="dxa"/>
        <w:right w:w="115" w:type="dxa"/>
      </w:tblCellMar>
    </w:tblPr>
  </w:style>
  <w:style w:type="table" w:customStyle="1" w:styleId="571">
    <w:name w:val="571"/>
    <w:basedOn w:val="TableNormal8"/>
    <w:rsid w:val="00383D20"/>
    <w:pPr>
      <w:spacing w:line="240" w:lineRule="auto"/>
      <w:ind w:left="0"/>
      <w:jc w:val="left"/>
    </w:pPr>
    <w:rPr>
      <w:rFonts w:ascii="Arial" w:eastAsia="Arial" w:hAnsi="Arial" w:cs="Arial"/>
    </w:rPr>
    <w:tblPr>
      <w:tblStyleRowBandSize w:val="1"/>
      <w:tblStyleColBandSize w:val="1"/>
      <w:tblCellMar>
        <w:top w:w="15" w:type="dxa"/>
        <w:left w:w="15" w:type="dxa"/>
        <w:bottom w:w="15" w:type="dxa"/>
        <w:right w:w="15" w:type="dxa"/>
      </w:tblCellMar>
    </w:tblPr>
  </w:style>
  <w:style w:type="character" w:customStyle="1" w:styleId="cf21">
    <w:name w:val="cf21"/>
    <w:basedOn w:val="Fuentedeprrafopredeter"/>
    <w:rsid w:val="00383D20"/>
    <w:rPr>
      <w:rFonts w:ascii="Segoe UI" w:hAnsi="Segoe UI" w:cs="Segoe UI" w:hint="default"/>
      <w:sz w:val="18"/>
      <w:szCs w:val="18"/>
    </w:rPr>
  </w:style>
  <w:style w:type="table" w:customStyle="1" w:styleId="Tablaconcuadrcula171">
    <w:name w:val="Tabla con cuadrícula171"/>
    <w:basedOn w:val="Tablanormal"/>
    <w:next w:val="Tablaconcuadrcula"/>
    <w:uiPriority w:val="39"/>
    <w:rsid w:val="00383D20"/>
    <w:rPr>
      <w:rFonts w:ascii="Aptos" w:eastAsia="Aptos" w:hAnsi="Apto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simple">
    <w:name w:val="Parrafo simple"/>
    <w:rsid w:val="00383D20"/>
    <w:pPr>
      <w:ind w:left="567"/>
      <w:jc w:val="both"/>
    </w:pPr>
    <w:rPr>
      <w:sz w:val="20"/>
      <w:szCs w:val="20"/>
      <w:lang w:val="es-ES_tradnl"/>
    </w:rPr>
  </w:style>
  <w:style w:type="paragraph" w:customStyle="1" w:styleId="Vietasimple">
    <w:name w:val="Viñeta simple"/>
    <w:basedOn w:val="Normal"/>
    <w:rsid w:val="00383D20"/>
    <w:pPr>
      <w:widowControl/>
      <w:numPr>
        <w:numId w:val="211"/>
      </w:numPr>
      <w:pBdr>
        <w:top w:val="nil"/>
        <w:left w:val="nil"/>
        <w:bottom w:val="nil"/>
        <w:right w:val="nil"/>
        <w:between w:val="nil"/>
      </w:pBdr>
      <w:spacing w:before="240" w:after="240"/>
      <w:contextualSpacing/>
      <w:jc w:val="both"/>
    </w:pPr>
    <w:rPr>
      <w:color w:val="000000"/>
      <w:sz w:val="20"/>
      <w:szCs w:val="20"/>
      <w:lang w:val="es-ES_tradnl"/>
    </w:rPr>
  </w:style>
  <w:style w:type="paragraph" w:customStyle="1" w:styleId="Consideraciones">
    <w:name w:val="Consideraciones"/>
    <w:basedOn w:val="Normal"/>
    <w:rsid w:val="00383D20"/>
    <w:pPr>
      <w:widowControl/>
      <w:spacing w:before="120" w:after="120"/>
      <w:contextualSpacing/>
      <w:jc w:val="both"/>
    </w:pPr>
    <w:rPr>
      <w:rFonts w:eastAsia="Times New Roman"/>
      <w:i/>
      <w:sz w:val="18"/>
      <w:szCs w:val="20"/>
      <w:lang w:val="es-ES_tradnl" w:eastAsia="es-ES"/>
    </w:rPr>
  </w:style>
  <w:style w:type="table" w:customStyle="1" w:styleId="Listavistosa-nfasis14">
    <w:name w:val="Lista vistosa - Énfasis 14"/>
    <w:basedOn w:val="Tablanormal"/>
    <w:next w:val="Listavistosa-nfasis1"/>
    <w:uiPriority w:val="72"/>
    <w:semiHidden/>
    <w:unhideWhenUsed/>
    <w:rsid w:val="00383D20"/>
    <w:rPr>
      <w:rFonts w:ascii="Aptos" w:eastAsia="Aptos" w:hAnsi="Aptos" w:cs="Times New Roman"/>
      <w:color w:val="000000"/>
    </w:rPr>
    <w:tblPr>
      <w:tblStyleRowBandSize w:val="1"/>
      <w:tblStyleColBandSize w:val="1"/>
    </w:tblPr>
    <w:tcPr>
      <w:shd w:val="clear" w:color="auto" w:fill="E0F2FA"/>
    </w:tcPr>
    <w:tblStylePr w:type="firstRow">
      <w:rPr>
        <w:b/>
        <w:bCs/>
        <w:color w:val="FFFFFF"/>
      </w:rPr>
      <w:tblPr/>
      <w:tcPr>
        <w:tcBorders>
          <w:bottom w:val="single" w:sz="12" w:space="0" w:color="FFFFFF"/>
        </w:tcBorders>
        <w:shd w:val="clear" w:color="auto" w:fill="CC5416"/>
      </w:tcPr>
    </w:tblStylePr>
    <w:tblStylePr w:type="lastRow">
      <w:rPr>
        <w:b/>
        <w:bCs/>
        <w:color w:val="CC5416"/>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customStyle="1" w:styleId="TableNormal171">
    <w:name w:val="Table Normal171"/>
    <w:uiPriority w:val="2"/>
    <w:semiHidden/>
    <w:unhideWhenUsed/>
    <w:qFormat/>
    <w:rsid w:val="00383D20"/>
    <w:rPr>
      <w:rFonts w:ascii="Aptos" w:eastAsia="Aptos" w:hAnsi="Aptos" w:cs="Times New Roman"/>
      <w:lang w:val="en-US"/>
    </w:rPr>
    <w:tblPr>
      <w:tblInd w:w="0" w:type="dxa"/>
      <w:tblCellMar>
        <w:top w:w="0" w:type="dxa"/>
        <w:left w:w="0" w:type="dxa"/>
        <w:bottom w:w="0" w:type="dxa"/>
        <w:right w:w="0" w:type="dxa"/>
      </w:tblCellMar>
    </w:tblPr>
  </w:style>
  <w:style w:type="table" w:customStyle="1" w:styleId="Tabladecuadrcula411">
    <w:name w:val="Tabla de cuadrícula 411"/>
    <w:basedOn w:val="Tablanormal"/>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
    <w:name w:val="Tabla de lista 41"/>
    <w:basedOn w:val="Tablanormal"/>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261">
    <w:name w:val="Tabla con cuadrícula261"/>
    <w:basedOn w:val="Tablanormal"/>
    <w:next w:val="Tablaconcuadrcula"/>
    <w:uiPriority w:val="39"/>
    <w:rsid w:val="00383D20"/>
    <w:rPr>
      <w:rFonts w:ascii="Aptos" w:eastAsia="Aptos" w:hAnsi="Apto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A0">
    <w:name w:val="FIGURA"/>
    <w:basedOn w:val="Normal"/>
    <w:uiPriority w:val="99"/>
    <w:qFormat/>
    <w:rsid w:val="00383D20"/>
    <w:pPr>
      <w:widowControl/>
      <w:tabs>
        <w:tab w:val="num" w:pos="720"/>
        <w:tab w:val="num" w:pos="851"/>
      </w:tabs>
      <w:spacing w:line="312" w:lineRule="auto"/>
      <w:jc w:val="center"/>
    </w:pPr>
    <w:rPr>
      <w:rFonts w:eastAsia="Times New Roman" w:cs="Times New Roman"/>
      <w:i/>
      <w:iCs/>
      <w:sz w:val="18"/>
      <w:szCs w:val="18"/>
      <w:shd w:val="clear" w:color="auto" w:fill="F9F9F9"/>
      <w:lang w:val="en-US" w:eastAsia="es-ES"/>
    </w:rPr>
  </w:style>
  <w:style w:type="table" w:customStyle="1" w:styleId="Tabladelista31">
    <w:name w:val="Tabla de lista 31"/>
    <w:basedOn w:val="Tablanormal"/>
    <w:uiPriority w:val="48"/>
    <w:rsid w:val="00383D20"/>
    <w:rPr>
      <w:rFonts w:ascii="Aptos" w:eastAsia="Aptos" w:hAnsi="Aptos" w:cs="Times New Roma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11">
    <w:name w:val="Tabla con cuadrícula clara11"/>
    <w:basedOn w:val="Tablanormal"/>
    <w:uiPriority w:val="40"/>
    <w:rsid w:val="00383D20"/>
    <w:rPr>
      <w:rFonts w:ascii="Aptos" w:eastAsia="Aptos" w:hAnsi="Apto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HEnumeracinvieta">
    <w:name w:val="H.Enumeración viñeta"/>
    <w:basedOn w:val="Normal"/>
    <w:qFormat/>
    <w:rsid w:val="00383D20"/>
    <w:pPr>
      <w:widowControl/>
      <w:tabs>
        <w:tab w:val="num" w:pos="720"/>
      </w:tabs>
      <w:spacing w:before="120" w:after="120" w:line="240" w:lineRule="atLeast"/>
      <w:ind w:left="720" w:hanging="720"/>
      <w:jc w:val="both"/>
    </w:pPr>
    <w:rPr>
      <w:rFonts w:ascii="Open Sans Light" w:eastAsia="Calibri" w:hAnsi="Open Sans Light" w:cs="Times New Roman"/>
      <w:color w:val="595959"/>
      <w:spacing w:val="10"/>
      <w:sz w:val="17"/>
      <w:lang w:val="es-ES_tradnl" w:eastAsia="es-ES"/>
    </w:rPr>
  </w:style>
  <w:style w:type="paragraph" w:customStyle="1" w:styleId="HIndice">
    <w:name w:val="H.Indice"/>
    <w:basedOn w:val="Normal"/>
    <w:rsid w:val="00383D20"/>
    <w:pPr>
      <w:widowControl/>
      <w:tabs>
        <w:tab w:val="left" w:pos="1134"/>
        <w:tab w:val="right" w:pos="9072"/>
      </w:tabs>
      <w:spacing w:before="120" w:after="120"/>
      <w:jc w:val="both"/>
    </w:pPr>
    <w:rPr>
      <w:rFonts w:ascii="Open Sans Light" w:eastAsia="Times New Roman" w:hAnsi="Open Sans Light" w:cs="Times New Roman"/>
      <w:caps/>
      <w:color w:val="595959"/>
      <w:spacing w:val="10"/>
      <w:sz w:val="17"/>
      <w:lang w:val="es-ES_tradnl" w:eastAsia="es-ES"/>
    </w:rPr>
  </w:style>
  <w:style w:type="paragraph" w:customStyle="1" w:styleId="HTtulo">
    <w:name w:val="H.Título"/>
    <w:link w:val="HTtuloCar"/>
    <w:qFormat/>
    <w:rsid w:val="00383D20"/>
    <w:pPr>
      <w:spacing w:after="240" w:line="276" w:lineRule="auto"/>
    </w:pPr>
    <w:rPr>
      <w:rFonts w:ascii="Open Sans Light" w:eastAsia="Calibri" w:hAnsi="Open Sans Light" w:cs="Gisha"/>
      <w:caps/>
      <w:spacing w:val="52"/>
      <w:sz w:val="52"/>
      <w:lang w:val="es-ES_tradnl" w:eastAsia="es-ES"/>
    </w:rPr>
  </w:style>
  <w:style w:type="character" w:customStyle="1" w:styleId="HTtuloCar">
    <w:name w:val="H.Título Car"/>
    <w:basedOn w:val="Fuentedeprrafopredeter"/>
    <w:link w:val="HTtulo"/>
    <w:rsid w:val="00383D20"/>
    <w:rPr>
      <w:rFonts w:ascii="Open Sans Light" w:eastAsia="Calibri" w:hAnsi="Open Sans Light" w:cs="Gisha"/>
      <w:caps/>
      <w:spacing w:val="52"/>
      <w:kern w:val="0"/>
      <w:sz w:val="52"/>
      <w:lang w:val="es-ES_tradnl" w:eastAsia="es-ES"/>
    </w:rPr>
  </w:style>
  <w:style w:type="paragraph" w:customStyle="1" w:styleId="HTABLATXT">
    <w:name w:val="H.TABLA TXT"/>
    <w:basedOn w:val="HTABLATITULO"/>
    <w:rsid w:val="00383D20"/>
    <w:pPr>
      <w:framePr w:wrap="around"/>
    </w:pPr>
    <w:rPr>
      <w:color w:val="595959"/>
    </w:rPr>
  </w:style>
  <w:style w:type="paragraph" w:customStyle="1" w:styleId="HTABLATITULO">
    <w:name w:val="H.TABLA TITULO"/>
    <w:basedOn w:val="Normal"/>
    <w:rsid w:val="00383D20"/>
    <w:pPr>
      <w:framePr w:hSpace="141" w:wrap="around" w:vAnchor="text" w:hAnchor="margin" w:y="477"/>
      <w:widowControl/>
      <w:spacing w:before="100" w:after="100"/>
    </w:pPr>
    <w:rPr>
      <w:rFonts w:ascii="Open Sans Light" w:eastAsia="Times New Roman" w:hAnsi="Open Sans Light" w:cs="Times New Roman"/>
      <w:color w:val="262626"/>
      <w:spacing w:val="10"/>
      <w:sz w:val="18"/>
      <w:lang w:val="es-ES_tradnl" w:eastAsia="es-ES"/>
    </w:rPr>
  </w:style>
  <w:style w:type="paragraph" w:customStyle="1" w:styleId="HSubttulo">
    <w:name w:val="H.Subtítulo"/>
    <w:basedOn w:val="Normal"/>
    <w:qFormat/>
    <w:rsid w:val="00383D20"/>
    <w:pPr>
      <w:widowControl/>
      <w:spacing w:before="240"/>
      <w:ind w:left="1134"/>
      <w:jc w:val="both"/>
    </w:pPr>
    <w:rPr>
      <w:rFonts w:ascii="Open Sans Light" w:eastAsia="Times New Roman" w:hAnsi="Open Sans Light" w:cs="Times New Roman"/>
      <w:caps/>
      <w:color w:val="595959"/>
      <w:spacing w:val="56"/>
      <w:sz w:val="18"/>
      <w:lang w:val="es-ES_tradnl" w:eastAsia="es-ES"/>
    </w:rPr>
  </w:style>
  <w:style w:type="paragraph" w:customStyle="1" w:styleId="HEnumeracinN">
    <w:name w:val="H.Enumeración Nº"/>
    <w:basedOn w:val="HEnumeracinvieta"/>
    <w:rsid w:val="00383D20"/>
    <w:pPr>
      <w:ind w:left="570" w:hanging="570"/>
    </w:pPr>
  </w:style>
  <w:style w:type="paragraph" w:customStyle="1" w:styleId="HEnumeracinletra">
    <w:name w:val="H.Enumeración letra"/>
    <w:basedOn w:val="HEnumeracinvieta"/>
    <w:next w:val="Normal"/>
    <w:qFormat/>
    <w:rsid w:val="00383D20"/>
    <w:pPr>
      <w:ind w:left="927"/>
    </w:pPr>
  </w:style>
  <w:style w:type="table" w:customStyle="1" w:styleId="Tabladecuadrcula42">
    <w:name w:val="Tabla de cuadrícula 42"/>
    <w:basedOn w:val="Tablanormal"/>
    <w:next w:val="Tabladecuadrcula4"/>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2">
    <w:name w:val="Tabla de lista 42"/>
    <w:basedOn w:val="Tablanormal"/>
    <w:next w:val="Tabladelista4"/>
    <w:uiPriority w:val="49"/>
    <w:rsid w:val="00383D20"/>
    <w:rPr>
      <w:rFonts w:ascii="Aptos" w:eastAsia="Aptos" w:hAnsi="Aptos" w:cs="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32">
    <w:name w:val="Tabla de lista 32"/>
    <w:basedOn w:val="Tablanormal"/>
    <w:next w:val="Tabladelista3"/>
    <w:uiPriority w:val="48"/>
    <w:rsid w:val="00383D20"/>
    <w:rPr>
      <w:rFonts w:ascii="Aptos" w:eastAsia="Aptos" w:hAnsi="Aptos" w:cs="Times New Roma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2">
    <w:name w:val="Tabla con cuadrícula clara2"/>
    <w:basedOn w:val="Tablanormal"/>
    <w:next w:val="Tablaconcuadrculaclara"/>
    <w:uiPriority w:val="40"/>
    <w:rsid w:val="00383D20"/>
    <w:rPr>
      <w:rFonts w:ascii="Aptos" w:eastAsia="Aptos" w:hAnsi="Aptos"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711">
    <w:name w:val="Tabla con cuadrícula1711"/>
    <w:basedOn w:val="Tablanormal"/>
    <w:next w:val="Tablaconcuadrcula"/>
    <w:uiPriority w:val="39"/>
    <w:rsid w:val="00383D20"/>
    <w:pPr>
      <w:ind w:left="567"/>
      <w:jc w:val="both"/>
    </w:pPr>
    <w:rPr>
      <w:rFonts w:ascii="Times New Roman" w:eastAsia="Times New Roman" w:hAnsi="Times New Roman" w:cs="Times New Roman"/>
      <w:sz w:val="20"/>
      <w:szCs w:val="20"/>
      <w:lang w:val="ca-ES" w:eastAsia="ca-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771"/>
    <w:basedOn w:val="Tablanormal"/>
    <w:rsid w:val="00383D20"/>
    <w:tblPr>
      <w:tblStyleRowBandSize w:val="1"/>
      <w:tblStyleColBandSize w:val="1"/>
      <w:tblInd w:w="0" w:type="nil"/>
      <w:tblCellMar>
        <w:left w:w="115" w:type="dxa"/>
        <w:right w:w="115" w:type="dxa"/>
      </w:tblCellMar>
    </w:tblPr>
  </w:style>
  <w:style w:type="table" w:customStyle="1" w:styleId="Tabladecuadrcula43">
    <w:name w:val="Tabla de cuadrícula 43"/>
    <w:basedOn w:val="Tablanormal"/>
    <w:next w:val="Tabladecuadrcula4"/>
    <w:uiPriority w:val="49"/>
    <w:rsid w:val="00383D2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3">
    <w:name w:val="Tabla de lista 43"/>
    <w:basedOn w:val="Tablanormal"/>
    <w:next w:val="Tabladelista4"/>
    <w:uiPriority w:val="49"/>
    <w:rsid w:val="00383D2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33">
    <w:name w:val="Tabla de lista 33"/>
    <w:basedOn w:val="Tablanormal"/>
    <w:next w:val="Tabladelista3"/>
    <w:uiPriority w:val="48"/>
    <w:rsid w:val="00383D2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laconcuadrculaclara3">
    <w:name w:val="Tabla con cuadrícula clara3"/>
    <w:basedOn w:val="Tablanormal"/>
    <w:next w:val="Tablaconcuadrculaclara"/>
    <w:uiPriority w:val="40"/>
    <w:rsid w:val="00383D2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decuadrcula4">
    <w:name w:val="Grid Table 4"/>
    <w:basedOn w:val="Tablanormal"/>
    <w:uiPriority w:val="49"/>
    <w:rsid w:val="00383D2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
    <w:name w:val="List Table 4"/>
    <w:basedOn w:val="Tablanormal"/>
    <w:uiPriority w:val="49"/>
    <w:rsid w:val="00383D2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3">
    <w:name w:val="List Table 3"/>
    <w:basedOn w:val="Tablanormal"/>
    <w:uiPriority w:val="48"/>
    <w:rsid w:val="00383D2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concuadrculaclara">
    <w:name w:val="Grid Table Light"/>
    <w:basedOn w:val="Tablanormal"/>
    <w:uiPriority w:val="40"/>
    <w:rsid w:val="00383D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26">
    <w:name w:val="Mención sin resolver26"/>
    <w:basedOn w:val="Fuentedeprrafopredeter"/>
    <w:uiPriority w:val="99"/>
    <w:semiHidden/>
    <w:unhideWhenUsed/>
    <w:rsid w:val="00D275A1"/>
    <w:rPr>
      <w:color w:val="605E5C"/>
      <w:shd w:val="clear" w:color="auto" w:fill="E1DFDD"/>
    </w:rPr>
  </w:style>
  <w:style w:type="table" w:customStyle="1" w:styleId="TableNormal9">
    <w:name w:val="Table Normal9"/>
    <w:qFormat/>
    <w:rsid w:val="00D01164"/>
    <w:tblPr>
      <w:tblCellMar>
        <w:top w:w="0" w:type="dxa"/>
        <w:left w:w="0" w:type="dxa"/>
        <w:bottom w:w="0" w:type="dxa"/>
        <w:right w:w="0" w:type="dxa"/>
      </w:tblCellMar>
    </w:tblPr>
  </w:style>
  <w:style w:type="table" w:customStyle="1" w:styleId="270">
    <w:name w:val="27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9">
    <w:name w:val="26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8">
    <w:name w:val="26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7">
    <w:name w:val="26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6">
    <w:name w:val="26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5">
    <w:name w:val="26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4">
    <w:name w:val="26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3">
    <w:name w:val="26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2">
    <w:name w:val="26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60">
    <w:name w:val="26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9">
    <w:name w:val="25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8">
    <w:name w:val="25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7">
    <w:name w:val="25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6">
    <w:name w:val="25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5">
    <w:name w:val="25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4">
    <w:name w:val="25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3">
    <w:name w:val="25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2">
    <w:name w:val="25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50">
    <w:name w:val="25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9">
    <w:name w:val="24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8">
    <w:name w:val="24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7">
    <w:name w:val="24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6">
    <w:name w:val="24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5">
    <w:name w:val="24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4">
    <w:name w:val="24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3">
    <w:name w:val="24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2">
    <w:name w:val="24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40">
    <w:name w:val="24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9">
    <w:name w:val="23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8">
    <w:name w:val="23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7">
    <w:name w:val="23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6">
    <w:name w:val="23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5">
    <w:name w:val="23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4">
    <w:name w:val="23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3">
    <w:name w:val="23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2">
    <w:name w:val="23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30">
    <w:name w:val="23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9">
    <w:name w:val="22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8">
    <w:name w:val="22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7">
    <w:name w:val="22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6">
    <w:name w:val="22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5">
    <w:name w:val="22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4">
    <w:name w:val="22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3">
    <w:name w:val="22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2">
    <w:name w:val="22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20">
    <w:name w:val="22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9">
    <w:name w:val="21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8">
    <w:name w:val="21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7">
    <w:name w:val="21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6">
    <w:name w:val="21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5">
    <w:name w:val="21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4">
    <w:name w:val="214"/>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3">
    <w:name w:val="21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2">
    <w:name w:val="212"/>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10">
    <w:name w:val="210"/>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9">
    <w:name w:val="20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8">
    <w:name w:val="208"/>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7">
    <w:name w:val="20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6">
    <w:name w:val="206"/>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5">
    <w:name w:val="205"/>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4">
    <w:name w:val="204"/>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3">
    <w:name w:val="203"/>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202">
    <w:name w:val="202"/>
    <w:basedOn w:val="TableNormal9"/>
    <w:pPr>
      <w:ind w:left="567"/>
      <w:jc w:val="both"/>
    </w:pPr>
    <w:rPr>
      <w:rFonts w:ascii="Calibri" w:eastAsia="Calibri" w:hAnsi="Calibri" w:cs="Calibri"/>
      <w:sz w:val="18"/>
      <w:szCs w:val="18"/>
    </w:rPr>
    <w:tblPr>
      <w:tblStyleRowBandSize w:val="1"/>
      <w:tblStyleColBandSize w:val="1"/>
      <w:tblCellMar>
        <w:left w:w="70" w:type="dxa"/>
        <w:right w:w="70" w:type="dxa"/>
      </w:tblCellMar>
    </w:tblPr>
    <w:tcPr>
      <w:shd w:val="clear" w:color="auto" w:fill="auto"/>
      <w:vAlign w:val="center"/>
    </w:tcPr>
  </w:style>
  <w:style w:type="table" w:customStyle="1" w:styleId="200">
    <w:name w:val="200"/>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9">
    <w:name w:val="199"/>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8">
    <w:name w:val="198"/>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7">
    <w:name w:val="197"/>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6">
    <w:name w:val="196"/>
    <w:basedOn w:val="TableNormal9"/>
    <w:pPr>
      <w:spacing w:before="120" w:after="120"/>
    </w:pPr>
    <w:rPr>
      <w:smallCaps/>
      <w:color w:val="366091"/>
      <w:sz w:val="18"/>
      <w:szCs w:val="18"/>
    </w:rPr>
    <w:tblPr>
      <w:tblStyleRowBandSize w:val="1"/>
      <w:tblStyleColBandSize w:val="1"/>
      <w:tblCellMar>
        <w:top w:w="15" w:type="dxa"/>
        <w:left w:w="15" w:type="dxa"/>
        <w:bottom w:w="15" w:type="dxa"/>
        <w:right w:w="15" w:type="dxa"/>
      </w:tblCellMar>
    </w:tblPr>
    <w:tcPr>
      <w:shd w:val="clear" w:color="auto" w:fill="auto"/>
      <w:vAlign w:val="center"/>
    </w:tcPr>
  </w:style>
  <w:style w:type="table" w:customStyle="1" w:styleId="195">
    <w:name w:val="195"/>
    <w:basedOn w:val="TableNormal9"/>
    <w:tblPr>
      <w:tblStyleRowBandSize w:val="1"/>
      <w:tblStyleColBandSize w:val="1"/>
      <w:tblCellMar>
        <w:left w:w="115" w:type="dxa"/>
        <w:right w:w="115" w:type="dxa"/>
      </w:tblCellMar>
    </w:tblPr>
  </w:style>
  <w:style w:type="table" w:customStyle="1" w:styleId="194">
    <w:name w:val="19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93">
    <w:name w:val="19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92">
    <w:name w:val="192"/>
    <w:basedOn w:val="TableNormal9"/>
    <w:tblPr>
      <w:tblStyleRowBandSize w:val="1"/>
      <w:tblStyleColBandSize w:val="1"/>
      <w:tblCellMar>
        <w:left w:w="70" w:type="dxa"/>
        <w:right w:w="70" w:type="dxa"/>
      </w:tblCellMar>
    </w:tblPr>
  </w:style>
  <w:style w:type="table" w:customStyle="1" w:styleId="190">
    <w:name w:val="190"/>
    <w:basedOn w:val="TableNormal9"/>
    <w:tblPr>
      <w:tblStyleRowBandSize w:val="1"/>
      <w:tblStyleColBandSize w:val="1"/>
      <w:tblCellMar>
        <w:left w:w="70" w:type="dxa"/>
        <w:right w:w="70" w:type="dxa"/>
      </w:tblCellMar>
    </w:tblPr>
  </w:style>
  <w:style w:type="table" w:customStyle="1" w:styleId="189">
    <w:name w:val="189"/>
    <w:basedOn w:val="TableNormal9"/>
    <w:tblPr>
      <w:tblStyleRowBandSize w:val="1"/>
      <w:tblStyleColBandSize w:val="1"/>
      <w:tblCellMar>
        <w:left w:w="70" w:type="dxa"/>
        <w:right w:w="70" w:type="dxa"/>
      </w:tblCellMar>
    </w:tblPr>
  </w:style>
  <w:style w:type="table" w:customStyle="1" w:styleId="188">
    <w:name w:val="188"/>
    <w:basedOn w:val="TableNormal9"/>
    <w:tblPr>
      <w:tblStyleRowBandSize w:val="1"/>
      <w:tblStyleColBandSize w:val="1"/>
      <w:tblCellMar>
        <w:left w:w="70" w:type="dxa"/>
        <w:right w:w="70" w:type="dxa"/>
      </w:tblCellMar>
    </w:tblPr>
  </w:style>
  <w:style w:type="table" w:customStyle="1" w:styleId="187">
    <w:name w:val="187"/>
    <w:basedOn w:val="TableNormal9"/>
    <w:tblPr>
      <w:tblStyleRowBandSize w:val="1"/>
      <w:tblStyleColBandSize w:val="1"/>
      <w:tblCellMar>
        <w:left w:w="70" w:type="dxa"/>
        <w:right w:w="70" w:type="dxa"/>
      </w:tblCellMar>
    </w:tblPr>
  </w:style>
  <w:style w:type="table" w:customStyle="1" w:styleId="186">
    <w:name w:val="186"/>
    <w:basedOn w:val="TableNormal9"/>
    <w:tblPr>
      <w:tblStyleRowBandSize w:val="1"/>
      <w:tblStyleColBandSize w:val="1"/>
      <w:tblCellMar>
        <w:left w:w="70" w:type="dxa"/>
        <w:right w:w="70" w:type="dxa"/>
      </w:tblCellMar>
    </w:tblPr>
  </w:style>
  <w:style w:type="table" w:customStyle="1" w:styleId="185">
    <w:name w:val="185"/>
    <w:basedOn w:val="TableNormal9"/>
    <w:tblPr>
      <w:tblStyleRowBandSize w:val="1"/>
      <w:tblStyleColBandSize w:val="1"/>
      <w:tblCellMar>
        <w:left w:w="70" w:type="dxa"/>
        <w:right w:w="70" w:type="dxa"/>
      </w:tblCellMar>
    </w:tblPr>
  </w:style>
  <w:style w:type="table" w:customStyle="1" w:styleId="184">
    <w:name w:val="184"/>
    <w:basedOn w:val="TableNormal9"/>
    <w:tblPr>
      <w:tblStyleRowBandSize w:val="1"/>
      <w:tblStyleColBandSize w:val="1"/>
      <w:tblCellMar>
        <w:left w:w="70" w:type="dxa"/>
        <w:right w:w="70" w:type="dxa"/>
      </w:tblCellMar>
    </w:tblPr>
  </w:style>
  <w:style w:type="table" w:customStyle="1" w:styleId="183">
    <w:name w:val="183"/>
    <w:basedOn w:val="TableNormal9"/>
    <w:tblPr>
      <w:tblStyleRowBandSize w:val="1"/>
      <w:tblStyleColBandSize w:val="1"/>
      <w:tblCellMar>
        <w:left w:w="70" w:type="dxa"/>
        <w:right w:w="70" w:type="dxa"/>
      </w:tblCellMar>
    </w:tblPr>
  </w:style>
  <w:style w:type="table" w:customStyle="1" w:styleId="182">
    <w:name w:val="182"/>
    <w:basedOn w:val="TableNormal9"/>
    <w:tblPr>
      <w:tblStyleRowBandSize w:val="1"/>
      <w:tblStyleColBandSize w:val="1"/>
      <w:tblCellMar>
        <w:left w:w="70" w:type="dxa"/>
        <w:right w:w="70" w:type="dxa"/>
      </w:tblCellMar>
    </w:tblPr>
  </w:style>
  <w:style w:type="table" w:customStyle="1" w:styleId="180">
    <w:name w:val="180"/>
    <w:basedOn w:val="TableNormal9"/>
    <w:tblPr>
      <w:tblStyleRowBandSize w:val="1"/>
      <w:tblStyleColBandSize w:val="1"/>
      <w:tblCellMar>
        <w:left w:w="70" w:type="dxa"/>
        <w:right w:w="70" w:type="dxa"/>
      </w:tblCellMar>
    </w:tblPr>
  </w:style>
  <w:style w:type="table" w:customStyle="1" w:styleId="179">
    <w:name w:val="179"/>
    <w:basedOn w:val="TableNormal9"/>
    <w:tblPr>
      <w:tblStyleRowBandSize w:val="1"/>
      <w:tblStyleColBandSize w:val="1"/>
      <w:tblCellMar>
        <w:left w:w="70" w:type="dxa"/>
        <w:right w:w="70" w:type="dxa"/>
      </w:tblCellMar>
    </w:tblPr>
  </w:style>
  <w:style w:type="table" w:customStyle="1" w:styleId="178">
    <w:name w:val="178"/>
    <w:basedOn w:val="TableNormal9"/>
    <w:tblPr>
      <w:tblStyleRowBandSize w:val="1"/>
      <w:tblStyleColBandSize w:val="1"/>
      <w:tblCellMar>
        <w:left w:w="70" w:type="dxa"/>
        <w:right w:w="70" w:type="dxa"/>
      </w:tblCellMar>
    </w:tblPr>
  </w:style>
  <w:style w:type="table" w:customStyle="1" w:styleId="177">
    <w:name w:val="177"/>
    <w:basedOn w:val="TableNormal9"/>
    <w:tblPr>
      <w:tblStyleRowBandSize w:val="1"/>
      <w:tblStyleColBandSize w:val="1"/>
      <w:tblCellMar>
        <w:left w:w="70" w:type="dxa"/>
        <w:right w:w="70" w:type="dxa"/>
      </w:tblCellMar>
    </w:tblPr>
  </w:style>
  <w:style w:type="table" w:customStyle="1" w:styleId="176">
    <w:name w:val="176"/>
    <w:basedOn w:val="TableNormal9"/>
    <w:tblPr>
      <w:tblStyleRowBandSize w:val="1"/>
      <w:tblStyleColBandSize w:val="1"/>
      <w:tblCellMar>
        <w:left w:w="70" w:type="dxa"/>
        <w:right w:w="70" w:type="dxa"/>
      </w:tblCellMar>
    </w:tblPr>
  </w:style>
  <w:style w:type="table" w:customStyle="1" w:styleId="175">
    <w:name w:val="175"/>
    <w:basedOn w:val="TableNormal9"/>
    <w:tblPr>
      <w:tblStyleRowBandSize w:val="1"/>
      <w:tblStyleColBandSize w:val="1"/>
      <w:tblCellMar>
        <w:left w:w="70" w:type="dxa"/>
        <w:right w:w="70" w:type="dxa"/>
      </w:tblCellMar>
    </w:tblPr>
  </w:style>
  <w:style w:type="table" w:customStyle="1" w:styleId="174">
    <w:name w:val="174"/>
    <w:basedOn w:val="TableNormal9"/>
    <w:tblPr>
      <w:tblStyleRowBandSize w:val="1"/>
      <w:tblStyleColBandSize w:val="1"/>
      <w:tblCellMar>
        <w:left w:w="70" w:type="dxa"/>
        <w:right w:w="70" w:type="dxa"/>
      </w:tblCellMar>
    </w:tblPr>
  </w:style>
  <w:style w:type="table" w:customStyle="1" w:styleId="173">
    <w:name w:val="173"/>
    <w:basedOn w:val="TableNormal9"/>
    <w:tblPr>
      <w:tblStyleRowBandSize w:val="1"/>
      <w:tblStyleColBandSize w:val="1"/>
      <w:tblCellMar>
        <w:left w:w="70" w:type="dxa"/>
        <w:right w:w="70" w:type="dxa"/>
      </w:tblCellMar>
    </w:tblPr>
  </w:style>
  <w:style w:type="table" w:customStyle="1" w:styleId="172">
    <w:name w:val="172"/>
    <w:basedOn w:val="TableNormal9"/>
    <w:tblPr>
      <w:tblStyleRowBandSize w:val="1"/>
      <w:tblStyleColBandSize w:val="1"/>
      <w:tblCellMar>
        <w:left w:w="70" w:type="dxa"/>
        <w:right w:w="70" w:type="dxa"/>
      </w:tblCellMar>
    </w:tblPr>
  </w:style>
  <w:style w:type="table" w:customStyle="1" w:styleId="170">
    <w:name w:val="170"/>
    <w:basedOn w:val="TableNormal9"/>
    <w:tblPr>
      <w:tblStyleRowBandSize w:val="1"/>
      <w:tblStyleColBandSize w:val="1"/>
      <w:tblCellMar>
        <w:left w:w="70" w:type="dxa"/>
        <w:right w:w="70" w:type="dxa"/>
      </w:tblCellMar>
    </w:tblPr>
  </w:style>
  <w:style w:type="table" w:customStyle="1" w:styleId="169">
    <w:name w:val="169"/>
    <w:basedOn w:val="TableNormal9"/>
    <w:tblPr>
      <w:tblStyleRowBandSize w:val="1"/>
      <w:tblStyleColBandSize w:val="1"/>
      <w:tblCellMar>
        <w:left w:w="70" w:type="dxa"/>
        <w:right w:w="70" w:type="dxa"/>
      </w:tblCellMar>
    </w:tblPr>
  </w:style>
  <w:style w:type="table" w:customStyle="1" w:styleId="168">
    <w:name w:val="16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7">
    <w:name w:val="16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6">
    <w:name w:val="166"/>
    <w:basedOn w:val="TableNormal9"/>
    <w:tblPr>
      <w:tblStyleRowBandSize w:val="1"/>
      <w:tblStyleColBandSize w:val="1"/>
      <w:tblCellMar>
        <w:left w:w="70" w:type="dxa"/>
        <w:right w:w="70" w:type="dxa"/>
      </w:tblCellMar>
    </w:tblPr>
  </w:style>
  <w:style w:type="table" w:customStyle="1" w:styleId="165">
    <w:name w:val="165"/>
    <w:basedOn w:val="TableNormal9"/>
    <w:tblPr>
      <w:tblStyleRowBandSize w:val="1"/>
      <w:tblStyleColBandSize w:val="1"/>
      <w:tblCellMar>
        <w:left w:w="70" w:type="dxa"/>
        <w:right w:w="70" w:type="dxa"/>
      </w:tblCellMar>
    </w:tblPr>
  </w:style>
  <w:style w:type="table" w:customStyle="1" w:styleId="164">
    <w:name w:val="16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3">
    <w:name w:val="16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62">
    <w:name w:val="162"/>
    <w:basedOn w:val="TableNormal9"/>
    <w:tblPr>
      <w:tblStyleRowBandSize w:val="1"/>
      <w:tblStyleColBandSize w:val="1"/>
      <w:tblCellMar>
        <w:top w:w="3" w:type="dxa"/>
        <w:left w:w="115" w:type="dxa"/>
        <w:bottom w:w="3" w:type="dxa"/>
        <w:right w:w="115" w:type="dxa"/>
      </w:tblCellMar>
    </w:tblPr>
  </w:style>
  <w:style w:type="table" w:customStyle="1" w:styleId="160">
    <w:name w:val="160"/>
    <w:basedOn w:val="TableNormal9"/>
    <w:tblPr>
      <w:tblStyleRowBandSize w:val="1"/>
      <w:tblStyleColBandSize w:val="1"/>
      <w:tblCellMar>
        <w:top w:w="3" w:type="dxa"/>
        <w:left w:w="115" w:type="dxa"/>
        <w:bottom w:w="3" w:type="dxa"/>
        <w:right w:w="115" w:type="dxa"/>
      </w:tblCellMar>
    </w:tblPr>
  </w:style>
  <w:style w:type="table" w:customStyle="1" w:styleId="159">
    <w:name w:val="159"/>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8">
    <w:name w:val="15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7">
    <w:name w:val="15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6">
    <w:name w:val="156"/>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5">
    <w:name w:val="155"/>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4">
    <w:name w:val="154"/>
    <w:basedOn w:val="TableNormal9"/>
    <w:tblPr>
      <w:tblStyleRowBandSize w:val="1"/>
      <w:tblStyleColBandSize w:val="1"/>
      <w:tblCellMar>
        <w:left w:w="70" w:type="dxa"/>
        <w:right w:w="70" w:type="dxa"/>
      </w:tblCellMar>
    </w:tblPr>
  </w:style>
  <w:style w:type="table" w:customStyle="1" w:styleId="153">
    <w:name w:val="15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2">
    <w:name w:val="152"/>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50">
    <w:name w:val="150"/>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9">
    <w:name w:val="149"/>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8">
    <w:name w:val="148"/>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7">
    <w:name w:val="14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6">
    <w:name w:val="146"/>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5">
    <w:name w:val="145"/>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4">
    <w:name w:val="144"/>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3">
    <w:name w:val="143"/>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2">
    <w:name w:val="142"/>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40">
    <w:name w:val="140"/>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table" w:customStyle="1" w:styleId="139">
    <w:name w:val="139"/>
    <w:basedOn w:val="TableNormal9"/>
    <w:tblPr>
      <w:tblStyleRowBandSize w:val="1"/>
      <w:tblStyleColBandSize w:val="1"/>
      <w:tblCellMar>
        <w:left w:w="115" w:type="dxa"/>
        <w:right w:w="115" w:type="dxa"/>
      </w:tblCellMar>
    </w:tblPr>
  </w:style>
  <w:style w:type="table" w:customStyle="1" w:styleId="138">
    <w:name w:val="138"/>
    <w:basedOn w:val="TableNormal9"/>
    <w:tblPr>
      <w:tblStyleRowBandSize w:val="1"/>
      <w:tblStyleColBandSize w:val="1"/>
      <w:tblCellMar>
        <w:left w:w="115" w:type="dxa"/>
        <w:right w:w="115" w:type="dxa"/>
      </w:tblCellMar>
    </w:tblPr>
  </w:style>
  <w:style w:type="table" w:customStyle="1" w:styleId="137">
    <w:name w:val="137"/>
    <w:basedOn w:val="TableNormal9"/>
    <w:pPr>
      <w:spacing w:before="40"/>
      <w:ind w:left="567"/>
      <w:jc w:val="both"/>
    </w:pPr>
    <w:rPr>
      <w:smallCaps/>
      <w:color w:val="000000"/>
      <w:sz w:val="20"/>
      <w:szCs w:val="20"/>
    </w:rPr>
    <w:tblPr>
      <w:tblStyleRowBandSize w:val="1"/>
      <w:tblStyleColBandSize w:val="1"/>
      <w:tblCellMar>
        <w:left w:w="115" w:type="dxa"/>
        <w:right w:w="115" w:type="dxa"/>
      </w:tblCellMar>
    </w:tblPr>
    <w:tcPr>
      <w:shd w:val="clear" w:color="auto" w:fill="E0F2FA"/>
      <w:vAlign w:val="center"/>
    </w:tcPr>
  </w:style>
  <w:style w:type="character" w:customStyle="1" w:styleId="Mencinsinresolver27">
    <w:name w:val="Mención sin resolver27"/>
    <w:basedOn w:val="Fuentedeprrafopredeter"/>
    <w:uiPriority w:val="99"/>
    <w:semiHidden/>
    <w:unhideWhenUsed/>
    <w:rsid w:val="00336C2A"/>
    <w:rPr>
      <w:color w:val="605E5C"/>
      <w:shd w:val="clear" w:color="auto" w:fill="E1DFDD"/>
    </w:rPr>
  </w:style>
  <w:style w:type="table" w:customStyle="1" w:styleId="TableNormal101">
    <w:name w:val="Table Normal101"/>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201">
    <w:name w:val="Table Normal201"/>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301">
    <w:name w:val="Table Normal30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401">
    <w:name w:val="Table Normal40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eNormal51">
    <w:name w:val="Table Normal51"/>
    <w:uiPriority w:val="2"/>
    <w:qFormat/>
    <w:rsid w:val="00B90E09"/>
    <w:pPr>
      <w:widowControl/>
      <w:spacing w:after="200" w:line="276" w:lineRule="auto"/>
    </w:pPr>
    <w:rPr>
      <w:rFonts w:ascii="Calibri" w:eastAsia="Calibri" w:hAnsi="Calibri" w:cs="Calibri"/>
      <w:lang w:val="es-PE"/>
    </w:rPr>
    <w:tblPr>
      <w:tblCellMar>
        <w:top w:w="0" w:type="dxa"/>
        <w:left w:w="0" w:type="dxa"/>
        <w:bottom w:w="0" w:type="dxa"/>
        <w:right w:w="0" w:type="dxa"/>
      </w:tblCellMar>
    </w:tblPr>
  </w:style>
  <w:style w:type="table" w:customStyle="1" w:styleId="Tablaweb12">
    <w:name w:val="Tabla web 12"/>
    <w:basedOn w:val="Tablanormal"/>
    <w:next w:val="Tablaweb1"/>
    <w:uiPriority w:val="99"/>
    <w:semiHidden/>
    <w:unhideWhenUsed/>
    <w:rsid w:val="00B90E09"/>
    <w:pPr>
      <w:widowControl/>
      <w:autoSpaceDE w:val="0"/>
      <w:autoSpaceDN w:val="0"/>
      <w:adjustRightInd w:val="0"/>
      <w:spacing w:after="200" w:line="276" w:lineRule="auto"/>
    </w:pPr>
    <w:rPr>
      <w:rFonts w:ascii="Calibri" w:eastAsia="Calibri" w:hAnsi="Calibri" w:cs="Calibri"/>
      <w:lang w:val="es-P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semiHidden/>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media1-nfasis11">
    <w:name w:val="Cuadrícula media 1 - Énfasis 11"/>
    <w:basedOn w:val="Tablanormal"/>
    <w:next w:val="Cuadrculamedia1-nfasis1"/>
    <w:uiPriority w:val="67"/>
    <w:unhideWhenUsed/>
    <w:rsid w:val="00B90E09"/>
    <w:pPr>
      <w:widowControl/>
    </w:pPr>
    <w:rPr>
      <w:rFonts w:ascii="Calibri" w:eastAsia="Calibri" w:hAnsi="Calibri" w:cs="Calibri"/>
      <w:lang w:val="es-PE"/>
    </w:rPr>
    <w:tblPr>
      <w:tblStyleRowBandSize w:val="1"/>
      <w:tblStyleColBandSize w:val="1"/>
      <w:tblBorders>
        <w:top w:val="single" w:sz="8" w:space="0" w:color="2198CF"/>
        <w:left w:val="single" w:sz="8" w:space="0" w:color="2198CF"/>
        <w:bottom w:val="single" w:sz="8" w:space="0" w:color="2198CF"/>
        <w:right w:val="single" w:sz="8" w:space="0" w:color="2198CF"/>
        <w:insideH w:val="single" w:sz="8" w:space="0" w:color="2198CF"/>
        <w:insideV w:val="single" w:sz="8" w:space="0" w:color="2198CF"/>
      </w:tblBorders>
    </w:tblPr>
    <w:tcPr>
      <w:shd w:val="clear" w:color="auto" w:fill="B2DEF2"/>
    </w:tcPr>
    <w:tblStylePr w:type="firstRow">
      <w:rPr>
        <w:b/>
        <w:bCs/>
      </w:rPr>
    </w:tblStylePr>
    <w:tblStylePr w:type="lastRow">
      <w:rPr>
        <w:b/>
        <w:bCs/>
      </w:rPr>
      <w:tblPr/>
      <w:tcPr>
        <w:tcBorders>
          <w:top w:val="single" w:sz="18" w:space="0" w:color="2198CF"/>
        </w:tcBorders>
      </w:tcPr>
    </w:tblStylePr>
    <w:tblStylePr w:type="firstCol">
      <w:rPr>
        <w:b/>
        <w:bCs/>
      </w:rPr>
    </w:tblStylePr>
    <w:tblStylePr w:type="lastCol">
      <w:rPr>
        <w:b/>
        <w:bCs/>
      </w:rPr>
    </w:tblStylePr>
    <w:tblStylePr w:type="band1Vert">
      <w:tblPr/>
      <w:tcPr>
        <w:shd w:val="clear" w:color="auto" w:fill="64BDE6"/>
      </w:tcPr>
    </w:tblStylePr>
    <w:tblStylePr w:type="band1Horz">
      <w:tblPr/>
      <w:tcPr>
        <w:shd w:val="clear" w:color="auto" w:fill="64BDE6"/>
      </w:tcPr>
    </w:tblStylePr>
  </w:style>
  <w:style w:type="table" w:customStyle="1" w:styleId="lp11">
    <w:name w:val="lp11"/>
    <w:basedOn w:val="Tablanormal"/>
    <w:next w:val="Listavistosa-nfasis1"/>
    <w:uiPriority w:val="99"/>
    <w:unhideWhenUsed/>
    <w:rsid w:val="00B90E09"/>
    <w:pPr>
      <w:widowControl/>
    </w:pPr>
    <w:rPr>
      <w:rFonts w:ascii="Calibri" w:eastAsia="Calibri" w:hAnsi="Calibri" w:cs="Calibri"/>
      <w:color w:val="000000"/>
      <w:lang w:val="es-PE"/>
    </w:rPr>
    <w:tblPr>
      <w:tblStyleRowBandSize w:val="1"/>
      <w:tblStyleColBandSize w:val="1"/>
    </w:tblPr>
    <w:tcPr>
      <w:shd w:val="clear" w:color="auto" w:fill="E0F2FA"/>
    </w:tcPr>
    <w:tblStylePr w:type="firstRow">
      <w:rPr>
        <w:b/>
        <w:bCs/>
        <w:color w:val="FFFFFF"/>
      </w:rPr>
      <w:tblPr/>
      <w:tcPr>
        <w:tcBorders>
          <w:bottom w:val="single" w:sz="12" w:space="0" w:color="FFFFFF"/>
        </w:tcBorders>
        <w:shd w:val="clear" w:color="auto" w:fill="CC5416"/>
      </w:tcPr>
    </w:tblStylePr>
    <w:tblStylePr w:type="lastRow">
      <w:rPr>
        <w:b/>
        <w:bCs/>
        <w:color w:val="CC5416"/>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customStyle="1" w:styleId="Tablaprofesional1">
    <w:name w:val="Tabla profesional1"/>
    <w:basedOn w:val="Tablanormal"/>
    <w:next w:val="Tablaprofesional"/>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Listaclara-nfasis12">
    <w:name w:val="Lista clara - Énfasis 12"/>
    <w:basedOn w:val="Tablanormal"/>
    <w:next w:val="Listaclara-nfasis1"/>
    <w:uiPriority w:val="61"/>
    <w:unhideWhenUsed/>
    <w:rsid w:val="00B90E09"/>
    <w:pPr>
      <w:widowControl/>
    </w:pPr>
    <w:rPr>
      <w:rFonts w:ascii="Calibri" w:eastAsia="Calibri" w:hAnsi="Calibri" w:cs="Calibri"/>
      <w:lang w:val="es-PE"/>
    </w:rPr>
    <w:tblPr>
      <w:tblStyleRowBandSize w:val="1"/>
      <w:tblStyleColBandSize w:val="1"/>
      <w:tblBorders>
        <w:top w:val="single" w:sz="8" w:space="0" w:color="156082"/>
        <w:left w:val="single" w:sz="8" w:space="0" w:color="156082"/>
        <w:bottom w:val="single" w:sz="8" w:space="0" w:color="156082"/>
        <w:right w:val="single" w:sz="8" w:space="0" w:color="156082"/>
      </w:tblBorders>
    </w:tblPr>
    <w:tblStylePr w:type="firstRow">
      <w:pPr>
        <w:spacing w:before="0" w:after="0" w:line="240" w:lineRule="auto"/>
      </w:pPr>
      <w:rPr>
        <w:b/>
        <w:bCs/>
        <w:color w:val="FFFFFF"/>
      </w:rPr>
      <w:tblPr/>
      <w:tcPr>
        <w:shd w:val="clear" w:color="auto" w:fill="156082"/>
      </w:tcPr>
    </w:tblStylePr>
    <w:tblStylePr w:type="lastRow">
      <w:pPr>
        <w:spacing w:before="0" w:after="0" w:line="240" w:lineRule="auto"/>
      </w:pPr>
      <w:rPr>
        <w:b/>
        <w:bCs/>
      </w:rPr>
      <w:tblPr/>
      <w:tcPr>
        <w:tcBorders>
          <w:top w:val="double" w:sz="6" w:space="0" w:color="156082"/>
          <w:left w:val="single" w:sz="8" w:space="0" w:color="156082"/>
          <w:bottom w:val="single" w:sz="8" w:space="0" w:color="156082"/>
          <w:right w:val="single" w:sz="8" w:space="0" w:color="156082"/>
        </w:tcBorders>
      </w:tcPr>
    </w:tblStylePr>
    <w:tblStylePr w:type="firstCol">
      <w:rPr>
        <w:b/>
        <w:bCs/>
      </w:rPr>
    </w:tblStylePr>
    <w:tblStylePr w:type="lastCol">
      <w:rPr>
        <w:b/>
        <w:bCs/>
      </w:rPr>
    </w:tblStylePr>
    <w:tblStylePr w:type="band1Vert">
      <w:tblPr/>
      <w:tcPr>
        <w:tcBorders>
          <w:top w:val="single" w:sz="8" w:space="0" w:color="156082"/>
          <w:left w:val="single" w:sz="8" w:space="0" w:color="156082"/>
          <w:bottom w:val="single" w:sz="8" w:space="0" w:color="156082"/>
          <w:right w:val="single" w:sz="8" w:space="0" w:color="156082"/>
        </w:tcBorders>
      </w:tcPr>
    </w:tblStylePr>
    <w:tblStylePr w:type="band1Horz">
      <w:tblPr/>
      <w:tcPr>
        <w:tcBorders>
          <w:top w:val="single" w:sz="8" w:space="0" w:color="156082"/>
          <w:left w:val="single" w:sz="8" w:space="0" w:color="156082"/>
          <w:bottom w:val="single" w:sz="8" w:space="0" w:color="156082"/>
          <w:right w:val="single" w:sz="8" w:space="0" w:color="156082"/>
        </w:tcBorders>
      </w:tcPr>
    </w:tblStylePr>
  </w:style>
  <w:style w:type="table" w:customStyle="1" w:styleId="Listaclara-nfasis21">
    <w:name w:val="Lista clara - Énfasis 21"/>
    <w:basedOn w:val="Tablanormal"/>
    <w:next w:val="Listaclara-nfasis2"/>
    <w:uiPriority w:val="61"/>
    <w:unhideWhenUsed/>
    <w:rsid w:val="00B90E09"/>
    <w:pPr>
      <w:widowControl/>
    </w:pPr>
    <w:rPr>
      <w:rFonts w:ascii="Calibri" w:eastAsia="Calibri" w:hAnsi="Calibri" w:cs="Calibri"/>
      <w:lang w:val="es-PE"/>
    </w:rPr>
    <w:tblPr>
      <w:tblStyleRowBandSize w:val="1"/>
      <w:tblStyleColBandSize w:val="1"/>
      <w:tblBorders>
        <w:top w:val="single" w:sz="8" w:space="0" w:color="E97132"/>
        <w:left w:val="single" w:sz="8" w:space="0" w:color="E97132"/>
        <w:bottom w:val="single" w:sz="8" w:space="0" w:color="E97132"/>
        <w:right w:val="single" w:sz="8" w:space="0" w:color="E97132"/>
      </w:tblBorders>
    </w:tblPr>
    <w:tblStylePr w:type="firstRow">
      <w:pPr>
        <w:spacing w:before="0" w:after="0" w:line="240" w:lineRule="auto"/>
      </w:pPr>
      <w:rPr>
        <w:b/>
        <w:bCs/>
        <w:color w:val="FFFFFF"/>
      </w:rPr>
      <w:tblPr/>
      <w:tcPr>
        <w:shd w:val="clear" w:color="auto" w:fill="E97132"/>
      </w:tcPr>
    </w:tblStylePr>
    <w:tblStylePr w:type="lastRow">
      <w:pPr>
        <w:spacing w:before="0" w:after="0" w:line="240" w:lineRule="auto"/>
      </w:pPr>
      <w:rPr>
        <w:b/>
        <w:bCs/>
      </w:rPr>
      <w:tblPr/>
      <w:tcPr>
        <w:tcBorders>
          <w:top w:val="double" w:sz="6" w:space="0" w:color="E97132"/>
          <w:left w:val="single" w:sz="8" w:space="0" w:color="E97132"/>
          <w:bottom w:val="single" w:sz="8" w:space="0" w:color="E97132"/>
          <w:right w:val="single" w:sz="8" w:space="0" w:color="E97132"/>
        </w:tcBorders>
      </w:tcPr>
    </w:tblStylePr>
    <w:tblStylePr w:type="firstCol">
      <w:rPr>
        <w:b/>
        <w:bCs/>
      </w:rPr>
    </w:tblStylePr>
    <w:tblStylePr w:type="lastCol">
      <w:rPr>
        <w:b/>
        <w:bCs/>
      </w:rPr>
    </w:tblStylePr>
    <w:tblStylePr w:type="band1Vert">
      <w:tblPr/>
      <w:tcPr>
        <w:tcBorders>
          <w:top w:val="single" w:sz="8" w:space="0" w:color="E97132"/>
          <w:left w:val="single" w:sz="8" w:space="0" w:color="E97132"/>
          <w:bottom w:val="single" w:sz="8" w:space="0" w:color="E97132"/>
          <w:right w:val="single" w:sz="8" w:space="0" w:color="E97132"/>
        </w:tcBorders>
      </w:tcPr>
    </w:tblStylePr>
    <w:tblStylePr w:type="band1Horz">
      <w:tblPr/>
      <w:tcPr>
        <w:tcBorders>
          <w:top w:val="single" w:sz="8" w:space="0" w:color="E97132"/>
          <w:left w:val="single" w:sz="8" w:space="0" w:color="E97132"/>
          <w:bottom w:val="single" w:sz="8" w:space="0" w:color="E97132"/>
          <w:right w:val="single" w:sz="8" w:space="0" w:color="E97132"/>
        </w:tcBorders>
      </w:tcPr>
    </w:tblStylePr>
  </w:style>
  <w:style w:type="table" w:customStyle="1" w:styleId="Sombreadoclaro-nfasis12">
    <w:name w:val="Sombreado claro - Énfasis 12"/>
    <w:basedOn w:val="Tablanormal"/>
    <w:next w:val="Sombreadoclaro-nfasis1"/>
    <w:uiPriority w:val="60"/>
    <w:unhideWhenUsed/>
    <w:rsid w:val="00B90E09"/>
    <w:pPr>
      <w:widowControl/>
    </w:pPr>
    <w:rPr>
      <w:rFonts w:ascii="Calibri" w:eastAsia="Calibri" w:hAnsi="Calibri" w:cs="Calibri"/>
      <w:color w:val="0F4761"/>
      <w:lang w:val="es-PE"/>
    </w:rPr>
    <w:tblPr>
      <w:tblStyleRowBandSize w:val="1"/>
      <w:tblStyleColBandSize w:val="1"/>
      <w:tblBorders>
        <w:top w:val="single" w:sz="8" w:space="0" w:color="156082"/>
        <w:bottom w:val="single" w:sz="8" w:space="0" w:color="156082"/>
      </w:tblBorders>
    </w:tblPr>
    <w:tblStylePr w:type="firstRow">
      <w:pPr>
        <w:spacing w:before="0" w:after="0" w:line="240" w:lineRule="auto"/>
      </w:pPr>
      <w:rPr>
        <w:b/>
        <w:bCs/>
      </w:rPr>
      <w:tblPr/>
      <w:tcPr>
        <w:tcBorders>
          <w:top w:val="single" w:sz="8" w:space="0" w:color="156082"/>
          <w:left w:val="nil"/>
          <w:bottom w:val="single" w:sz="8" w:space="0" w:color="156082"/>
          <w:right w:val="nil"/>
          <w:insideH w:val="nil"/>
          <w:insideV w:val="nil"/>
        </w:tcBorders>
      </w:tcPr>
    </w:tblStylePr>
    <w:tblStylePr w:type="lastRow">
      <w:pPr>
        <w:spacing w:before="0" w:after="0" w:line="240" w:lineRule="auto"/>
      </w:pPr>
      <w:rPr>
        <w:b/>
        <w:bCs/>
      </w:rPr>
      <w:tblPr/>
      <w:tcPr>
        <w:tcBorders>
          <w:top w:val="single" w:sz="8" w:space="0" w:color="156082"/>
          <w:left w:val="nil"/>
          <w:bottom w:val="single" w:sz="8" w:space="0" w:color="15608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cPr>
    </w:tblStylePr>
    <w:tblStylePr w:type="band1Horz">
      <w:tblPr/>
      <w:tcPr>
        <w:tcBorders>
          <w:left w:val="nil"/>
          <w:right w:val="nil"/>
          <w:insideH w:val="nil"/>
          <w:insideV w:val="nil"/>
        </w:tcBorders>
        <w:shd w:val="clear" w:color="auto" w:fill="B2DEF2"/>
      </w:tcPr>
    </w:tblStylePr>
  </w:style>
  <w:style w:type="table" w:customStyle="1" w:styleId="Tablaconlista51">
    <w:name w:val="Tabla con lista 51"/>
    <w:basedOn w:val="Tablanormal"/>
    <w:next w:val="Tablaconlista5"/>
    <w:unhideWhenUsed/>
    <w:rsid w:val="00B90E09"/>
    <w:pPr>
      <w:widowControl/>
      <w:autoSpaceDE w:val="0"/>
      <w:autoSpaceDN w:val="0"/>
      <w:adjustRightInd w:val="0"/>
      <w:spacing w:after="200" w:line="276" w:lineRule="auto"/>
    </w:pPr>
    <w:rPr>
      <w:rFonts w:ascii="Calibri" w:eastAsia="Calibri" w:hAnsi="Calibri" w:cs="Calibri"/>
      <w:lang w:val="es-P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asutil11">
    <w:name w:val="Tabla sutil 11"/>
    <w:basedOn w:val="Tablanormal"/>
    <w:next w:val="Tablasutil1"/>
    <w:unhideWhenUsed/>
    <w:rsid w:val="00B90E09"/>
    <w:pPr>
      <w:widowControl/>
      <w:autoSpaceDE w:val="0"/>
      <w:autoSpaceDN w:val="0"/>
      <w:adjustRightInd w:val="0"/>
      <w:spacing w:after="200" w:line="276" w:lineRule="auto"/>
    </w:pPr>
    <w:rPr>
      <w:rFonts w:ascii="Calibri" w:eastAsia="Calibri" w:hAnsi="Calibri" w:cs="Calibri"/>
      <w:lang w:val="es-P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ombreadomedio13">
    <w:name w:val="Sombreado medio 13"/>
    <w:basedOn w:val="Tablanormal"/>
    <w:next w:val="Sombreadomedio1"/>
    <w:uiPriority w:val="63"/>
    <w:unhideWhenUsed/>
    <w:rsid w:val="00B90E09"/>
    <w:pPr>
      <w:widowControl/>
    </w:pPr>
    <w:rPr>
      <w:rFonts w:ascii="Calibri" w:eastAsia="Calibri" w:hAnsi="Calibri" w:cs="Calibri"/>
      <w:lang w:val="es-PE"/>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Tablaweb21">
    <w:name w:val="Tabla web 21"/>
    <w:basedOn w:val="Tablanormal"/>
    <w:next w:val="Tablaweb2"/>
    <w:unhideWhenUsed/>
    <w:rsid w:val="00B90E09"/>
    <w:pPr>
      <w:widowControl/>
      <w:autoSpaceDE w:val="0"/>
      <w:autoSpaceDN w:val="0"/>
      <w:adjustRightInd w:val="0"/>
      <w:spacing w:after="200" w:line="276" w:lineRule="auto"/>
    </w:pPr>
    <w:rPr>
      <w:rFonts w:ascii="Calibri" w:eastAsia="Calibri" w:hAnsi="Calibri" w:cs="Calibri"/>
      <w:lang w:val="es-P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51">
    <w:name w:val="Lista clara - Énfasis 51"/>
    <w:basedOn w:val="Tablanormal"/>
    <w:next w:val="Listaclara-nfasis5"/>
    <w:uiPriority w:val="61"/>
    <w:unhideWhenUsed/>
    <w:rsid w:val="00B90E09"/>
    <w:pPr>
      <w:widowControl/>
    </w:pPr>
    <w:rPr>
      <w:rFonts w:ascii="Calibri" w:eastAsia="Calibri" w:hAnsi="Calibri" w:cs="Calibri"/>
      <w:lang w:val="es-PE"/>
    </w:rPr>
    <w:tblPr>
      <w:tblStyleRowBandSize w:val="1"/>
      <w:tblStyleColBandSize w:val="1"/>
      <w:tblBorders>
        <w:top w:val="single" w:sz="8" w:space="0" w:color="A02B93"/>
        <w:left w:val="single" w:sz="8" w:space="0" w:color="A02B93"/>
        <w:bottom w:val="single" w:sz="8" w:space="0" w:color="A02B93"/>
        <w:right w:val="single" w:sz="8" w:space="0" w:color="A02B93"/>
      </w:tblBorders>
    </w:tblPr>
    <w:tblStylePr w:type="firstRow">
      <w:pPr>
        <w:spacing w:before="0" w:after="0" w:line="240" w:lineRule="auto"/>
      </w:pPr>
      <w:rPr>
        <w:b/>
        <w:bCs/>
        <w:color w:val="FFFFFF"/>
      </w:rPr>
      <w:tblPr/>
      <w:tcPr>
        <w:shd w:val="clear" w:color="auto" w:fill="A02B93"/>
      </w:tcPr>
    </w:tblStylePr>
    <w:tblStylePr w:type="lastRow">
      <w:pPr>
        <w:spacing w:before="0" w:after="0" w:line="240" w:lineRule="auto"/>
      </w:pPr>
      <w:rPr>
        <w:b/>
        <w:bCs/>
      </w:rPr>
      <w:tblPr/>
      <w:tcPr>
        <w:tcBorders>
          <w:top w:val="double" w:sz="6" w:space="0" w:color="A02B93"/>
          <w:left w:val="single" w:sz="8" w:space="0" w:color="A02B93"/>
          <w:bottom w:val="single" w:sz="8" w:space="0" w:color="A02B93"/>
          <w:right w:val="single" w:sz="8" w:space="0" w:color="A02B93"/>
        </w:tcBorders>
      </w:tcPr>
    </w:tblStylePr>
    <w:tblStylePr w:type="firstCol">
      <w:rPr>
        <w:b/>
        <w:bCs/>
      </w:rPr>
    </w:tblStylePr>
    <w:tblStylePr w:type="lastCol">
      <w:rPr>
        <w:b/>
        <w:bCs/>
      </w:rPr>
    </w:tblStylePr>
    <w:tblStylePr w:type="band1Vert">
      <w:tblPr/>
      <w:tcPr>
        <w:tcBorders>
          <w:top w:val="single" w:sz="8" w:space="0" w:color="A02B93"/>
          <w:left w:val="single" w:sz="8" w:space="0" w:color="A02B93"/>
          <w:bottom w:val="single" w:sz="8" w:space="0" w:color="A02B93"/>
          <w:right w:val="single" w:sz="8" w:space="0" w:color="A02B93"/>
        </w:tcBorders>
      </w:tcPr>
    </w:tblStylePr>
    <w:tblStylePr w:type="band1Horz">
      <w:tblPr/>
      <w:tcPr>
        <w:tcBorders>
          <w:top w:val="single" w:sz="8" w:space="0" w:color="A02B93"/>
          <w:left w:val="single" w:sz="8" w:space="0" w:color="A02B93"/>
          <w:bottom w:val="single" w:sz="8" w:space="0" w:color="A02B93"/>
          <w:right w:val="single" w:sz="8" w:space="0" w:color="A02B93"/>
        </w:tcBorders>
      </w:tcPr>
    </w:tblStylePr>
  </w:style>
  <w:style w:type="table" w:customStyle="1" w:styleId="Cuadrculamedia3-nfasis51">
    <w:name w:val="Cuadrícula media 3 - Énfasis 51"/>
    <w:basedOn w:val="Tablanormal"/>
    <w:next w:val="Cuadrculamedia3-nfasis5"/>
    <w:uiPriority w:val="69"/>
    <w:unhideWhenUsed/>
    <w:rsid w:val="00B90E09"/>
    <w:pPr>
      <w:widowControl/>
    </w:pPr>
    <w:rPr>
      <w:rFonts w:ascii="Calibri" w:eastAsia="Calibri" w:hAnsi="Calibri" w:cs="Calibri"/>
      <w:lang w:val="es-P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C3E9"/>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02B93"/>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02B93"/>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02B93"/>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02B93"/>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E86D4"/>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E86D4"/>
      </w:tcPr>
    </w:tblStylePr>
  </w:style>
  <w:style w:type="table" w:customStyle="1" w:styleId="TableGrid12">
    <w:name w:val="Table Grid12"/>
    <w:basedOn w:val="Tablanormal"/>
    <w:next w:val="Tablaconcuadrcula"/>
    <w:uiPriority w:val="59"/>
    <w:rsid w:val="00B90E09"/>
    <w:pPr>
      <w:widowControl/>
    </w:pPr>
    <w:rPr>
      <w:rFonts w:ascii="Calibri" w:eastAsia="Aptos" w:hAnsi="Calibri" w:cs="Calibri"/>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26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510">
    <w:name w:val="2510"/>
    <w:basedOn w:val="TableNormal5"/>
    <w:rsid w:val="00B90E09"/>
    <w:pPr>
      <w:widowControl/>
      <w:spacing w:after="0" w:line="240" w:lineRule="auto"/>
    </w:pPr>
    <w:rPr>
      <w:color w:val="2F5496"/>
      <w:lang w:val="es-PE"/>
    </w:rPr>
    <w:tblPr>
      <w:tblStyleRowBandSize w:val="1"/>
      <w:tblStyleColBandSize w:val="1"/>
      <w:tblCellMar>
        <w:left w:w="108" w:type="dxa"/>
        <w:right w:w="108" w:type="dxa"/>
      </w:tblCellMar>
    </w:tblPr>
    <w:tcPr>
      <w:shd w:val="clear" w:color="auto" w:fill="D6E6F4"/>
    </w:tcPr>
  </w:style>
  <w:style w:type="table" w:customStyle="1" w:styleId="2410">
    <w:name w:val="2410"/>
    <w:basedOn w:val="TableNormal5"/>
    <w:rsid w:val="00B90E09"/>
    <w:pPr>
      <w:widowControl/>
      <w:spacing w:after="0" w:line="240" w:lineRule="auto"/>
    </w:pPr>
    <w:rPr>
      <w:color w:val="2F5496"/>
      <w:lang w:val="es-PE"/>
    </w:rPr>
    <w:tblPr>
      <w:tblStyleRowBandSize w:val="1"/>
      <w:tblStyleColBandSize w:val="1"/>
      <w:tblCellMar>
        <w:left w:w="108" w:type="dxa"/>
        <w:right w:w="108" w:type="dxa"/>
      </w:tblCellMar>
    </w:tblPr>
    <w:tcPr>
      <w:shd w:val="clear" w:color="auto" w:fill="D6E6F4"/>
    </w:tcPr>
  </w:style>
  <w:style w:type="table" w:customStyle="1" w:styleId="2310">
    <w:name w:val="23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210">
    <w:name w:val="2210"/>
    <w:basedOn w:val="TableNormal5"/>
    <w:rsid w:val="00B90E09"/>
    <w:pPr>
      <w:widowControl/>
    </w:pPr>
    <w:rPr>
      <w:lang w:val="es-PE"/>
    </w:rPr>
    <w:tblPr>
      <w:tblStyleRowBandSize w:val="1"/>
      <w:tblStyleColBandSize w:val="1"/>
      <w:tblCellMar>
        <w:left w:w="115" w:type="dxa"/>
        <w:right w:w="115" w:type="dxa"/>
      </w:tblCellMar>
    </w:tblPr>
  </w:style>
  <w:style w:type="table" w:customStyle="1" w:styleId="2110">
    <w:name w:val="21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2010">
    <w:name w:val="20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910">
    <w:name w:val="19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810">
    <w:name w:val="18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710">
    <w:name w:val="17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610">
    <w:name w:val="16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510">
    <w:name w:val="15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410">
    <w:name w:val="14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310">
    <w:name w:val="13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210">
    <w:name w:val="12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110">
    <w:name w:val="11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010">
    <w:name w:val="10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910">
    <w:name w:val="9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810">
    <w:name w:val="8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610">
    <w:name w:val="6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510">
    <w:name w:val="51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412">
    <w:name w:val="41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312">
    <w:name w:val="31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272">
    <w:name w:val="272"/>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1100">
    <w:name w:val="1100"/>
    <w:basedOn w:val="TableNormal5"/>
    <w:rsid w:val="00B90E09"/>
    <w:pPr>
      <w:widowControl/>
      <w:spacing w:after="0" w:line="240" w:lineRule="auto"/>
    </w:pPr>
    <w:rPr>
      <w:color w:val="2F5496"/>
      <w:lang w:val="es-PE"/>
    </w:rPr>
    <w:tblPr>
      <w:tblStyleRowBandSize w:val="1"/>
      <w:tblStyleColBandSize w:val="1"/>
      <w:tblCellMar>
        <w:left w:w="115" w:type="dxa"/>
        <w:right w:w="115" w:type="dxa"/>
      </w:tblCellMar>
    </w:tblPr>
    <w:tcPr>
      <w:shd w:val="clear" w:color="auto" w:fill="D6E6F4"/>
    </w:tcPr>
  </w:style>
  <w:style w:type="table" w:customStyle="1" w:styleId="Tabladelista3-nfasis517">
    <w:name w:val="Tabla de lista 3 - Énfasis 517"/>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19">
    <w:name w:val="Tabla con cuadrícula19"/>
    <w:basedOn w:val="Tablanormal"/>
    <w:next w:val="Tablaconcuadrcula"/>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7">
    <w:name w:val="Tabla de cuadrícula 4 - Énfasis 517"/>
    <w:basedOn w:val="Tablanormal"/>
    <w:uiPriority w:val="49"/>
    <w:rsid w:val="00B90E09"/>
    <w:pPr>
      <w:widowControl/>
    </w:pPr>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lista3-nfasis527">
    <w:name w:val="Tabla de lista 3 - Énfasis 527"/>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57">
    <w:name w:val="Tabla con cuadrícula57"/>
    <w:basedOn w:val="Tablanormal"/>
    <w:next w:val="Tablaconcuadrcula"/>
    <w:uiPriority w:val="39"/>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39"/>
    <w:rsid w:val="00B90E09"/>
    <w:pPr>
      <w:widowControl/>
    </w:pPr>
    <w:rPr>
      <w:rFonts w:ascii="Times New Roman" w:eastAsia="Calibri"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36">
    <w:name w:val="Tabla de lista 3 - Énfasis 536"/>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27">
    <w:name w:val="Tabla con cuadrícula27"/>
    <w:basedOn w:val="Tablanormal"/>
    <w:next w:val="Tablaconcuadrcula"/>
    <w:uiPriority w:val="39"/>
    <w:rsid w:val="00B90E09"/>
    <w:pPr>
      <w:widowControl/>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5116">
    <w:name w:val="Tabla de lista 3 - Énfasis 5116"/>
    <w:basedOn w:val="Tablanormal"/>
    <w:uiPriority w:val="48"/>
    <w:rsid w:val="00B90E09"/>
    <w:pPr>
      <w:widowControl/>
    </w:pPr>
    <w:rPr>
      <w:rFonts w:ascii="Times New Roman" w:eastAsia="Times New Roman" w:hAnsi="Times New Roman" w:cs="Times New Roman"/>
      <w:sz w:val="20"/>
      <w:szCs w:val="20"/>
      <w:lang w:eastAsia="es-ES"/>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aconcuadrcula37">
    <w:name w:val="Tabla con cuadrícula37"/>
    <w:basedOn w:val="Tablanormal"/>
    <w:next w:val="Tablaconcuadrcula"/>
    <w:uiPriority w:val="59"/>
    <w:rsid w:val="00B90E09"/>
    <w:pPr>
      <w:widowControl/>
      <w:overflowPunct w:val="0"/>
      <w:autoSpaceDE w:val="0"/>
      <w:autoSpaceDN w:val="0"/>
      <w:adjustRightInd w:val="0"/>
      <w:ind w:left="2268"/>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7">
    <w:name w:val="Tabla con cuadrícula117"/>
    <w:basedOn w:val="Tablanormal"/>
    <w:next w:val="Tablaconcuadrcula"/>
    <w:uiPriority w:val="59"/>
    <w:rsid w:val="00B90E09"/>
    <w:pPr>
      <w:widowControl/>
    </w:pPr>
    <w:rPr>
      <w:rFonts w:ascii="Calibri" w:eastAsia="Calibri" w:hAnsi="Calibri" w:cs="Times New Roman"/>
      <w:sz w:val="20"/>
      <w:szCs w:val="20"/>
      <w:lang w:val="es-PE"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16">
    <w:name w:val="Tabla de cuadrícula 4 - Énfasis 5116"/>
    <w:basedOn w:val="Tablanormal"/>
    <w:uiPriority w:val="49"/>
    <w:rsid w:val="00B90E09"/>
    <w:pPr>
      <w:widowControl/>
    </w:pPr>
    <w:rPr>
      <w:rFonts w:ascii="Calibri" w:eastAsia="Calibri" w:hAnsi="Calibri" w:cs="Times New Roman"/>
      <w:sz w:val="20"/>
      <w:szCs w:val="20"/>
      <w:lang w:eastAsia="es-E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411932">
      <w:bodyDiv w:val="1"/>
      <w:marLeft w:val="0"/>
      <w:marRight w:val="0"/>
      <w:marTop w:val="0"/>
      <w:marBottom w:val="0"/>
      <w:divBdr>
        <w:top w:val="none" w:sz="0" w:space="0" w:color="auto"/>
        <w:left w:val="none" w:sz="0" w:space="0" w:color="auto"/>
        <w:bottom w:val="none" w:sz="0" w:space="0" w:color="auto"/>
        <w:right w:val="none" w:sz="0" w:space="0" w:color="auto"/>
      </w:divBdr>
    </w:div>
    <w:div w:id="140392952">
      <w:bodyDiv w:val="1"/>
      <w:marLeft w:val="0"/>
      <w:marRight w:val="0"/>
      <w:marTop w:val="0"/>
      <w:marBottom w:val="0"/>
      <w:divBdr>
        <w:top w:val="none" w:sz="0" w:space="0" w:color="auto"/>
        <w:left w:val="none" w:sz="0" w:space="0" w:color="auto"/>
        <w:bottom w:val="none" w:sz="0" w:space="0" w:color="auto"/>
        <w:right w:val="none" w:sz="0" w:space="0" w:color="auto"/>
      </w:divBdr>
    </w:div>
    <w:div w:id="709841040">
      <w:bodyDiv w:val="1"/>
      <w:marLeft w:val="0"/>
      <w:marRight w:val="0"/>
      <w:marTop w:val="0"/>
      <w:marBottom w:val="0"/>
      <w:divBdr>
        <w:top w:val="none" w:sz="0" w:space="0" w:color="auto"/>
        <w:left w:val="none" w:sz="0" w:space="0" w:color="auto"/>
        <w:bottom w:val="none" w:sz="0" w:space="0" w:color="auto"/>
        <w:right w:val="none" w:sz="0" w:space="0" w:color="auto"/>
      </w:divBdr>
    </w:div>
    <w:div w:id="7161972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jpg"/><Relationship Id="rId42" Type="http://schemas.openxmlformats.org/officeDocument/2006/relationships/image" Target="media/image27.jpg"/><Relationship Id="rId63" Type="http://schemas.openxmlformats.org/officeDocument/2006/relationships/image" Target="media/image47.png"/><Relationship Id="rId84" Type="http://schemas.openxmlformats.org/officeDocument/2006/relationships/image" Target="media/image68.png"/><Relationship Id="rId16" Type="http://schemas.openxmlformats.org/officeDocument/2006/relationships/footer" Target="footer2.xml"/><Relationship Id="rId107" Type="http://schemas.openxmlformats.org/officeDocument/2006/relationships/image" Target="media/image91.jpg"/><Relationship Id="rId11" Type="http://schemas.openxmlformats.org/officeDocument/2006/relationships/image" Target="media/image2.jpe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jpg"/><Relationship Id="rId123" Type="http://schemas.openxmlformats.org/officeDocument/2006/relationships/image" Target="media/image107.png"/><Relationship Id="rId128" Type="http://schemas.openxmlformats.org/officeDocument/2006/relationships/header" Target="header6.xml"/><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7.jpg"/><Relationship Id="rId27" Type="http://schemas.openxmlformats.org/officeDocument/2006/relationships/image" Target="media/image12.jpg"/><Relationship Id="rId43" Type="http://schemas.openxmlformats.org/officeDocument/2006/relationships/image" Target="media/image28.jpg"/><Relationship Id="rId48" Type="http://schemas.openxmlformats.org/officeDocument/2006/relationships/image" Target="http://en.leitner-ropeways.com/var/ezwebin_site_clean/storage/images/media/images/node_10493/556568-1-ger-DE/_1_fullscreen.png" TargetMode="External"/><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header" Target="header9.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3.jpeg"/><Relationship Id="rId17" Type="http://schemas.openxmlformats.org/officeDocument/2006/relationships/footer" Target="footer3.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jpg"/><Relationship Id="rId108" Type="http://schemas.openxmlformats.org/officeDocument/2006/relationships/image" Target="media/image92.jpg"/><Relationship Id="rId124" Type="http://schemas.openxmlformats.org/officeDocument/2006/relationships/header" Target="header4.xml"/><Relationship Id="rId129" Type="http://schemas.openxmlformats.org/officeDocument/2006/relationships/footer" Target="footer7.xml"/><Relationship Id="rId54" Type="http://schemas.openxmlformats.org/officeDocument/2006/relationships/image" Target="media/image38.jp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jpg"/><Relationship Id="rId28" Type="http://schemas.openxmlformats.org/officeDocument/2006/relationships/image" Target="media/image13.jpg"/><Relationship Id="rId49" Type="http://schemas.openxmlformats.org/officeDocument/2006/relationships/image" Target="media/image33.jp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9.jp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header" Target="header7.xml"/><Relationship Id="rId135" Type="http://schemas.openxmlformats.org/officeDocument/2006/relationships/footer" Target="footer10.xml"/><Relationship Id="rId13" Type="http://schemas.openxmlformats.org/officeDocument/2006/relationships/image" Target="media/image4.png"/><Relationship Id="rId18" Type="http://schemas.openxmlformats.org/officeDocument/2006/relationships/header" Target="header3.xml"/><Relationship Id="rId39" Type="http://schemas.openxmlformats.org/officeDocument/2006/relationships/image" Target="media/image24.png"/><Relationship Id="rId109" Type="http://schemas.openxmlformats.org/officeDocument/2006/relationships/image" Target="media/image93.jpg"/><Relationship Id="rId34" Type="http://schemas.openxmlformats.org/officeDocument/2006/relationships/image" Target="media/image19.png"/><Relationship Id="rId50" Type="http://schemas.openxmlformats.org/officeDocument/2006/relationships/image" Target="media/image34.jpg"/><Relationship Id="rId55" Type="http://schemas.openxmlformats.org/officeDocument/2006/relationships/image" Target="media/image39.jp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jpg"/><Relationship Id="rId120" Type="http://schemas.openxmlformats.org/officeDocument/2006/relationships/image" Target="media/image104.png"/><Relationship Id="rId125"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jp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jpg"/><Relationship Id="rId115" Type="http://schemas.openxmlformats.org/officeDocument/2006/relationships/image" Target="media/image99.png"/><Relationship Id="rId131" Type="http://schemas.openxmlformats.org/officeDocument/2006/relationships/header" Target="header8.xml"/><Relationship Id="rId136" Type="http://schemas.openxmlformats.org/officeDocument/2006/relationships/fontTable" Target="fontTable.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footer" Target="footer4.xml"/><Relationship Id="rId14" Type="http://schemas.openxmlformats.org/officeDocument/2006/relationships/header" Target="head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0.jp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jpg"/><Relationship Id="rId126"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35.jp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numbering" Target="numbering.xml"/><Relationship Id="rId25" Type="http://schemas.openxmlformats.org/officeDocument/2006/relationships/image" Target="media/image10.jpg"/><Relationship Id="rId46" Type="http://schemas.openxmlformats.org/officeDocument/2006/relationships/image" Target="media/image31.jp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footer" Target="footer8.xml"/><Relationship Id="rId15" Type="http://schemas.openxmlformats.org/officeDocument/2006/relationships/header" Target="header2.xml"/><Relationship Id="rId36" Type="http://schemas.openxmlformats.org/officeDocument/2006/relationships/image" Target="media/image21.png"/><Relationship Id="rId57" Type="http://schemas.openxmlformats.org/officeDocument/2006/relationships/image" Target="media/image41.jpg"/><Relationship Id="rId106" Type="http://schemas.openxmlformats.org/officeDocument/2006/relationships/image" Target="media/image90.jpg"/><Relationship Id="rId127" Type="http://schemas.openxmlformats.org/officeDocument/2006/relationships/footer" Target="footer6.xml"/><Relationship Id="rId10" Type="http://schemas.openxmlformats.org/officeDocument/2006/relationships/image" Target="media/image1.png"/><Relationship Id="rId31" Type="http://schemas.openxmlformats.org/officeDocument/2006/relationships/image" Target="media/image16.png"/><Relationship Id="rId52" Type="http://schemas.openxmlformats.org/officeDocument/2006/relationships/image" Target="media/image36.jp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jpg"/><Relationship Id="rId122" Type="http://schemas.openxmlformats.org/officeDocument/2006/relationships/image" Target="media/image106.png"/><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image" Target="media/image11.jpg"/><Relationship Id="rId47" Type="http://schemas.openxmlformats.org/officeDocument/2006/relationships/image" Target="media/image32.jpeg"/><Relationship Id="rId68" Type="http://schemas.openxmlformats.org/officeDocument/2006/relationships/image" Target="media/image52.jp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footer" Target="footer9.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0" Type="http://schemas.openxmlformats.org/officeDocument/2006/relationships/font" Target="fonts/font20.odttf"/><Relationship Id="rId41" Type="http://schemas.openxmlformats.org/officeDocument/2006/relationships/font" Target="fonts/font41.odttf"/><Relationship Id="rId1" Type="http://schemas.openxmlformats.org/officeDocument/2006/relationships/font" Target="fonts/font1.odttf"/><Relationship Id="rId6" Type="http://schemas.openxmlformats.org/officeDocument/2006/relationships/font" Target="fonts/font6.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RVuExYP3/EooBmAOlfmlZqVPZQ==">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ItkCCgp0ZXh0L3BsYWlu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4i+wMKCnRleHQvcGxhaW4S7ANMSVogVklMTEFORVMK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4i5wEKCnRleHQvcGxhaW4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D91EB7A-F91F-4BAE-881D-007546EB8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391</Pages>
  <Words>114050</Words>
  <Characters>627279</Characters>
  <Application>Microsoft Office Word</Application>
  <DocSecurity>0</DocSecurity>
  <Lines>5227</Lines>
  <Paragraphs>1479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739850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dc:creator>
  <cp:lastModifiedBy>Aldo Laderas Parra</cp:lastModifiedBy>
  <cp:revision>6</cp:revision>
  <cp:lastPrinted>2024-11-28T19:08:00Z</cp:lastPrinted>
  <dcterms:created xsi:type="dcterms:W3CDTF">2025-05-16T17:35:00Z</dcterms:created>
  <dcterms:modified xsi:type="dcterms:W3CDTF">2025-05-17T13:46:00Z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56ea891f60ec03d0165e49f8229a77a22940a6e3c72199889238bd40ff9191a2</vt:lpwstr>
  </property>
</Properties>
</file>